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0CFE1">
      <w:pPr>
        <w:spacing w:before="120" w:beforeLines="50" w:after="120" w:afterLines="50"/>
        <w:rPr>
          <w:bCs w:val="0"/>
          <w:color w:val="000000" w:themeColor="text1"/>
          <w14:textFill>
            <w14:solidFill>
              <w14:schemeClr w14:val="tx1"/>
            </w14:solidFill>
          </w14:textFill>
        </w:rPr>
      </w:pPr>
      <w:sdt>
        <w:sdtPr>
          <w:tag w:val="_PLD_e2023e93e9d5454698c56f4b7265ca56"/>
          <w:id w:val="-604271777"/>
        </w:sdtPr>
        <w:sdtContent>
          <w:r>
            <w:rPr>
              <w:rFonts w:hint="eastAsia"/>
              <w:color w:val="000000" w:themeColor="text1"/>
              <w14:textFill>
                <w14:solidFill>
                  <w14:schemeClr w14:val="tx1"/>
                </w14:solidFill>
              </w14:textFill>
            </w:rPr>
            <w:t>公司代码：</w:t>
          </w:r>
        </w:sdtContent>
      </w:sdt>
      <w:sdt>
        <w:sdtPr>
          <w:rPr>
            <w:rFonts w:hint="eastAsia"/>
            <w:bCs w:val="0"/>
          </w:rPr>
          <w:alias w:val="公司代码"/>
          <w:tag w:val="_GBC_704b7b03ea3f4a93b8d4655a09b2ff61"/>
          <w:id w:val="384223641"/>
          <w:placeholder>
            <w:docPart w:val="GBC22222222222222222222222222222"/>
          </w:placeholder>
        </w:sdtPr>
        <w:sdtEndPr>
          <w:rPr>
            <w:rFonts w:hint="eastAsia"/>
            <w:bCs w:val="0"/>
          </w:rPr>
        </w:sdtEndPr>
        <w:sdtContent>
          <w:r>
            <w:rPr>
              <w:bCs w:val="0"/>
            </w:rPr>
            <w:t>600467</w:t>
          </w:r>
        </w:sdtContent>
      </w:sdt>
      <w:r>
        <w:rPr>
          <w:rFonts w:hint="eastAsia"/>
          <w:color w:val="000000" w:themeColor="text1"/>
          <w14:textFill>
            <w14:solidFill>
              <w14:schemeClr w14:val="tx1"/>
            </w14:solidFill>
          </w14:textFill>
        </w:rPr>
        <w:t xml:space="preserve">                      　　　　　　　　　　</w:t>
      </w:r>
      <w:sdt>
        <w:sdtPr>
          <w:tag w:val="_PLD_9cd7c9dfc1e1482cb001b3fad058a63c"/>
          <w:id w:val="1489131010"/>
        </w:sdtPr>
        <w:sdtContent>
          <w:r>
            <w:rPr>
              <w:rFonts w:hint="eastAsia"/>
              <w:color w:val="000000" w:themeColor="text1"/>
              <w14:textFill>
                <w14:solidFill>
                  <w14:schemeClr w14:val="tx1"/>
                </w14:solidFill>
              </w14:textFill>
            </w:rPr>
            <w:t>公司简称：</w:t>
          </w:r>
        </w:sdtContent>
      </w:sdt>
      <w:sdt>
        <w:sdtPr>
          <w:rPr>
            <w:rFonts w:hint="eastAsia"/>
            <w:bCs w:val="0"/>
          </w:rPr>
          <w:alias w:val="公司简称"/>
          <w:tag w:val="_GBC_0384ae715a1e4b4894a29e4d27f5bef4"/>
          <w:id w:val="-456724118"/>
          <w:placeholder>
            <w:docPart w:val="GBC22222222222222222222222222222"/>
          </w:placeholder>
        </w:sdtPr>
        <w:sdtEndPr>
          <w:rPr>
            <w:rFonts w:hint="eastAsia"/>
            <w:bCs w:val="0"/>
          </w:rPr>
        </w:sdtEndPr>
        <w:sdtContent>
          <w:r>
            <w:rPr>
              <w:rFonts w:hint="eastAsia"/>
              <w:bCs w:val="0"/>
            </w:rPr>
            <w:t>好当家</w:t>
          </w:r>
        </w:sdtContent>
      </w:sdt>
    </w:p>
    <w:p w14:paraId="4433B4FE">
      <w:pPr>
        <w:rPr>
          <w:color w:val="000000" w:themeColor="text1"/>
          <w14:textFill>
            <w14:solidFill>
              <w14:schemeClr w14:val="tx1"/>
            </w14:solidFill>
          </w14:textFill>
        </w:rPr>
      </w:pPr>
    </w:p>
    <w:p w14:paraId="0EB34E57">
      <w:pPr>
        <w:rPr>
          <w:color w:val="000000" w:themeColor="text1"/>
          <w14:textFill>
            <w14:solidFill>
              <w14:schemeClr w14:val="tx1"/>
            </w14:solidFill>
          </w14:textFill>
        </w:rPr>
      </w:pPr>
    </w:p>
    <w:p w14:paraId="0FD11FD3">
      <w:pPr>
        <w:rPr>
          <w:color w:val="000000" w:themeColor="text1"/>
          <w14:textFill>
            <w14:solidFill>
              <w14:schemeClr w14:val="tx1"/>
            </w14:solidFill>
          </w14:textFill>
        </w:rPr>
      </w:pPr>
    </w:p>
    <w:p w14:paraId="64BE8850">
      <w:pPr>
        <w:rPr>
          <w:color w:val="000000" w:themeColor="text1"/>
          <w14:textFill>
            <w14:solidFill>
              <w14:schemeClr w14:val="tx1"/>
            </w14:solidFill>
          </w14:textFill>
        </w:rPr>
      </w:pPr>
    </w:p>
    <w:p w14:paraId="7C805AC5">
      <w:pPr>
        <w:rPr>
          <w:color w:val="000000" w:themeColor="text1"/>
          <w14:textFill>
            <w14:solidFill>
              <w14:schemeClr w14:val="tx1"/>
            </w14:solidFill>
          </w14:textFill>
        </w:rPr>
      </w:pPr>
    </w:p>
    <w:p w14:paraId="6327457B">
      <w:pPr>
        <w:rPr>
          <w:color w:val="FF0000"/>
        </w:rPr>
      </w:pPr>
    </w:p>
    <w:p w14:paraId="74A15AB8">
      <w:pPr>
        <w:rPr>
          <w:color w:val="FF0000"/>
        </w:rPr>
      </w:pPr>
    </w:p>
    <w:p w14:paraId="6D223948">
      <w:pPr>
        <w:jc w:val="center"/>
        <w:rPr>
          <w:rFonts w:hint="eastAsia" w:ascii="黑体" w:hAnsi="黑体" w:eastAsia="黑体"/>
          <w:b/>
          <w:bCs w:val="0"/>
          <w:color w:val="FF0000"/>
          <w:sz w:val="44"/>
          <w:szCs w:val="44"/>
        </w:rPr>
      </w:pPr>
      <w:sdt>
        <w:sdtPr>
          <w:rPr>
            <w:rFonts w:hint="eastAsia" w:ascii="黑体" w:hAnsi="黑体" w:eastAsia="黑体"/>
            <w:b/>
            <w:bCs w:val="0"/>
            <w:color w:val="FF0000"/>
            <w:sz w:val="44"/>
            <w:szCs w:val="44"/>
          </w:rPr>
          <w:alias w:val="公司法定中文名称"/>
          <w:tag w:val="_GBC_ef279e32efc14c6bb521c62ff1f265ba"/>
          <w:id w:val="-908303475"/>
          <w:placeholder>
            <w:docPart w:val="GBC22222222222222222222222222222"/>
          </w:placeholder>
          <w:dataBinding w:prefixMappings="xmlns:clcid-cgi='clcid-cgi'" w:xpath="/*/clcid-cgi:GongSiFaDingZhongWenMingCheng[not(@periodRef)]" w:storeItemID="{89EBAB94-44A0-46A2-B712-30D997D04A6D}"/>
          <w:text/>
        </w:sdtPr>
        <w:sdtEndPr>
          <w:rPr>
            <w:rFonts w:hint="eastAsia" w:ascii="黑体" w:hAnsi="黑体" w:eastAsia="黑体"/>
            <w:b/>
            <w:bCs w:val="0"/>
            <w:color w:val="FF0000"/>
            <w:sz w:val="44"/>
            <w:szCs w:val="44"/>
          </w:rPr>
        </w:sdtEndPr>
        <w:sdtContent>
          <w:r>
            <w:rPr>
              <w:rFonts w:hint="eastAsia" w:ascii="黑体" w:hAnsi="黑体" w:eastAsia="黑体"/>
              <w:b/>
              <w:bCs w:val="0"/>
              <w:color w:val="FF0000"/>
              <w:sz w:val="44"/>
              <w:szCs w:val="44"/>
            </w:rPr>
            <w:t>山东好当家海洋发展股份有限公司</w:t>
          </w:r>
        </w:sdtContent>
      </w:sdt>
    </w:p>
    <w:p w14:paraId="54FC637C">
      <w:pPr>
        <w:jc w:val="center"/>
        <w:rPr>
          <w:rFonts w:hint="eastAsia" w:ascii="黑体" w:hAnsi="黑体" w:eastAsia="黑体"/>
          <w:b/>
          <w:bCs w:val="0"/>
          <w:color w:val="FF0000"/>
          <w:sz w:val="44"/>
          <w:szCs w:val="44"/>
        </w:rPr>
      </w:pPr>
      <w:r>
        <w:rPr>
          <w:rFonts w:ascii="黑体" w:hAnsi="黑体" w:eastAsia="黑体"/>
          <w:b/>
          <w:color w:val="FF0000"/>
          <w:sz w:val="44"/>
          <w:szCs w:val="44"/>
        </w:rPr>
        <w:t>2026年</w:t>
      </w:r>
      <w:r>
        <w:rPr>
          <w:rFonts w:hint="eastAsia" w:ascii="黑体" w:hAnsi="黑体" w:eastAsia="黑体"/>
          <w:b/>
          <w:color w:val="FF0000"/>
          <w:sz w:val="44"/>
          <w:szCs w:val="44"/>
        </w:rPr>
        <w:t>半年度报告</w:t>
      </w:r>
    </w:p>
    <w:p w14:paraId="71816E46">
      <w:pPr>
        <w:rPr>
          <w:color w:val="FF0000"/>
        </w:rPr>
      </w:pPr>
    </w:p>
    <w:p w14:paraId="0D7078A8">
      <w:pPr>
        <w:rPr>
          <w:color w:val="FF0000"/>
        </w:rPr>
      </w:pPr>
    </w:p>
    <w:p w14:paraId="2ED17703">
      <w:pPr>
        <w:rPr>
          <w:color w:val="FF0000"/>
        </w:rPr>
      </w:pPr>
    </w:p>
    <w:p w14:paraId="34CF677C">
      <w:pPr>
        <w:rPr>
          <w:color w:val="FF0000"/>
        </w:rPr>
      </w:pPr>
    </w:p>
    <w:p w14:paraId="13C1DF22">
      <w:pPr>
        <w:rPr>
          <w:color w:val="FF0000"/>
        </w:rPr>
      </w:pPr>
    </w:p>
    <w:p w14:paraId="0F99E216">
      <w:pPr>
        <w:rPr>
          <w:color w:val="FF0000"/>
        </w:rPr>
      </w:pPr>
    </w:p>
    <w:p w14:paraId="1D832B74">
      <w:pPr>
        <w:rPr>
          <w:color w:val="FF0000"/>
        </w:rPr>
      </w:pPr>
    </w:p>
    <w:p w14:paraId="4C26C33A">
      <w:pPr>
        <w:rPr>
          <w:color w:val="FF0000"/>
        </w:rPr>
      </w:pPr>
    </w:p>
    <w:p w14:paraId="061C69DB">
      <w:pPr>
        <w:rPr>
          <w:color w:val="FF0000"/>
        </w:rPr>
      </w:pPr>
    </w:p>
    <w:p w14:paraId="0B15AB9D">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1783080" cy="1920240"/>
            <wp:effectExtent l="0" t="0" r="7620" b="3810"/>
            <wp:docPr id="10547896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89668"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83080" cy="1920240"/>
                    </a:xfrm>
                    <a:prstGeom prst="rect">
                      <a:avLst/>
                    </a:prstGeom>
                    <a:noFill/>
                    <a:ln>
                      <a:noFill/>
                    </a:ln>
                  </pic:spPr>
                </pic:pic>
              </a:graphicData>
            </a:graphic>
          </wp:inline>
        </w:drawing>
      </w:r>
    </w:p>
    <w:p w14:paraId="59654A39">
      <w:pPr>
        <w:rPr>
          <w:color w:val="000000" w:themeColor="text1"/>
          <w14:textFill>
            <w14:solidFill>
              <w14:schemeClr w14:val="tx1"/>
            </w14:solidFill>
          </w14:textFill>
        </w:rPr>
      </w:pPr>
    </w:p>
    <w:p w14:paraId="1DDD62A6">
      <w:pPr>
        <w:rPr>
          <w:color w:val="000000" w:themeColor="text1"/>
          <w14:textFill>
            <w14:solidFill>
              <w14:schemeClr w14:val="tx1"/>
            </w14:solidFill>
          </w14:textFill>
        </w:rPr>
      </w:pPr>
    </w:p>
    <w:p w14:paraId="511E2A09">
      <w:pPr>
        <w:rPr>
          <w:color w:val="000000" w:themeColor="text1"/>
          <w14:textFill>
            <w14:solidFill>
              <w14:schemeClr w14:val="tx1"/>
            </w14:solidFill>
          </w14:textFill>
        </w:rPr>
      </w:pPr>
    </w:p>
    <w:p w14:paraId="0D3F69CC">
      <w:pPr>
        <w:rPr>
          <w:color w:val="000000" w:themeColor="text1"/>
          <w14:textFill>
            <w14:solidFill>
              <w14:schemeClr w14:val="tx1"/>
            </w14:solidFill>
          </w14:textFill>
        </w:rPr>
      </w:pPr>
    </w:p>
    <w:p w14:paraId="54CA785F">
      <w:pPr>
        <w:rPr>
          <w:color w:val="000000" w:themeColor="text1"/>
          <w14:textFill>
            <w14:solidFill>
              <w14:schemeClr w14:val="tx1"/>
            </w14:solidFill>
          </w14:textFill>
        </w:rPr>
      </w:pPr>
    </w:p>
    <w:p w14:paraId="7678B65D">
      <w:pPr>
        <w:rPr>
          <w:color w:val="000000" w:themeColor="text1"/>
          <w14:textFill>
            <w14:solidFill>
              <w14:schemeClr w14:val="tx1"/>
            </w14:solidFill>
          </w14:textFill>
        </w:rPr>
      </w:pPr>
    </w:p>
    <w:p w14:paraId="0FF91688">
      <w:pPr>
        <w:rPr>
          <w:color w:val="000000" w:themeColor="text1"/>
          <w14:textFill>
            <w14:solidFill>
              <w14:schemeClr w14:val="tx1"/>
            </w14:solidFill>
          </w14:textFill>
        </w:rPr>
      </w:pPr>
    </w:p>
    <w:p w14:paraId="61E225E9">
      <w:pPr>
        <w:rPr>
          <w:color w:val="000000" w:themeColor="text1"/>
          <w14:textFill>
            <w14:solidFill>
              <w14:schemeClr w14:val="tx1"/>
            </w14:solidFill>
          </w14:textFill>
        </w:rPr>
      </w:pPr>
    </w:p>
    <w:p w14:paraId="3BD558ED">
      <w:pPr>
        <w:rPr>
          <w:color w:val="000000" w:themeColor="text1"/>
          <w14:textFill>
            <w14:solidFill>
              <w14:schemeClr w14:val="tx1"/>
            </w14:solidFill>
          </w14:textFill>
        </w:rPr>
      </w:pPr>
    </w:p>
    <w:p w14:paraId="02C14A8D">
      <w:pPr>
        <w:rPr>
          <w:color w:val="000000" w:themeColor="text1"/>
          <w14:textFill>
            <w14:solidFill>
              <w14:schemeClr w14:val="tx1"/>
            </w14:solidFill>
          </w14:textFill>
        </w:rPr>
      </w:pPr>
    </w:p>
    <w:p w14:paraId="4C55BD84">
      <w:pPr>
        <w:rPr>
          <w:color w:val="000000" w:themeColor="text1"/>
          <w14:textFill>
            <w14:solidFill>
              <w14:schemeClr w14:val="tx1"/>
            </w14:solidFill>
          </w14:textFill>
        </w:rPr>
      </w:pPr>
    </w:p>
    <w:p w14:paraId="105456F0">
      <w:pPr>
        <w:rPr>
          <w:color w:val="000000" w:themeColor="text1"/>
          <w14:textFill>
            <w14:solidFill>
              <w14:schemeClr w14:val="tx1"/>
            </w14:solidFill>
          </w14:textFill>
        </w:rPr>
      </w:pPr>
    </w:p>
    <w:p w14:paraId="0E97E179">
      <w:pPr>
        <w:rPr>
          <w:color w:val="000000" w:themeColor="text1"/>
          <w14:textFill>
            <w14:solidFill>
              <w14:schemeClr w14:val="tx1"/>
            </w14:solidFill>
          </w14:textFill>
        </w:rPr>
      </w:pPr>
    </w:p>
    <w:p w14:paraId="73B19FD8">
      <w:pPr>
        <w:rPr>
          <w:color w:val="000000" w:themeColor="text1"/>
          <w14:textFill>
            <w14:solidFill>
              <w14:schemeClr w14:val="tx1"/>
            </w14:solidFill>
          </w14:textFill>
        </w:rPr>
      </w:pPr>
    </w:p>
    <w:p w14:paraId="004E06DA">
      <w:pPr>
        <w:rPr>
          <w:color w:val="000000" w:themeColor="text1"/>
          <w14:textFill>
            <w14:solidFill>
              <w14:schemeClr w14:val="tx1"/>
            </w14:solidFill>
          </w14:textFill>
        </w:rPr>
      </w:pPr>
    </w:p>
    <w:p w14:paraId="4C698388">
      <w:pPr>
        <w:rPr>
          <w:color w:val="000000" w:themeColor="text1"/>
          <w14:textFill>
            <w14:solidFill>
              <w14:schemeClr w14:val="tx1"/>
            </w14:solidFill>
          </w14:textFill>
        </w:rPr>
      </w:pPr>
    </w:p>
    <w:p w14:paraId="06E7C3F0">
      <w:pPr>
        <w:rPr>
          <w:color w:val="000000" w:themeColor="text1"/>
          <w14:textFill>
            <w14:solidFill>
              <w14:schemeClr w14:val="tx1"/>
            </w14:solidFill>
          </w14:textFill>
        </w:rPr>
      </w:pPr>
    </w:p>
    <w:p w14:paraId="045493A6">
      <w:pPr>
        <w:rPr>
          <w:color w:val="000000" w:themeColor="text1"/>
          <w14:textFill>
            <w14:solidFill>
              <w14:schemeClr w14:val="tx1"/>
            </w14:solidFill>
          </w14:textFill>
        </w:rPr>
      </w:pPr>
    </w:p>
    <w:p w14:paraId="3BB10964">
      <w:pPr>
        <w:rPr>
          <w:color w:val="000000" w:themeColor="text1"/>
          <w14:textFill>
            <w14:solidFill>
              <w14:schemeClr w14:val="tx1"/>
            </w14:solidFill>
          </w14:textFill>
        </w:rPr>
      </w:pPr>
    </w:p>
    <w:p w14:paraId="11C2231D">
      <w:pPr>
        <w:rPr>
          <w:color w:val="000000" w:themeColor="text1"/>
          <w14:textFill>
            <w14:solidFill>
              <w14:schemeClr w14:val="tx1"/>
            </w14:solidFill>
          </w14:textFill>
        </w:rPr>
      </w:pPr>
    </w:p>
    <w:sdt>
      <w:sdtPr>
        <w:tag w:val="_PLD_845fa8b330524542a31e33dd31c44bb8"/>
        <w:id w:val="1833095562"/>
      </w:sdtPr>
      <w:sdtContent>
        <w:p w14:paraId="5FC9C495">
          <w:pPr>
            <w:pStyle w:val="33"/>
            <w:spacing w:after="280" w:afterAutospacing="0"/>
            <w:jc w:val="center"/>
            <w:rPr>
              <w:b/>
              <w:bCs w:val="0"/>
              <w:color w:val="000000" w:themeColor="text1"/>
              <w:sz w:val="28"/>
              <w:szCs w:val="28"/>
              <w14:textFill>
                <w14:solidFill>
                  <w14:schemeClr w14:val="tx1"/>
                </w14:solidFill>
              </w14:textFill>
            </w:rPr>
          </w:pPr>
          <w:bookmarkStart w:id="0" w:name="_Toc387656034"/>
          <w:r>
            <w:rPr>
              <w:rFonts w:hint="eastAsia"/>
              <w:b/>
              <w:color w:val="000000" w:themeColor="text1"/>
              <w:sz w:val="28"/>
              <w:szCs w:val="28"/>
              <w14:textFill>
                <w14:solidFill>
                  <w14:schemeClr w14:val="tx1"/>
                </w14:solidFill>
              </w14:textFill>
            </w:rPr>
            <w:t>重要提示</w:t>
          </w:r>
        </w:p>
      </w:sdtContent>
    </w:sdt>
    <w:bookmarkEnd w:id="0"/>
    <w:sdt>
      <w:sdtPr>
        <w:rPr>
          <w:rFonts w:hint="eastAsia" w:ascii="宋体" w:hAnsi="宋体"/>
          <w:color w:val="000000" w:themeColor="text1"/>
          <w14:textFill>
            <w14:solidFill>
              <w14:schemeClr w14:val="tx1"/>
            </w14:solidFill>
          </w14:textFill>
        </w:rPr>
        <w:alias w:val="董事会及董事声明"/>
        <w:tag w:val="_GBC_6c6da163383e4e4c92758ff24076a138"/>
        <w:id w:val="-174344806"/>
        <w:placeholder>
          <w:docPart w:val="GBC22222222222222222222222222222"/>
        </w:placeholder>
      </w:sdtPr>
      <w:sdtEndPr>
        <w:rPr>
          <w:rFonts w:hint="eastAsia" w:ascii="宋体" w:hAnsi="宋体"/>
          <w:color w:val="000000" w:themeColor="text1"/>
          <w14:textFill>
            <w14:solidFill>
              <w14:schemeClr w14:val="tx1"/>
            </w14:solidFill>
          </w14:textFill>
        </w:rPr>
      </w:sdtEndPr>
      <w:sdtContent>
        <w:p w14:paraId="5A87790B">
          <w:pPr>
            <w:pStyle w:val="3"/>
            <w:numPr>
              <w:ilvl w:val="0"/>
              <w:numId w:val="1"/>
            </w:numPr>
            <w:tabs>
              <w:tab w:val="left" w:pos="434"/>
            </w:tabs>
            <w:spacing w:before="0" w:after="0" w:line="360" w:lineRule="auto"/>
            <w:ind w:left="0" w:firstLine="0"/>
            <w:rPr>
              <w:rFonts w:hint="eastAsia" w:ascii="宋体" w:hAnsi="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本公司董事会及董事、高级管理人员保证</w:t>
          </w:r>
          <w:r>
            <w:rPr>
              <w:rFonts w:hint="eastAsia" w:ascii="宋体" w:hAnsi="宋体" w:cs="宋体"/>
              <w:color w:val="000000" w:themeColor="text1"/>
              <w14:textFill>
                <w14:solidFill>
                  <w14:schemeClr w14:val="tx1"/>
                </w14:solidFill>
              </w14:textFill>
            </w:rPr>
            <w:t>半</w:t>
          </w:r>
          <w:r>
            <w:rPr>
              <w:rFonts w:ascii="宋体" w:hAnsi="宋体" w:cs="宋体"/>
              <w:color w:val="000000" w:themeColor="text1"/>
              <w14:textFill>
                <w14:solidFill>
                  <w14:schemeClr w14:val="tx1"/>
                </w14:solidFill>
              </w14:textFill>
            </w:rPr>
            <w:t>年度报告内容的真实</w:t>
          </w:r>
          <w:r>
            <w:rPr>
              <w:rFonts w:hint="eastAsia" w:ascii="宋体" w:hAnsi="宋体" w:cs="宋体"/>
              <w:color w:val="000000" w:themeColor="text1"/>
              <w14:textFill>
                <w14:solidFill>
                  <w14:schemeClr w14:val="tx1"/>
                </w14:solidFill>
              </w14:textFill>
            </w:rPr>
            <w:t>性</w:t>
          </w:r>
          <w:r>
            <w:rPr>
              <w:rFonts w:ascii="宋体" w:hAnsi="宋体" w:cs="宋体"/>
              <w:color w:val="000000" w:themeColor="text1"/>
              <w14:textFill>
                <w14:solidFill>
                  <w14:schemeClr w14:val="tx1"/>
                </w14:solidFill>
              </w14:textFill>
            </w:rPr>
            <w:t>、准确</w:t>
          </w:r>
          <w:r>
            <w:rPr>
              <w:rFonts w:hint="eastAsia" w:ascii="宋体" w:hAnsi="宋体" w:cs="宋体"/>
              <w:color w:val="000000" w:themeColor="text1"/>
              <w14:textFill>
                <w14:solidFill>
                  <w14:schemeClr w14:val="tx1"/>
                </w14:solidFill>
              </w14:textFill>
            </w:rPr>
            <w:t>性</w:t>
          </w:r>
          <w:r>
            <w:rPr>
              <w:rFonts w:ascii="宋体" w:hAnsi="宋体" w:cs="宋体"/>
              <w:color w:val="000000" w:themeColor="text1"/>
              <w14:textFill>
                <w14:solidFill>
                  <w14:schemeClr w14:val="tx1"/>
                </w14:solidFill>
              </w14:textFill>
            </w:rPr>
            <w:t>、完整</w:t>
          </w:r>
          <w:r>
            <w:rPr>
              <w:rFonts w:hint="eastAsia" w:ascii="宋体" w:hAnsi="宋体" w:cs="宋体"/>
              <w:color w:val="000000" w:themeColor="text1"/>
              <w14:textFill>
                <w14:solidFill>
                  <w14:schemeClr w14:val="tx1"/>
                </w14:solidFill>
              </w14:textFill>
            </w:rPr>
            <w:t>性</w:t>
          </w:r>
          <w:r>
            <w:rPr>
              <w:rFonts w:ascii="宋体" w:hAnsi="宋体" w:cs="宋体"/>
              <w:color w:val="000000" w:themeColor="text1"/>
              <w14:textFill>
                <w14:solidFill>
                  <w14:schemeClr w14:val="tx1"/>
                </w14:solidFill>
              </w14:textFill>
            </w:rPr>
            <w:t>，不存在虚假记载、误导性陈述或重大遗漏，并承担个别和连带的法律责任。</w:t>
          </w:r>
        </w:p>
      </w:sdtContent>
    </w:sdt>
    <w:p w14:paraId="1A3B90F0"/>
    <w:p w14:paraId="7A33F6EA">
      <w:pPr>
        <w:pStyle w:val="3"/>
        <w:numPr>
          <w:ilvl w:val="0"/>
          <w:numId w:val="1"/>
        </w:numPr>
        <w:tabs>
          <w:tab w:val="left" w:pos="448"/>
        </w:tabs>
        <w:spacing w:before="0" w:after="0" w:line="360" w:lineRule="auto"/>
        <w:ind w:left="0" w:firstLine="0"/>
        <w:rPr>
          <w:rFonts w:hint="eastAsia" w:ascii="宋体" w:hAnsi="宋体"/>
          <w:color w:val="000000" w:themeColor="text1"/>
          <w14:textFill>
            <w14:solidFill>
              <w14:schemeClr w14:val="tx1"/>
            </w14:solidFill>
          </w14:textFill>
        </w:rPr>
      </w:pPr>
      <w:bookmarkStart w:id="1" w:name="_Hlk106871957"/>
      <w:bookmarkEnd w:id="1"/>
      <w:r>
        <w:rPr>
          <w:rFonts w:hint="eastAsia" w:ascii="宋体" w:hAnsi="宋体"/>
          <w:color w:val="000000" w:themeColor="text1"/>
          <w14:textFill>
            <w14:solidFill>
              <w14:schemeClr w14:val="tx1"/>
            </w14:solidFill>
          </w14:textFill>
        </w:rPr>
        <w:t>公司</w:t>
      </w:r>
      <w:sdt>
        <w:sdtPr>
          <w:tag w:val="_GBC_2e0ee33ebae04a83b92e8b1aa6754169"/>
          <w:id w:val="935322685"/>
        </w:sdtPr>
        <w:sdtContent>
          <w:r>
            <w:rPr>
              <w:rFonts w:hint="eastAsia" w:ascii="宋体" w:hAnsi="宋体"/>
              <w:color w:val="000000" w:themeColor="text1"/>
              <w14:textFill>
                <w14:solidFill>
                  <w14:schemeClr w14:val="tx1"/>
                </w14:solidFill>
              </w14:textFill>
            </w:rPr>
            <w:t>全体董事出席</w:t>
          </w:r>
        </w:sdtContent>
      </w:sdt>
      <w:r>
        <w:rPr>
          <w:rFonts w:hint="eastAsia" w:ascii="宋体" w:hAnsi="宋体"/>
          <w:color w:val="000000" w:themeColor="text1"/>
          <w14:textFill>
            <w14:solidFill>
              <w14:schemeClr w14:val="tx1"/>
            </w14:solidFill>
          </w14:textFill>
        </w:rPr>
        <w:t>董事会会议。</w:t>
      </w:r>
    </w:p>
    <w:p w14:paraId="369463E6">
      <w:pPr>
        <w:rPr>
          <w:color w:val="000000" w:themeColor="text1"/>
          <w14:textFill>
            <w14:solidFill>
              <w14:schemeClr w14:val="tx1"/>
            </w14:solidFill>
          </w14:textFill>
        </w:rPr>
      </w:pPr>
    </w:p>
    <w:p w14:paraId="75C92FD0">
      <w:pPr>
        <w:rPr>
          <w:color w:val="000000" w:themeColor="text1"/>
          <w14:textFill>
            <w14:solidFill>
              <w14:schemeClr w14:val="tx1"/>
            </w14:solidFill>
          </w14:textFill>
        </w:rPr>
      </w:pPr>
    </w:p>
    <w:p w14:paraId="423C46C8">
      <w:pPr>
        <w:pStyle w:val="3"/>
        <w:numPr>
          <w:ilvl w:val="0"/>
          <w:numId w:val="1"/>
        </w:numPr>
        <w:tabs>
          <w:tab w:val="left" w:pos="490"/>
        </w:tabs>
        <w:spacing w:before="0" w:after="0" w:line="360" w:lineRule="auto"/>
        <w:ind w:left="0" w:firstLine="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本半年度报告</w:t>
      </w:r>
      <w:sdt>
        <w:sdtPr>
          <w:tag w:val="_GBC_be15b7a71d95430e82193d4cab461623"/>
          <w:id w:val="1916969512"/>
        </w:sdtPr>
        <w:sdtContent>
          <w:r>
            <w:rPr>
              <w:rFonts w:hint="eastAsia" w:ascii="宋体" w:hAnsi="宋体"/>
              <w:color w:val="000000" w:themeColor="text1"/>
              <w14:textFill>
                <w14:solidFill>
                  <w14:schemeClr w14:val="tx1"/>
                </w14:solidFill>
              </w14:textFill>
            </w:rPr>
            <w:t>未经审计</w:t>
          </w:r>
        </w:sdtContent>
      </w:sdt>
      <w:r>
        <w:rPr>
          <w:rFonts w:hint="eastAsia" w:ascii="宋体" w:hAnsi="宋体"/>
          <w:color w:val="000000" w:themeColor="text1"/>
          <w14:textFill>
            <w14:solidFill>
              <w14:schemeClr w14:val="tx1"/>
            </w14:solidFill>
          </w14:textFill>
        </w:rPr>
        <w:t>。</w:t>
      </w:r>
    </w:p>
    <w:p w14:paraId="1D744930">
      <w:pPr>
        <w:rPr>
          <w:color w:val="000000" w:themeColor="text1"/>
          <w14:textFill>
            <w14:solidFill>
              <w14:schemeClr w14:val="tx1"/>
            </w14:solidFill>
          </w14:textFill>
        </w:rPr>
      </w:pPr>
    </w:p>
    <w:p w14:paraId="11288ACF">
      <w:pPr>
        <w:pStyle w:val="3"/>
        <w:numPr>
          <w:ilvl w:val="0"/>
          <w:numId w:val="1"/>
        </w:numPr>
        <w:tabs>
          <w:tab w:val="left" w:pos="434"/>
        </w:tabs>
        <w:spacing w:before="0" w:after="0" w:line="360" w:lineRule="auto"/>
        <w:ind w:left="0" w:firstLine="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公司负责人</w:t>
      </w:r>
      <w:sdt>
        <w:sdtPr>
          <w:rPr>
            <w:rFonts w:ascii="宋体" w:hAnsi="宋体"/>
            <w:color w:val="000000" w:themeColor="text1"/>
            <w14:textFill>
              <w14:solidFill>
                <w14:schemeClr w14:val="tx1"/>
              </w14:solidFill>
            </w14:textFill>
          </w:rPr>
          <w:alias w:val="公司负责人姓名"/>
          <w:tag w:val="_GBC_ee6b72f666bb497bbe8fc037096654d2"/>
          <w:id w:val="871421484"/>
          <w:placeholder>
            <w:docPart w:val="GBC22222222222222222222222222222"/>
          </w:placeholder>
          <w:dataBinding w:prefixMappings="xmlns:clcid-mr='clcid-mr'" w:xpath="/*/clcid-mr:GongSiFuZeRenXingMing[not(@periodRef)]" w:storeItemID="{89EBAB94-44A0-46A2-B712-30D997D04A6D}"/>
          <w:text/>
        </w:sdtPr>
        <w:sdtEndPr>
          <w:rPr>
            <w:rFonts w:ascii="宋体" w:hAnsi="宋体"/>
            <w:color w:val="000000" w:themeColor="text1"/>
            <w14:textFill>
              <w14:solidFill>
                <w14:schemeClr w14:val="tx1"/>
              </w14:solidFill>
            </w14:textFill>
          </w:rPr>
        </w:sdtEndPr>
        <w:sdtContent>
          <w:r>
            <w:rPr>
              <w:rFonts w:hint="eastAsia" w:ascii="宋体" w:hAnsi="宋体"/>
              <w:color w:val="000000" w:themeColor="text1"/>
              <w14:textFill>
                <w14:solidFill>
                  <w14:schemeClr w14:val="tx1"/>
                </w14:solidFill>
              </w14:textFill>
            </w:rPr>
            <w:t>唐传勤</w:t>
          </w:r>
        </w:sdtContent>
      </w:sdt>
      <w:r>
        <w:rPr>
          <w:rFonts w:hint="eastAsia" w:ascii="宋体" w:hAnsi="宋体"/>
          <w:color w:val="000000" w:themeColor="text1"/>
          <w14:textFill>
            <w14:solidFill>
              <w14:schemeClr w14:val="tx1"/>
            </w14:solidFill>
          </w14:textFill>
        </w:rPr>
        <w:t>、主管会计工作负责人</w:t>
      </w:r>
      <w:sdt>
        <w:sdtPr>
          <w:rPr>
            <w:rFonts w:hint="eastAsia" w:ascii="宋体" w:hAnsi="宋体"/>
            <w:color w:val="000000" w:themeColor="text1"/>
            <w14:textFill>
              <w14:solidFill>
                <w14:schemeClr w14:val="tx1"/>
              </w14:solidFill>
            </w14:textFill>
          </w:rPr>
          <w:alias w:val="主管会计工作负责人姓名"/>
          <w:tag w:val="_GBC_51ed55c6ff134dadaa6756998c964cdf"/>
          <w:id w:val="-1175033303"/>
          <w:placeholder>
            <w:docPart w:val="GBC22222222222222222222222222222"/>
          </w:placeholder>
          <w:dataBinding w:prefixMappings="xmlns:clcid-mr='clcid-mr'" w:xpath="/*/clcid-mr:ZhuGuanKuaiJiGongZuoFuZeRenXingMing[not(@periodRef)]" w:storeItemID="{89EBAB94-44A0-46A2-B712-30D997D04A6D}"/>
          <w:text/>
        </w:sdtPr>
        <w:sdtEndPr>
          <w:rPr>
            <w:rFonts w:hint="eastAsia" w:ascii="宋体" w:hAnsi="宋体"/>
            <w:color w:val="000000" w:themeColor="text1"/>
            <w14:textFill>
              <w14:solidFill>
                <w14:schemeClr w14:val="tx1"/>
              </w14:solidFill>
            </w14:textFill>
          </w:rPr>
        </w:sdtEndPr>
        <w:sdtContent>
          <w:r>
            <w:rPr>
              <w:rFonts w:hint="eastAsia" w:ascii="宋体" w:hAnsi="宋体"/>
              <w:color w:val="000000" w:themeColor="text1"/>
              <w14:textFill>
                <w14:solidFill>
                  <w14:schemeClr w14:val="tx1"/>
                </w14:solidFill>
              </w14:textFill>
            </w:rPr>
            <w:t>宋荣超</w:t>
          </w:r>
        </w:sdtContent>
      </w:sdt>
      <w:r>
        <w:rPr>
          <w:rFonts w:hint="eastAsia" w:ascii="宋体" w:hAnsi="宋体"/>
          <w:color w:val="000000" w:themeColor="text1"/>
          <w14:textFill>
            <w14:solidFill>
              <w14:schemeClr w14:val="tx1"/>
            </w14:solidFill>
          </w14:textFill>
        </w:rPr>
        <w:t>及会计机构负责人（会计主管人员）</w:t>
      </w:r>
      <w:sdt>
        <w:sdtPr>
          <w:rPr>
            <w:rFonts w:hint="eastAsia" w:ascii="宋体" w:hAnsi="宋体"/>
            <w:color w:val="000000" w:themeColor="text1"/>
            <w14:textFill>
              <w14:solidFill>
                <w14:schemeClr w14:val="tx1"/>
              </w14:solidFill>
            </w14:textFill>
          </w:rPr>
          <w:alias w:val="会计机构负责人姓名"/>
          <w:tag w:val="_GBC_aa7d9e44d6e64b9abdcdefb4a3968427"/>
          <w:id w:val="-26036147"/>
          <w:placeholder>
            <w:docPart w:val="GBC22222222222222222222222222222"/>
          </w:placeholder>
          <w:dataBinding w:prefixMappings="xmlns:clcid-mr='clcid-mr'" w:xpath="/*/clcid-mr:KuaiJiJiGouFuZeRenXingMing[not(@periodRef)]" w:storeItemID="{89EBAB94-44A0-46A2-B712-30D997D04A6D}"/>
          <w:text/>
        </w:sdtPr>
        <w:sdtEndPr>
          <w:rPr>
            <w:rFonts w:hint="eastAsia" w:ascii="宋体" w:hAnsi="宋体"/>
            <w:color w:val="000000" w:themeColor="text1"/>
            <w14:textFill>
              <w14:solidFill>
                <w14:schemeClr w14:val="tx1"/>
              </w14:solidFill>
            </w14:textFill>
          </w:rPr>
        </w:sdtEndPr>
        <w:sdtContent>
          <w:r>
            <w:rPr>
              <w:rFonts w:hint="eastAsia" w:ascii="宋体" w:hAnsi="宋体"/>
              <w:color w:val="000000" w:themeColor="text1"/>
              <w14:textFill>
                <w14:solidFill>
                  <w14:schemeClr w14:val="tx1"/>
                </w14:solidFill>
              </w14:textFill>
            </w:rPr>
            <w:t>张小嫘</w:t>
          </w:r>
        </w:sdtContent>
      </w:sdt>
      <w:r>
        <w:rPr>
          <w:rFonts w:hint="eastAsia" w:ascii="宋体" w:hAnsi="宋体"/>
          <w:color w:val="000000" w:themeColor="text1"/>
          <w14:textFill>
            <w14:solidFill>
              <w14:schemeClr w14:val="tx1"/>
            </w14:solidFill>
          </w14:textFill>
        </w:rPr>
        <w:t>声明：保证半年度报告中财务报告的真实、准确、完整。</w:t>
      </w:r>
    </w:p>
    <w:p w14:paraId="5B61EEE7">
      <w:pPr>
        <w:rPr>
          <w:color w:val="000000" w:themeColor="text1"/>
          <w14:textFill>
            <w14:solidFill>
              <w14:schemeClr w14:val="tx1"/>
            </w14:solidFill>
          </w14:textFill>
        </w:rPr>
      </w:pPr>
    </w:p>
    <w:p w14:paraId="57170D9A">
      <w:pPr>
        <w:pStyle w:val="3"/>
        <w:numPr>
          <w:ilvl w:val="0"/>
          <w:numId w:val="1"/>
        </w:numPr>
        <w:tabs>
          <w:tab w:val="left" w:pos="490"/>
        </w:tabs>
        <w:spacing w:before="0" w:after="0" w:line="360" w:lineRule="auto"/>
        <w:ind w:left="0" w:firstLine="0"/>
        <w:rPr>
          <w:rFonts w:hint="eastAsia" w:ascii="宋体" w:hAnsi="宋体"/>
          <w:color w:val="000000" w:themeColor="text1"/>
          <w:sz w:val="24"/>
          <w:szCs w:val="24"/>
          <w14:textFill>
            <w14:solidFill>
              <w14:schemeClr w14:val="tx1"/>
            </w14:solidFill>
          </w14:textFill>
        </w:rPr>
      </w:pPr>
      <w:r>
        <w:rPr>
          <w:rFonts w:ascii="宋体" w:hAnsi="宋体"/>
          <w:color w:val="000000" w:themeColor="text1"/>
          <w14:textFill>
            <w14:solidFill>
              <w14:schemeClr w14:val="tx1"/>
            </w14:solidFill>
          </w14:textFill>
        </w:rPr>
        <w:t>董事会</w:t>
      </w:r>
      <w:r>
        <w:rPr>
          <w:color w:val="000000" w:themeColor="text1"/>
          <w14:textFill>
            <w14:solidFill>
              <w14:schemeClr w14:val="tx1"/>
            </w14:solidFill>
          </w14:textFill>
        </w:rPr>
        <w:t>决议通过的本报告期利润分配预案或公积金转增股本预案</w:t>
      </w:r>
    </w:p>
    <w:sdt>
      <w:sdtPr>
        <w:rPr>
          <w:rFonts w:hint="eastAsia"/>
          <w:color w:val="000000" w:themeColor="text1"/>
          <w14:textFill>
            <w14:solidFill>
              <w14:schemeClr w14:val="tx1"/>
            </w14:solidFill>
          </w14:textFill>
        </w:rPr>
        <w:alias w:val="经董事会审议的报告期利润分配预案或公积金转增股本预案"/>
        <w:tag w:val="_GBC_7676626d447143468bebcc8d267ec746"/>
        <w:id w:val="-1078971398"/>
        <w:placeholder>
          <w:docPart w:val="GBC22222222222222222222222222222"/>
        </w:placeholder>
      </w:sdtPr>
      <w:sdtEndPr>
        <w:rPr>
          <w:rFonts w:hint="eastAsia"/>
          <w:color w:val="000000" w:themeColor="text1"/>
          <w14:textFill>
            <w14:solidFill>
              <w14:schemeClr w14:val="tx1"/>
            </w14:solidFill>
          </w14:textFill>
        </w:rPr>
      </w:sdtEndPr>
      <w:sdtContent>
        <w:p w14:paraId="2A71A630">
          <w:pPr>
            <w:kinsoku w:val="0"/>
            <w:overflowPunct w:val="0"/>
            <w:autoSpaceDE w:val="0"/>
            <w:autoSpaceDN w:val="0"/>
            <w:adjustRightInd w:val="0"/>
            <w:snapToGrid w:val="0"/>
            <w:spacing w:line="360" w:lineRule="exact"/>
            <w:rPr>
              <w:color w:val="000000" w:themeColor="text1"/>
              <w14:textFill>
                <w14:solidFill>
                  <w14:schemeClr w14:val="tx1"/>
                </w14:solidFill>
              </w14:textFill>
            </w:rPr>
          </w:pPr>
          <w:sdt>
            <w:sdtPr>
              <w:rPr>
                <w:color w:val="000000" w:themeColor="text1"/>
                <w14:textFill>
                  <w14:solidFill>
                    <w14:schemeClr w14:val="tx1"/>
                  </w14:solidFill>
                </w14:textFill>
              </w:rPr>
              <w:alias w:val="经董事会审议的报告期利润分配预案或公积金转增股本预案"/>
              <w:tag w:val="_GBC_7676626d447143468bebcc8d267ec746"/>
              <w:id w:val="860947724"/>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公司2026年半年度利润不分配，资本公积金不转增股本。</w:t>
              </w:r>
            </w:sdtContent>
          </w:sdt>
        </w:p>
      </w:sdtContent>
    </w:sdt>
    <w:p w14:paraId="65013FB9">
      <w:pPr>
        <w:kinsoku w:val="0"/>
        <w:overflowPunct w:val="0"/>
        <w:autoSpaceDE w:val="0"/>
        <w:autoSpaceDN w:val="0"/>
        <w:adjustRightInd w:val="0"/>
        <w:snapToGrid w:val="0"/>
        <w:spacing w:line="360" w:lineRule="exact"/>
        <w:rPr>
          <w:color w:val="000000" w:themeColor="text1"/>
          <w14:textFill>
            <w14:solidFill>
              <w14:schemeClr w14:val="tx1"/>
            </w14:solidFill>
          </w14:textFill>
        </w:rPr>
      </w:pPr>
    </w:p>
    <w:p w14:paraId="7BF69690">
      <w:pPr>
        <w:pStyle w:val="3"/>
        <w:numPr>
          <w:ilvl w:val="0"/>
          <w:numId w:val="1"/>
        </w:numPr>
        <w:tabs>
          <w:tab w:val="left" w:pos="504"/>
        </w:tabs>
        <w:spacing w:before="0" w:after="0" w:line="360" w:lineRule="auto"/>
        <w:ind w:left="0" w:firstLine="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前瞻性陈述的风险声明</w:t>
      </w:r>
    </w:p>
    <w:sdt>
      <w:sdtPr>
        <w:rPr>
          <w:color w:val="000000" w:themeColor="text1"/>
          <w14:textFill>
            <w14:solidFill>
              <w14:schemeClr w14:val="tx1"/>
            </w14:solidFill>
          </w14:textFill>
        </w:rPr>
        <w:alias w:val="是否适用：前瞻性陈述的风险声明[双击切换]"/>
        <w:tag w:val="_GBC_6a28949332914149bda7cc0225d614b7"/>
        <w:id w:val="1357317324"/>
        <w:placeholder>
          <w:docPart w:val="GBC22222222222222222222222222222"/>
        </w:placeholder>
      </w:sdtPr>
      <w:sdtEndPr>
        <w:rPr>
          <w:color w:val="000000" w:themeColor="text1"/>
          <w14:textFill>
            <w14:solidFill>
              <w14:schemeClr w14:val="tx1"/>
            </w14:solidFill>
          </w14:textFill>
        </w:rPr>
      </w:sdtEndPr>
      <w:sdtContent>
        <w:p w14:paraId="3DFB03E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rFonts w:hint="eastAsia"/>
          <w:color w:val="000000" w:themeColor="text1"/>
          <w14:textFill>
            <w14:solidFill>
              <w14:schemeClr w14:val="tx1"/>
            </w14:solidFill>
          </w14:textFill>
        </w:rPr>
        <w:alias w:val="公司对报告涉及未来计划等前瞻性陈述的声明"/>
        <w:tag w:val="_GBC_6511b5aecc604062ad93b5fbd25fd19b"/>
        <w:id w:val="1391002323"/>
        <w:placeholder>
          <w:docPart w:val="E81A94F281794D32ADEBDC383B0BADB2"/>
        </w:placeholder>
      </w:sdtPr>
      <w:sdtEndPr>
        <w:rPr>
          <w:rFonts w:hint="eastAsia"/>
          <w:color w:val="000000" w:themeColor="text1"/>
          <w14:textFill>
            <w14:solidFill>
              <w14:schemeClr w14:val="tx1"/>
            </w14:solidFill>
          </w14:textFill>
        </w:rPr>
      </w:sdtEndPr>
      <w:sdtContent>
        <w:p w14:paraId="30AFF145">
          <w:pPr>
            <w:spacing w:line="360" w:lineRule="auto"/>
            <w:ind w:firstLine="420" w:firstLineChars="200"/>
          </w:pPr>
          <w:r>
            <w:rPr>
              <w:rFonts w:hint="eastAsia"/>
              <w:color w:val="000000" w:themeColor="text1"/>
              <w14:textFill>
                <w14:solidFill>
                  <w14:schemeClr w14:val="tx1"/>
                </w14:solidFill>
              </w14:textFill>
            </w:rPr>
            <w:t>公司有关未来发展战略和经营计划的前瞻性陈述并不构成公司对投资者的实质性承诺，请投资者注意风险。</w:t>
          </w:r>
        </w:p>
      </w:sdtContent>
    </w:sdt>
    <w:p w14:paraId="61D19CD7">
      <w:pPr>
        <w:kinsoku w:val="0"/>
        <w:overflowPunct w:val="0"/>
        <w:autoSpaceDE w:val="0"/>
        <w:autoSpaceDN w:val="0"/>
        <w:adjustRightInd w:val="0"/>
        <w:snapToGrid w:val="0"/>
        <w:spacing w:line="360" w:lineRule="exact"/>
        <w:rPr>
          <w:color w:val="000000" w:themeColor="text1"/>
          <w14:textFill>
            <w14:solidFill>
              <w14:schemeClr w14:val="tx1"/>
            </w14:solidFill>
          </w14:textFill>
        </w:rPr>
      </w:pPr>
    </w:p>
    <w:p w14:paraId="417AE1D6">
      <w:pPr>
        <w:pStyle w:val="3"/>
        <w:numPr>
          <w:ilvl w:val="0"/>
          <w:numId w:val="1"/>
        </w:numPr>
        <w:tabs>
          <w:tab w:val="left" w:pos="434"/>
          <w:tab w:val="left" w:pos="644"/>
        </w:tabs>
        <w:spacing w:before="0" w:after="0" w:line="360" w:lineRule="auto"/>
        <w:ind w:left="0" w:firstLine="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是否存在被控股股东及其</w:t>
      </w:r>
      <w:r>
        <w:rPr>
          <w:rFonts w:hint="eastAsia" w:ascii="宋体" w:hAnsi="宋体"/>
          <w:color w:val="000000" w:themeColor="text1"/>
          <w14:textFill>
            <w14:solidFill>
              <w14:schemeClr w14:val="tx1"/>
            </w14:solidFill>
          </w14:textFill>
        </w:rPr>
        <w:t>他</w:t>
      </w:r>
      <w:r>
        <w:rPr>
          <w:rFonts w:ascii="宋体" w:hAnsi="宋体"/>
          <w:color w:val="000000" w:themeColor="text1"/>
          <w14:textFill>
            <w14:solidFill>
              <w14:schemeClr w14:val="tx1"/>
            </w14:solidFill>
          </w14:textFill>
        </w:rPr>
        <w:t>关联方非经营性占用资金情况</w:t>
      </w:r>
    </w:p>
    <w:sdt>
      <w:sdtPr>
        <w:rPr>
          <w:rFonts w:hint="eastAsia"/>
          <w:bCs w:val="0"/>
          <w:color w:val="000000" w:themeColor="text1"/>
          <w14:textFill>
            <w14:solidFill>
              <w14:schemeClr w14:val="tx1"/>
            </w14:solidFill>
          </w14:textFill>
        </w:rPr>
        <w:alias w:val="本公司是否存在大股东占用资金情况"/>
        <w:tag w:val="_GBC_a32400ff33ee44d89632e0d79a7f2c42"/>
        <w:id w:val="-1331356354"/>
        <w:placeholder>
          <w:docPart w:val="GBC22222222222222222222222222222"/>
        </w:placeholder>
        <w:comboBox>
          <w:listItem w:displayText="是" w:value="true"/>
          <w:listItem w:displayText="否" w:value="false"/>
        </w:comboBox>
      </w:sdtPr>
      <w:sdtEndPr>
        <w:rPr>
          <w:rFonts w:hint="eastAsia"/>
          <w:bCs w:val="0"/>
          <w:color w:val="000000" w:themeColor="text1"/>
          <w14:textFill>
            <w14:solidFill>
              <w14:schemeClr w14:val="tx1"/>
            </w14:solidFill>
          </w14:textFill>
        </w:rPr>
      </w:sdtEndPr>
      <w:sdtContent>
        <w:p w14:paraId="2236A0A4">
          <w:pPr>
            <w:kinsoku w:val="0"/>
            <w:overflowPunct w:val="0"/>
            <w:autoSpaceDE w:val="0"/>
            <w:autoSpaceDN w:val="0"/>
            <w:adjustRightInd w:val="0"/>
            <w:snapToGrid w:val="0"/>
            <w:spacing w:line="360" w:lineRule="exact"/>
            <w:rPr>
              <w:bCs w:val="0"/>
              <w:color w:val="000000" w:themeColor="text1"/>
              <w14:textFill>
                <w14:solidFill>
                  <w14:schemeClr w14:val="tx1"/>
                </w14:solidFill>
              </w14:textFill>
            </w:rPr>
          </w:pPr>
          <w:r>
            <w:rPr>
              <w:rFonts w:hint="eastAsia"/>
              <w:bCs w:val="0"/>
              <w:color w:val="000000" w:themeColor="text1"/>
              <w14:textFill>
                <w14:solidFill>
                  <w14:schemeClr w14:val="tx1"/>
                </w14:solidFill>
              </w14:textFill>
            </w:rPr>
            <w:t>否</w:t>
          </w:r>
        </w:p>
      </w:sdtContent>
    </w:sdt>
    <w:p w14:paraId="24BD7B83">
      <w:pPr>
        <w:kinsoku w:val="0"/>
        <w:overflowPunct w:val="0"/>
        <w:autoSpaceDE w:val="0"/>
        <w:autoSpaceDN w:val="0"/>
        <w:adjustRightInd w:val="0"/>
        <w:snapToGrid w:val="0"/>
        <w:spacing w:line="360" w:lineRule="exact"/>
        <w:rPr>
          <w:color w:val="000000" w:themeColor="text1"/>
          <w:shd w:val="pct15" w:color="auto" w:fill="FFFFFF"/>
          <w14:textFill>
            <w14:solidFill>
              <w14:schemeClr w14:val="tx1"/>
            </w14:solidFill>
          </w14:textFill>
        </w:rPr>
      </w:pPr>
    </w:p>
    <w:p w14:paraId="14381274">
      <w:pPr>
        <w:pStyle w:val="3"/>
        <w:numPr>
          <w:ilvl w:val="0"/>
          <w:numId w:val="1"/>
        </w:numPr>
        <w:tabs>
          <w:tab w:val="left" w:pos="644"/>
        </w:tabs>
        <w:spacing w:before="0" w:after="0" w:line="360" w:lineRule="auto"/>
        <w:ind w:left="0" w:firstLine="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是否存在违反规定决策程序对外提供担保的情况</w:t>
      </w:r>
    </w:p>
    <w:sdt>
      <w:sdtPr>
        <w:rPr>
          <w:rFonts w:hint="eastAsia"/>
          <w:color w:val="000000" w:themeColor="text1"/>
          <w14:textFill>
            <w14:solidFill>
              <w14:schemeClr w14:val="tx1"/>
            </w14:solidFill>
          </w14:textFill>
        </w:rPr>
        <w:alias w:val="本公司是否存在违反规定决策程序对外提供担保的情况"/>
        <w:tag w:val="_GBC_3bc3f02bd342494aa2858bb9a39d8458"/>
        <w:id w:val="796646393"/>
        <w:placeholder>
          <w:docPart w:val="GBC22222222222222222222222222222"/>
        </w:placeholder>
        <w:comboBox>
          <w:listItem w:displayText="是" w:value="true"/>
          <w:listItem w:displayText="否" w:value="false"/>
        </w:comboBox>
      </w:sdtPr>
      <w:sdtEndPr>
        <w:rPr>
          <w:rFonts w:hint="eastAsia"/>
          <w:color w:val="000000" w:themeColor="text1"/>
          <w14:textFill>
            <w14:solidFill>
              <w14:schemeClr w14:val="tx1"/>
            </w14:solidFill>
          </w14:textFill>
        </w:rPr>
      </w:sdtEndPr>
      <w:sdtContent>
        <w:p w14:paraId="4628B904">
          <w:pPr>
            <w:rPr>
              <w:color w:val="000000" w:themeColor="text1"/>
              <w14:textFill>
                <w14:solidFill>
                  <w14:schemeClr w14:val="tx1"/>
                </w14:solidFill>
              </w14:textFill>
            </w:rPr>
          </w:pPr>
          <w:r>
            <w:rPr>
              <w:rFonts w:hint="eastAsia"/>
              <w:color w:val="000000" w:themeColor="text1"/>
              <w14:textFill>
                <w14:solidFill>
                  <w14:schemeClr w14:val="tx1"/>
                </w14:solidFill>
              </w14:textFill>
            </w:rPr>
            <w:t>否</w:t>
          </w:r>
        </w:p>
      </w:sdtContent>
    </w:sdt>
    <w:p w14:paraId="234EB63B">
      <w:pPr>
        <w:rPr>
          <w:color w:val="000000" w:themeColor="text1"/>
          <w14:textFill>
            <w14:solidFill>
              <w14:schemeClr w14:val="tx1"/>
            </w14:solidFill>
          </w14:textFill>
        </w:rPr>
      </w:pPr>
    </w:p>
    <w:p w14:paraId="1DB1BEDE">
      <w:pPr>
        <w:pStyle w:val="3"/>
        <w:numPr>
          <w:ilvl w:val="0"/>
          <w:numId w:val="1"/>
        </w:numPr>
        <w:tabs>
          <w:tab w:val="left" w:pos="644"/>
        </w:tabs>
        <w:spacing w:before="0" w:after="0" w:line="360" w:lineRule="auto"/>
        <w:ind w:left="0" w:firstLine="0"/>
        <w:rPr>
          <w:rFonts w:hint="eastAsia" w:ascii="宋体" w:hAnsi="宋体" w:cs="宋体"/>
          <w:color w:val="000000" w:themeColor="text1"/>
          <w:kern w:val="0"/>
          <w14:textFill>
            <w14:solidFill>
              <w14:schemeClr w14:val="tx1"/>
            </w14:solidFill>
          </w14:textFill>
        </w:rPr>
      </w:pPr>
      <w:bookmarkStart w:id="2" w:name="_Hlk61881950"/>
      <w:bookmarkStart w:id="3" w:name="_Hlk72769553"/>
      <w:r>
        <w:rPr>
          <w:rFonts w:ascii="宋体" w:hAnsi="宋体" w:cs="宋体"/>
          <w:color w:val="000000" w:themeColor="text1"/>
          <w:kern w:val="0"/>
          <w14:textFill>
            <w14:solidFill>
              <w14:schemeClr w14:val="tx1"/>
            </w14:solidFill>
          </w14:textFill>
        </w:rPr>
        <w:t>是否存在半数</w:t>
      </w:r>
      <w:r>
        <w:rPr>
          <w:rFonts w:hint="eastAsia" w:ascii="宋体" w:hAnsi="宋体" w:cs="宋体"/>
          <w:color w:val="000000" w:themeColor="text1"/>
          <w:kern w:val="0"/>
          <w14:textFill>
            <w14:solidFill>
              <w14:schemeClr w14:val="tx1"/>
            </w14:solidFill>
          </w14:textFill>
        </w:rPr>
        <w:t>以上</w:t>
      </w:r>
      <w:r>
        <w:rPr>
          <w:rFonts w:ascii="宋体" w:hAnsi="宋体" w:cs="宋体"/>
          <w:color w:val="000000" w:themeColor="text1"/>
          <w:kern w:val="0"/>
          <w14:textFill>
            <w14:solidFill>
              <w14:schemeClr w14:val="tx1"/>
            </w14:solidFill>
          </w14:textFill>
        </w:rPr>
        <w:t>董事无法保证公司所披露</w:t>
      </w:r>
      <w:r>
        <w:rPr>
          <w:rFonts w:hint="eastAsia" w:ascii="宋体" w:hAnsi="宋体" w:cs="宋体"/>
          <w:color w:val="000000" w:themeColor="text1"/>
          <w:kern w:val="0"/>
          <w14:textFill>
            <w14:solidFill>
              <w14:schemeClr w14:val="tx1"/>
            </w14:solidFill>
          </w14:textFill>
        </w:rPr>
        <w:t>半</w:t>
      </w:r>
      <w:r>
        <w:rPr>
          <w:rFonts w:ascii="宋体" w:hAnsi="宋体" w:cs="宋体"/>
          <w:color w:val="000000" w:themeColor="text1"/>
          <w:kern w:val="0"/>
          <w14:textFill>
            <w14:solidFill>
              <w14:schemeClr w14:val="tx1"/>
            </w14:solidFill>
          </w14:textFill>
        </w:rPr>
        <w:t>年度报告的真实性、准确性和完整性</w:t>
      </w:r>
      <w:bookmarkEnd w:id="2"/>
    </w:p>
    <w:sdt>
      <w:sdtPr>
        <w:rPr>
          <w:rFonts w:hint="eastAsia"/>
          <w:color w:val="000000" w:themeColor="text1"/>
          <w14:textFill>
            <w14:solidFill>
              <w14:schemeClr w14:val="tx1"/>
            </w14:solidFill>
          </w14:textFill>
        </w:rPr>
        <w:alias w:val="是否存在半数以上董事无法保证公司所披露年度报告的真实性、准确性和完整性"/>
        <w:tag w:val="_GBC_016ca2a0d8c2429a89679ee7fdc015c2"/>
        <w:id w:val="1312211620"/>
        <w:lock w:val="sdtLocked"/>
        <w:placeholder>
          <w:docPart w:val="GBC22222222222222222222222222222"/>
        </w:placeholder>
        <w:comboBox>
          <w:listItem w:displayText="是" w:value="true"/>
          <w:listItem w:displayText="否" w:value="false"/>
        </w:comboBox>
      </w:sdtPr>
      <w:sdtEndPr>
        <w:rPr>
          <w:rFonts w:hint="eastAsia"/>
          <w:color w:val="000000" w:themeColor="text1"/>
          <w14:textFill>
            <w14:solidFill>
              <w14:schemeClr w14:val="tx1"/>
            </w14:solidFill>
          </w14:textFill>
        </w:rPr>
      </w:sdtEndPr>
      <w:sdtContent>
        <w:p w14:paraId="46F3FE6C">
          <w:pPr>
            <w:rPr>
              <w:color w:val="000000" w:themeColor="text1"/>
              <w14:textFill>
                <w14:solidFill>
                  <w14:schemeClr w14:val="tx1"/>
                </w14:solidFill>
              </w14:textFill>
            </w:rPr>
          </w:pPr>
          <w:r>
            <w:rPr>
              <w:rFonts w:hint="eastAsia"/>
              <w:color w:val="000000" w:themeColor="text1"/>
              <w14:textFill>
                <w14:solidFill>
                  <w14:schemeClr w14:val="tx1"/>
                </w14:solidFill>
              </w14:textFill>
            </w:rPr>
            <w:t>否</w:t>
          </w:r>
        </w:p>
      </w:sdtContent>
    </w:sdt>
    <w:p w14:paraId="197462C8">
      <w:pPr>
        <w:rPr>
          <w:color w:val="000000" w:themeColor="text1"/>
          <w14:textFill>
            <w14:solidFill>
              <w14:schemeClr w14:val="tx1"/>
            </w14:solidFill>
          </w14:textFill>
        </w:rPr>
      </w:pPr>
    </w:p>
    <w:bookmarkEnd w:id="3"/>
    <w:p w14:paraId="20FE5B90">
      <w:pPr>
        <w:pStyle w:val="3"/>
        <w:numPr>
          <w:ilvl w:val="0"/>
          <w:numId w:val="1"/>
        </w:numPr>
        <w:tabs>
          <w:tab w:val="left" w:pos="644"/>
        </w:tabs>
        <w:spacing w:before="0" w:after="0" w:line="360" w:lineRule="auto"/>
        <w:ind w:left="0" w:firstLine="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重大风险提示</w:t>
      </w:r>
    </w:p>
    <w:sdt>
      <w:sdtPr>
        <w:rPr>
          <w:rFonts w:hint="eastAsia"/>
          <w:color w:val="000000" w:themeColor="text1"/>
          <w14:textFill>
            <w14:solidFill>
              <w14:schemeClr w14:val="tx1"/>
            </w14:solidFill>
          </w14:textFill>
        </w:rPr>
        <w:alias w:val="重大风险提示"/>
        <w:tag w:val="_GBC_d0220f8592e64dd1b898937e183da1e3"/>
        <w:id w:val="855934008"/>
        <w:placeholder>
          <w:docPart w:val="GBC22222222222222222222222222222"/>
        </w:placeholder>
      </w:sdtPr>
      <w:sdtEndPr>
        <w:rPr>
          <w:rFonts w:hint="eastAsia"/>
          <w:color w:val="000000" w:themeColor="text1"/>
          <w14:textFill>
            <w14:solidFill>
              <w14:schemeClr w14:val="tx1"/>
            </w14:solidFill>
          </w14:textFill>
        </w:rPr>
      </w:sdtEndPr>
      <w:sdtContent>
        <w:p w14:paraId="590B7309">
          <w:pPr>
            <w:spacing w:line="360" w:lineRule="auto"/>
            <w:ind w:firstLine="420" w:firstLineChars="200"/>
            <w:rPr>
              <w:color w:val="000000" w:themeColor="text1"/>
              <w14:textFill>
                <w14:solidFill>
                  <w14:schemeClr w14:val="tx1"/>
                </w14:solidFill>
              </w14:textFill>
            </w:rPr>
          </w:pPr>
          <w:sdt>
            <w:sdtPr>
              <w:rPr>
                <w:color w:val="000000" w:themeColor="text1"/>
                <w14:textFill>
                  <w14:solidFill>
                    <w14:schemeClr w14:val="tx1"/>
                  </w14:solidFill>
                </w14:textFill>
              </w:rPr>
              <w:alias w:val="重大风险提示"/>
              <w:tag w:val="_GBC_d0220f8592e64dd1b898937e183da1e3"/>
              <w:id w:val="854926273"/>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公司已在本报告中详细描述可能存在的相关风险，敬请查阅第三节管理层讨论与分析中关于公司未来发展的讨论与分析中可能面对的风险的相关内容。</w:t>
              </w:r>
            </w:sdtContent>
          </w:sdt>
        </w:p>
      </w:sdtContent>
    </w:sdt>
    <w:p w14:paraId="2749044D">
      <w:pPr>
        <w:rPr>
          <w:color w:val="000000" w:themeColor="text1"/>
          <w14:textFill>
            <w14:solidFill>
              <w14:schemeClr w14:val="tx1"/>
            </w14:solidFill>
          </w14:textFill>
        </w:rPr>
      </w:pPr>
    </w:p>
    <w:p w14:paraId="3736C442">
      <w:pPr>
        <w:pStyle w:val="3"/>
        <w:numPr>
          <w:ilvl w:val="0"/>
          <w:numId w:val="1"/>
        </w:numPr>
        <w:tabs>
          <w:tab w:val="left" w:pos="588"/>
          <w:tab w:val="left" w:pos="644"/>
          <w:tab w:val="left" w:pos="672"/>
        </w:tabs>
        <w:spacing w:before="0" w:after="0" w:line="360" w:lineRule="auto"/>
        <w:ind w:left="0" w:firstLine="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其他</w:t>
      </w:r>
    </w:p>
    <w:sdt>
      <w:sdtPr>
        <w:rPr>
          <w:color w:val="000000" w:themeColor="text1"/>
          <w14:textFill>
            <w14:solidFill>
              <w14:schemeClr w14:val="tx1"/>
            </w14:solidFill>
          </w14:textFill>
        </w:rPr>
        <w:alias w:val="是否适用：其他重要提示[双击切换]"/>
        <w:tag w:val="_GBC_3a91363d913942688077b069148debc5"/>
        <w:id w:val="-1500654209"/>
        <w:placeholder>
          <w:docPart w:val="GBC22222222222222222222222222222"/>
        </w:placeholder>
      </w:sdtPr>
      <w:sdtEndPr>
        <w:rPr>
          <w:color w:val="000000" w:themeColor="text1"/>
          <w14:textFill>
            <w14:solidFill>
              <w14:schemeClr w14:val="tx1"/>
            </w14:solidFill>
          </w14:textFill>
        </w:rPr>
      </w:sdtEndPr>
      <w:sdtContent>
        <w:p w14:paraId="4B13D9F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39E99B9">
      <w:pPr>
        <w:rPr>
          <w:color w:val="000000" w:themeColor="text1"/>
          <w14:textFill>
            <w14:solidFill>
              <w14:schemeClr w14:val="tx1"/>
            </w14:solidFill>
          </w14:textFill>
        </w:rPr>
      </w:pPr>
    </w:p>
    <w:p w14:paraId="067C2DBF">
      <w:pPr>
        <w:rPr>
          <w:color w:val="000000" w:themeColor="text1"/>
          <w14:textFill>
            <w14:solidFill>
              <w14:schemeClr w14:val="tx1"/>
            </w14:solidFill>
          </w14:textFill>
        </w:rPr>
        <w:sectPr>
          <w:headerReference r:id="rId3" w:type="default"/>
          <w:footerReference r:id="rId4" w:type="default"/>
          <w:pgSz w:w="11906" w:h="16838"/>
          <w:pgMar w:top="1525" w:right="1276" w:bottom="1440" w:left="1797" w:header="855" w:footer="992" w:gutter="0"/>
          <w:cols w:space="425" w:num="1"/>
          <w:docGrid w:linePitch="312" w:charSpace="0"/>
        </w:sectPr>
      </w:pPr>
    </w:p>
    <w:p w14:paraId="64F39C33">
      <w:pPr>
        <w:rPr>
          <w:color w:val="000000" w:themeColor="text1"/>
          <w14:textFill>
            <w14:solidFill>
              <w14:schemeClr w14:val="tx1"/>
            </w14:solidFill>
          </w14:textFill>
        </w:rPr>
      </w:pPr>
    </w:p>
    <w:p w14:paraId="62AB0A76">
      <w:pPr>
        <w:kinsoku w:val="0"/>
        <w:overflowPunct w:val="0"/>
        <w:autoSpaceDE w:val="0"/>
        <w:autoSpaceDN w:val="0"/>
        <w:adjustRightInd w:val="0"/>
        <w:snapToGrid w:val="0"/>
        <w:spacing w:line="360" w:lineRule="auto"/>
        <w:jc w:val="center"/>
      </w:pPr>
      <w:r>
        <w:rPr>
          <w:rFonts w:hint="eastAsia"/>
          <w:b/>
          <w:color w:val="000000" w:themeColor="text1"/>
          <w:sz w:val="32"/>
          <w:szCs w:val="32"/>
          <w14:textFill>
            <w14:solidFill>
              <w14:schemeClr w14:val="tx1"/>
            </w14:solidFill>
          </w14:textFill>
        </w:rPr>
        <w:t>目录</w:t>
      </w:r>
      <w:r>
        <w:rPr>
          <w:color w:val="000000" w:themeColor="text1"/>
          <w:shd w:val="pct15" w:color="auto" w:fill="FFFFFF"/>
          <w14:textFill>
            <w14:solidFill>
              <w14:schemeClr w14:val="tx1"/>
            </w14:solidFill>
          </w14:textFill>
        </w:rPr>
        <w:fldChar w:fldCharType="begin"/>
      </w:r>
      <w:r>
        <w:rPr>
          <w:color w:val="000000" w:themeColor="text1"/>
          <w:shd w:val="pct15" w:color="auto" w:fill="FFFFFF"/>
          <w14:textFill>
            <w14:solidFill>
              <w14:schemeClr w14:val="tx1"/>
            </w14:solidFill>
          </w14:textFill>
        </w:rPr>
        <w:instrText xml:space="preserve"> TOC \o "1-1" \h \z \u </w:instrText>
      </w:r>
      <w:r>
        <w:rPr>
          <w:color w:val="000000" w:themeColor="text1"/>
          <w:shd w:val="pct15" w:color="auto" w:fill="FFFFFF"/>
          <w14:textFill>
            <w14:solidFill>
              <w14:schemeClr w14:val="tx1"/>
            </w14:solidFill>
          </w14:textFill>
        </w:rPr>
        <w:fldChar w:fldCharType="separate"/>
      </w:r>
    </w:p>
    <w:p w14:paraId="56BD350C">
      <w:pPr>
        <w:pStyle w:val="27"/>
        <w:tabs>
          <w:tab w:val="left" w:pos="1050"/>
          <w:tab w:val="right" w:leader="dot" w:pos="8823"/>
        </w:tabs>
        <w:ind w:left="422" w:hanging="422"/>
        <w:rPr>
          <w:rFonts w:asciiTheme="minorHAnsi" w:hAnsiTheme="minorHAnsi" w:eastAsiaTheme="minorEastAsia" w:cstheme="minorBidi"/>
          <w:b w:val="0"/>
          <w:bCs w:val="0"/>
          <w:caps w:val="0"/>
          <w:kern w:val="2"/>
          <w:sz w:val="22"/>
          <w:szCs w:val="24"/>
          <w14:ligatures w14:val="standardContextual"/>
        </w:rPr>
      </w:pPr>
      <w:r>
        <w:fldChar w:fldCharType="begin"/>
      </w:r>
      <w:r>
        <w:instrText xml:space="preserve"> HYPERLINK \l "_Toc236303305" </w:instrText>
      </w:r>
      <w:r>
        <w:fldChar w:fldCharType="separate"/>
      </w:r>
      <w:r>
        <w:rPr>
          <w:rStyle w:val="41"/>
          <w:rFonts w:hint="eastAsia" w:ascii="黑体" w:hAnsi="黑体"/>
        </w:rPr>
        <w:t>第一节</w:t>
      </w:r>
      <w:r>
        <w:rPr>
          <w:rFonts w:hint="eastAsia" w:asciiTheme="minorHAnsi" w:hAnsiTheme="minorHAnsi" w:eastAsiaTheme="minorEastAsia" w:cstheme="minorBidi"/>
          <w:b w:val="0"/>
          <w:bCs w:val="0"/>
          <w:caps w:val="0"/>
          <w:kern w:val="2"/>
          <w:sz w:val="22"/>
          <w:szCs w:val="24"/>
          <w14:ligatures w14:val="standardContextual"/>
        </w:rPr>
        <w:tab/>
      </w:r>
      <w:r>
        <w:rPr>
          <w:rStyle w:val="41"/>
          <w:rFonts w:hint="eastAsia" w:ascii="黑体" w:hAnsi="黑体"/>
        </w:rPr>
        <w:t>释义</w:t>
      </w:r>
      <w:r>
        <w:rPr>
          <w:rFonts w:hint="eastAsia"/>
        </w:rPr>
        <w:tab/>
      </w:r>
      <w:r>
        <w:rPr>
          <w:rFonts w:hint="eastAsia"/>
        </w:rPr>
        <w:fldChar w:fldCharType="begin"/>
      </w:r>
      <w:r>
        <w:rPr>
          <w:rFonts w:hint="eastAsia"/>
        </w:rPr>
        <w:instrText xml:space="preserve"> </w:instrText>
      </w:r>
      <w:r>
        <w:instrText xml:space="preserve">PAGEREF _Toc236303305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33A8E194">
      <w:pPr>
        <w:pStyle w:val="27"/>
        <w:tabs>
          <w:tab w:val="left" w:pos="1050"/>
          <w:tab w:val="right" w:leader="dot" w:pos="8823"/>
        </w:tabs>
        <w:ind w:left="422" w:hanging="422"/>
        <w:rPr>
          <w:rFonts w:asciiTheme="minorHAnsi" w:hAnsiTheme="minorHAnsi" w:eastAsiaTheme="minorEastAsia" w:cstheme="minorBidi"/>
          <w:b w:val="0"/>
          <w:bCs w:val="0"/>
          <w:caps w:val="0"/>
          <w:kern w:val="2"/>
          <w:sz w:val="22"/>
          <w:szCs w:val="24"/>
          <w14:ligatures w14:val="standardContextual"/>
        </w:rPr>
      </w:pPr>
      <w:r>
        <w:fldChar w:fldCharType="begin"/>
      </w:r>
      <w:r>
        <w:instrText xml:space="preserve"> HYPERLINK \l "_Toc236303306" </w:instrText>
      </w:r>
      <w:r>
        <w:fldChar w:fldCharType="separate"/>
      </w:r>
      <w:r>
        <w:rPr>
          <w:rStyle w:val="41"/>
          <w:rFonts w:hint="eastAsia" w:ascii="黑体" w:hAnsi="黑体"/>
        </w:rPr>
        <w:t>第二节</w:t>
      </w:r>
      <w:r>
        <w:rPr>
          <w:rFonts w:hint="eastAsia" w:asciiTheme="minorHAnsi" w:hAnsiTheme="minorHAnsi" w:eastAsiaTheme="minorEastAsia" w:cstheme="minorBidi"/>
          <w:b w:val="0"/>
          <w:bCs w:val="0"/>
          <w:caps w:val="0"/>
          <w:kern w:val="2"/>
          <w:sz w:val="22"/>
          <w:szCs w:val="24"/>
          <w14:ligatures w14:val="standardContextual"/>
        </w:rPr>
        <w:tab/>
      </w:r>
      <w:r>
        <w:rPr>
          <w:rStyle w:val="41"/>
          <w:rFonts w:hint="eastAsia" w:ascii="黑体" w:hAnsi="黑体"/>
        </w:rPr>
        <w:t>公司简介和主要财务指标</w:t>
      </w:r>
      <w:r>
        <w:rPr>
          <w:rFonts w:hint="eastAsia"/>
        </w:rPr>
        <w:tab/>
      </w:r>
      <w:r>
        <w:rPr>
          <w:rFonts w:hint="eastAsia"/>
        </w:rPr>
        <w:fldChar w:fldCharType="begin"/>
      </w:r>
      <w:r>
        <w:rPr>
          <w:rFonts w:hint="eastAsia"/>
        </w:rPr>
        <w:instrText xml:space="preserve"> </w:instrText>
      </w:r>
      <w:r>
        <w:instrText xml:space="preserve">PAGEREF _Toc236303306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70E2CAE5">
      <w:pPr>
        <w:pStyle w:val="27"/>
        <w:tabs>
          <w:tab w:val="left" w:pos="1050"/>
          <w:tab w:val="right" w:leader="dot" w:pos="8823"/>
        </w:tabs>
        <w:ind w:left="422" w:hanging="422"/>
        <w:rPr>
          <w:rFonts w:asciiTheme="minorHAnsi" w:hAnsiTheme="minorHAnsi" w:eastAsiaTheme="minorEastAsia" w:cstheme="minorBidi"/>
          <w:b w:val="0"/>
          <w:bCs w:val="0"/>
          <w:caps w:val="0"/>
          <w:kern w:val="2"/>
          <w:sz w:val="22"/>
          <w:szCs w:val="24"/>
          <w14:ligatures w14:val="standardContextual"/>
        </w:rPr>
      </w:pPr>
      <w:r>
        <w:fldChar w:fldCharType="begin"/>
      </w:r>
      <w:r>
        <w:instrText xml:space="preserve"> HYPERLINK \l "_Toc236303307" </w:instrText>
      </w:r>
      <w:r>
        <w:fldChar w:fldCharType="separate"/>
      </w:r>
      <w:r>
        <w:rPr>
          <w:rStyle w:val="41"/>
          <w:rFonts w:hint="eastAsia" w:ascii="黑体" w:hAnsi="黑体"/>
        </w:rPr>
        <w:t>第三节</w:t>
      </w:r>
      <w:r>
        <w:rPr>
          <w:rFonts w:hint="eastAsia" w:asciiTheme="minorHAnsi" w:hAnsiTheme="minorHAnsi" w:eastAsiaTheme="minorEastAsia" w:cstheme="minorBidi"/>
          <w:b w:val="0"/>
          <w:bCs w:val="0"/>
          <w:caps w:val="0"/>
          <w:kern w:val="2"/>
          <w:sz w:val="22"/>
          <w:szCs w:val="24"/>
          <w14:ligatures w14:val="standardContextual"/>
        </w:rPr>
        <w:tab/>
      </w:r>
      <w:r>
        <w:rPr>
          <w:rStyle w:val="41"/>
          <w:rFonts w:hint="eastAsia" w:ascii="黑体" w:hAnsi="黑体"/>
        </w:rPr>
        <w:t>管理层讨论与分析</w:t>
      </w:r>
      <w:r>
        <w:rPr>
          <w:rFonts w:hint="eastAsia"/>
        </w:rPr>
        <w:tab/>
      </w:r>
      <w:r>
        <w:rPr>
          <w:rFonts w:hint="eastAsia"/>
        </w:rPr>
        <w:fldChar w:fldCharType="begin"/>
      </w:r>
      <w:r>
        <w:rPr>
          <w:rFonts w:hint="eastAsia"/>
        </w:rPr>
        <w:instrText xml:space="preserve"> </w:instrText>
      </w:r>
      <w:r>
        <w:instrText xml:space="preserve">PAGEREF _Toc236303307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478EB51E">
      <w:pPr>
        <w:pStyle w:val="27"/>
        <w:tabs>
          <w:tab w:val="left" w:pos="1050"/>
          <w:tab w:val="right" w:leader="dot" w:pos="8823"/>
        </w:tabs>
        <w:ind w:left="422" w:hanging="422"/>
        <w:rPr>
          <w:rFonts w:asciiTheme="minorHAnsi" w:hAnsiTheme="minorHAnsi" w:eastAsiaTheme="minorEastAsia" w:cstheme="minorBidi"/>
          <w:b w:val="0"/>
          <w:bCs w:val="0"/>
          <w:caps w:val="0"/>
          <w:kern w:val="2"/>
          <w:sz w:val="22"/>
          <w:szCs w:val="24"/>
          <w14:ligatures w14:val="standardContextual"/>
        </w:rPr>
      </w:pPr>
      <w:r>
        <w:fldChar w:fldCharType="begin"/>
      </w:r>
      <w:r>
        <w:instrText xml:space="preserve"> HYPERLINK \l "_Toc236303308" </w:instrText>
      </w:r>
      <w:r>
        <w:fldChar w:fldCharType="separate"/>
      </w:r>
      <w:r>
        <w:rPr>
          <w:rStyle w:val="41"/>
          <w:rFonts w:hint="eastAsia" w:ascii="黑体" w:hAnsi="黑体"/>
        </w:rPr>
        <w:t>第四节</w:t>
      </w:r>
      <w:r>
        <w:rPr>
          <w:rFonts w:hint="eastAsia" w:asciiTheme="minorHAnsi" w:hAnsiTheme="minorHAnsi" w:eastAsiaTheme="minorEastAsia" w:cstheme="minorBidi"/>
          <w:b w:val="0"/>
          <w:bCs w:val="0"/>
          <w:caps w:val="0"/>
          <w:kern w:val="2"/>
          <w:sz w:val="22"/>
          <w:szCs w:val="24"/>
          <w14:ligatures w14:val="standardContextual"/>
        </w:rPr>
        <w:tab/>
      </w:r>
      <w:r>
        <w:rPr>
          <w:rStyle w:val="41"/>
          <w:rFonts w:hint="eastAsia" w:ascii="黑体" w:hAnsi="黑体"/>
        </w:rPr>
        <w:t>公司治理、环境和社会</w:t>
      </w:r>
      <w:r>
        <w:rPr>
          <w:rFonts w:hint="eastAsia"/>
        </w:rPr>
        <w:tab/>
      </w:r>
      <w:r>
        <w:rPr>
          <w:rFonts w:hint="eastAsia"/>
        </w:rPr>
        <w:fldChar w:fldCharType="begin"/>
      </w:r>
      <w:r>
        <w:rPr>
          <w:rFonts w:hint="eastAsia"/>
        </w:rPr>
        <w:instrText xml:space="preserve"> </w:instrText>
      </w:r>
      <w:r>
        <w:instrText xml:space="preserve">PAGEREF _Toc236303308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48C7188A">
      <w:pPr>
        <w:pStyle w:val="27"/>
        <w:tabs>
          <w:tab w:val="left" w:pos="1050"/>
          <w:tab w:val="right" w:leader="dot" w:pos="8823"/>
        </w:tabs>
        <w:ind w:left="422" w:hanging="422"/>
        <w:rPr>
          <w:rFonts w:asciiTheme="minorHAnsi" w:hAnsiTheme="minorHAnsi" w:eastAsiaTheme="minorEastAsia" w:cstheme="minorBidi"/>
          <w:b w:val="0"/>
          <w:bCs w:val="0"/>
          <w:caps w:val="0"/>
          <w:kern w:val="2"/>
          <w:sz w:val="22"/>
          <w:szCs w:val="24"/>
          <w14:ligatures w14:val="standardContextual"/>
        </w:rPr>
      </w:pPr>
      <w:r>
        <w:fldChar w:fldCharType="begin"/>
      </w:r>
      <w:r>
        <w:instrText xml:space="preserve"> HYPERLINK \l "_Toc236303309" </w:instrText>
      </w:r>
      <w:r>
        <w:fldChar w:fldCharType="separate"/>
      </w:r>
      <w:r>
        <w:rPr>
          <w:rStyle w:val="41"/>
          <w:rFonts w:hint="eastAsia" w:ascii="黑体" w:hAnsi="黑体"/>
        </w:rPr>
        <w:t>第五节</w:t>
      </w:r>
      <w:r>
        <w:rPr>
          <w:rFonts w:hint="eastAsia" w:asciiTheme="minorHAnsi" w:hAnsiTheme="minorHAnsi" w:eastAsiaTheme="minorEastAsia" w:cstheme="minorBidi"/>
          <w:b w:val="0"/>
          <w:bCs w:val="0"/>
          <w:caps w:val="0"/>
          <w:kern w:val="2"/>
          <w:sz w:val="22"/>
          <w:szCs w:val="24"/>
          <w14:ligatures w14:val="standardContextual"/>
        </w:rPr>
        <w:tab/>
      </w:r>
      <w:r>
        <w:rPr>
          <w:rStyle w:val="41"/>
          <w:rFonts w:hint="eastAsia" w:ascii="黑体" w:hAnsi="黑体"/>
        </w:rPr>
        <w:t>重要事项</w:t>
      </w:r>
      <w:r>
        <w:rPr>
          <w:rFonts w:hint="eastAsia"/>
        </w:rPr>
        <w:tab/>
      </w:r>
      <w:r>
        <w:rPr>
          <w:rFonts w:hint="eastAsia"/>
        </w:rPr>
        <w:fldChar w:fldCharType="begin"/>
      </w:r>
      <w:r>
        <w:rPr>
          <w:rFonts w:hint="eastAsia"/>
        </w:rPr>
        <w:instrText xml:space="preserve"> </w:instrText>
      </w:r>
      <w:r>
        <w:instrText xml:space="preserve">PAGEREF _Toc236303309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19053B67">
      <w:pPr>
        <w:pStyle w:val="27"/>
        <w:tabs>
          <w:tab w:val="left" w:pos="1050"/>
          <w:tab w:val="right" w:leader="dot" w:pos="8823"/>
        </w:tabs>
        <w:ind w:left="422" w:hanging="422"/>
        <w:rPr>
          <w:rFonts w:asciiTheme="minorHAnsi" w:hAnsiTheme="minorHAnsi" w:eastAsiaTheme="minorEastAsia" w:cstheme="minorBidi"/>
          <w:b w:val="0"/>
          <w:bCs w:val="0"/>
          <w:caps w:val="0"/>
          <w:kern w:val="2"/>
          <w:sz w:val="22"/>
          <w:szCs w:val="24"/>
          <w14:ligatures w14:val="standardContextual"/>
        </w:rPr>
      </w:pPr>
      <w:r>
        <w:fldChar w:fldCharType="begin"/>
      </w:r>
      <w:r>
        <w:instrText xml:space="preserve"> HYPERLINK \l "_Toc236303310" </w:instrText>
      </w:r>
      <w:r>
        <w:fldChar w:fldCharType="separate"/>
      </w:r>
      <w:r>
        <w:rPr>
          <w:rStyle w:val="41"/>
          <w:rFonts w:hint="eastAsia" w:ascii="黑体" w:hAnsi="黑体"/>
        </w:rPr>
        <w:t>第六节</w:t>
      </w:r>
      <w:r>
        <w:rPr>
          <w:rFonts w:hint="eastAsia" w:asciiTheme="minorHAnsi" w:hAnsiTheme="minorHAnsi" w:eastAsiaTheme="minorEastAsia" w:cstheme="minorBidi"/>
          <w:b w:val="0"/>
          <w:bCs w:val="0"/>
          <w:caps w:val="0"/>
          <w:kern w:val="2"/>
          <w:sz w:val="22"/>
          <w:szCs w:val="24"/>
          <w14:ligatures w14:val="standardContextual"/>
        </w:rPr>
        <w:tab/>
      </w:r>
      <w:r>
        <w:rPr>
          <w:rStyle w:val="41"/>
          <w:rFonts w:hint="eastAsia" w:ascii="黑体" w:hAnsi="黑体"/>
        </w:rPr>
        <w:t>股份变动及股东情况</w:t>
      </w:r>
      <w:r>
        <w:rPr>
          <w:rFonts w:hint="eastAsia"/>
        </w:rPr>
        <w:tab/>
      </w:r>
      <w:r>
        <w:rPr>
          <w:rFonts w:hint="eastAsia"/>
        </w:rPr>
        <w:fldChar w:fldCharType="begin"/>
      </w:r>
      <w:r>
        <w:rPr>
          <w:rFonts w:hint="eastAsia"/>
        </w:rPr>
        <w:instrText xml:space="preserve"> </w:instrText>
      </w:r>
      <w:r>
        <w:instrText xml:space="preserve">PAGEREF _Toc236303310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78C4AD04">
      <w:pPr>
        <w:pStyle w:val="27"/>
        <w:tabs>
          <w:tab w:val="left" w:pos="1050"/>
          <w:tab w:val="right" w:leader="dot" w:pos="8823"/>
        </w:tabs>
        <w:ind w:left="422" w:hanging="422"/>
        <w:rPr>
          <w:rFonts w:asciiTheme="minorHAnsi" w:hAnsiTheme="minorHAnsi" w:eastAsiaTheme="minorEastAsia" w:cstheme="minorBidi"/>
          <w:b w:val="0"/>
          <w:bCs w:val="0"/>
          <w:caps w:val="0"/>
          <w:kern w:val="2"/>
          <w:sz w:val="22"/>
          <w:szCs w:val="24"/>
          <w14:ligatures w14:val="standardContextual"/>
        </w:rPr>
      </w:pPr>
      <w:r>
        <w:fldChar w:fldCharType="begin"/>
      </w:r>
      <w:r>
        <w:instrText xml:space="preserve"> HYPERLINK \l "_Toc236303311" </w:instrText>
      </w:r>
      <w:r>
        <w:fldChar w:fldCharType="separate"/>
      </w:r>
      <w:r>
        <w:rPr>
          <w:rStyle w:val="41"/>
          <w:rFonts w:hint="eastAsia" w:ascii="黑体" w:hAnsi="黑体"/>
        </w:rPr>
        <w:t>第七节</w:t>
      </w:r>
      <w:r>
        <w:rPr>
          <w:rFonts w:hint="eastAsia" w:asciiTheme="minorHAnsi" w:hAnsiTheme="minorHAnsi" w:eastAsiaTheme="minorEastAsia" w:cstheme="minorBidi"/>
          <w:b w:val="0"/>
          <w:bCs w:val="0"/>
          <w:caps w:val="0"/>
          <w:kern w:val="2"/>
          <w:sz w:val="22"/>
          <w:szCs w:val="24"/>
          <w14:ligatures w14:val="standardContextual"/>
        </w:rPr>
        <w:tab/>
      </w:r>
      <w:r>
        <w:rPr>
          <w:rStyle w:val="41"/>
          <w:rFonts w:hint="eastAsia" w:ascii="黑体" w:hAnsi="黑体"/>
        </w:rPr>
        <w:t>债券相关情况</w:t>
      </w:r>
      <w:r>
        <w:rPr>
          <w:rFonts w:hint="eastAsia"/>
        </w:rPr>
        <w:tab/>
      </w:r>
      <w:r>
        <w:rPr>
          <w:rFonts w:hint="eastAsia"/>
        </w:rPr>
        <w:fldChar w:fldCharType="begin"/>
      </w:r>
      <w:r>
        <w:rPr>
          <w:rFonts w:hint="eastAsia"/>
        </w:rPr>
        <w:instrText xml:space="preserve"> </w:instrText>
      </w:r>
      <w:r>
        <w:instrText xml:space="preserve">PAGEREF _Toc236303311 \h</w:instrText>
      </w:r>
      <w:r>
        <w:rPr>
          <w:rFonts w:hint="eastAsia"/>
        </w:rPr>
        <w:instrText xml:space="preserve"> </w:instrText>
      </w:r>
      <w:r>
        <w:rPr>
          <w:rFonts w:hint="eastAsia"/>
        </w:rPr>
        <w:fldChar w:fldCharType="separate"/>
      </w:r>
      <w:r>
        <w:t>32</w:t>
      </w:r>
      <w:r>
        <w:rPr>
          <w:rFonts w:hint="eastAsia"/>
        </w:rPr>
        <w:fldChar w:fldCharType="end"/>
      </w:r>
      <w:r>
        <w:rPr>
          <w:rFonts w:hint="eastAsia"/>
        </w:rPr>
        <w:fldChar w:fldCharType="end"/>
      </w:r>
    </w:p>
    <w:p w14:paraId="2C2E610C">
      <w:pPr>
        <w:pStyle w:val="27"/>
        <w:tabs>
          <w:tab w:val="left" w:pos="1050"/>
          <w:tab w:val="right" w:leader="dot" w:pos="8823"/>
        </w:tabs>
        <w:ind w:left="422" w:hanging="422"/>
        <w:rPr>
          <w:rFonts w:asciiTheme="minorHAnsi" w:hAnsiTheme="minorHAnsi" w:eastAsiaTheme="minorEastAsia" w:cstheme="minorBidi"/>
          <w:b w:val="0"/>
          <w:bCs w:val="0"/>
          <w:caps w:val="0"/>
          <w:kern w:val="2"/>
          <w:sz w:val="22"/>
          <w:szCs w:val="24"/>
          <w14:ligatures w14:val="standardContextual"/>
        </w:rPr>
      </w:pPr>
      <w:r>
        <w:fldChar w:fldCharType="begin"/>
      </w:r>
      <w:r>
        <w:instrText xml:space="preserve"> HYPERLINK \l "_Toc236303312" </w:instrText>
      </w:r>
      <w:r>
        <w:fldChar w:fldCharType="separate"/>
      </w:r>
      <w:r>
        <w:rPr>
          <w:rStyle w:val="41"/>
          <w:rFonts w:hint="eastAsia" w:ascii="黑体" w:hAnsi="黑体"/>
        </w:rPr>
        <w:t>第八节</w:t>
      </w:r>
      <w:r>
        <w:rPr>
          <w:rFonts w:hint="eastAsia" w:asciiTheme="minorHAnsi" w:hAnsiTheme="minorHAnsi" w:eastAsiaTheme="minorEastAsia" w:cstheme="minorBidi"/>
          <w:b w:val="0"/>
          <w:bCs w:val="0"/>
          <w:caps w:val="0"/>
          <w:kern w:val="2"/>
          <w:sz w:val="22"/>
          <w:szCs w:val="24"/>
          <w14:ligatures w14:val="standardContextual"/>
        </w:rPr>
        <w:tab/>
      </w:r>
      <w:r>
        <w:rPr>
          <w:rStyle w:val="41"/>
          <w:rFonts w:hint="eastAsia" w:ascii="黑体" w:hAnsi="黑体"/>
        </w:rPr>
        <w:t>财务报告</w:t>
      </w:r>
      <w:r>
        <w:rPr>
          <w:rFonts w:hint="eastAsia"/>
        </w:rPr>
        <w:tab/>
      </w:r>
      <w:r>
        <w:rPr>
          <w:rFonts w:hint="eastAsia"/>
        </w:rPr>
        <w:fldChar w:fldCharType="begin"/>
      </w:r>
      <w:r>
        <w:rPr>
          <w:rFonts w:hint="eastAsia"/>
        </w:rPr>
        <w:instrText xml:space="preserve"> </w:instrText>
      </w:r>
      <w:r>
        <w:instrText xml:space="preserve">PAGEREF _Toc236303312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14:paraId="1F52CE46">
      <w:pPr>
        <w:kinsoku w:val="0"/>
        <w:overflowPunct w:val="0"/>
        <w:autoSpaceDE w:val="0"/>
        <w:autoSpaceDN w:val="0"/>
        <w:adjustRightInd w:val="0"/>
        <w:snapToGrid w:val="0"/>
        <w:spacing w:line="360" w:lineRule="auto"/>
        <w:jc w:val="center"/>
        <w:rPr>
          <w:color w:val="000000" w:themeColor="text1"/>
          <w:shd w:val="pct15" w:color="auto" w:fill="FFFFFF"/>
          <w14:textFill>
            <w14:solidFill>
              <w14:schemeClr w14:val="tx1"/>
            </w14:solidFill>
          </w14:textFill>
        </w:rPr>
      </w:pPr>
      <w:r>
        <w:rPr>
          <w:color w:val="000000" w:themeColor="text1"/>
          <w:shd w:val="pct15" w:color="auto" w:fill="FFFFFF"/>
          <w14:textFill>
            <w14:solidFill>
              <w14:schemeClr w14:val="tx1"/>
            </w14:solidFill>
          </w14:textFill>
        </w:rPr>
        <w:fldChar w:fldCharType="end"/>
      </w:r>
    </w:p>
    <w:p w14:paraId="46C01DC2">
      <w:pPr>
        <w:spacing w:line="360" w:lineRule="exact"/>
        <w:ind w:right="5"/>
        <w:rPr>
          <w:b/>
          <w:bCs w:val="0"/>
          <w:color w:val="000000" w:themeColor="text1"/>
          <w:sz w:val="24"/>
          <w14:textFill>
            <w14:solidFill>
              <w14:schemeClr w14:val="tx1"/>
            </w14:solidFill>
          </w14:textFill>
        </w:rPr>
      </w:pPr>
      <w:bookmarkStart w:id="4" w:name="_Hlk76111741"/>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2276"/>
        <w:gridCol w:w="6547"/>
      </w:tblGrid>
      <w:sdt>
        <w:sdtPr>
          <w:rPr>
            <w:color w:val="000000" w:themeColor="text1"/>
            <w14:textFill>
              <w14:solidFill>
                <w14:schemeClr w14:val="tx1"/>
              </w14:solidFill>
            </w14:textFill>
          </w:rPr>
          <w:alias w:val="备查文件情况"/>
          <w:tag w:val="_TUP_d1defbbd2758417a8ea21948dd35feef"/>
          <w:id w:val="-1212415426"/>
          <w:placeholder>
            <w:docPart w:val="GBC11111111111111111111111111111"/>
          </w:placeholder>
        </w:sdtPr>
        <w:sdtEndPr>
          <w:rPr>
            <w:color w:val="000000" w:themeColor="text1"/>
            <w14:textFill>
              <w14:solidFill>
                <w14:schemeClr w14:val="tx1"/>
              </w14:solidFill>
            </w14:textFill>
          </w:rPr>
        </w:sdtEndPr>
        <w:sdtContent>
          <w:tr w14:paraId="3C76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290" w:type="pct"/>
                <w:vMerge w:val="restart"/>
                <w:tcBorders>
                  <w:top w:val="single" w:color="auto" w:sz="4" w:space="0"/>
                  <w:left w:val="single" w:color="auto" w:sz="4" w:space="0"/>
                  <w:bottom w:val="single" w:color="auto" w:sz="4" w:space="0"/>
                  <w:right w:val="single" w:color="auto" w:sz="4" w:space="0"/>
                </w:tcBorders>
                <w:vAlign w:val="center"/>
              </w:tcPr>
              <w:sdt>
                <w:sdtPr>
                  <w:tag w:val="_PLD_4dedc5664132424db8ffece735208815"/>
                  <w:id w:val="-1024784755"/>
                </w:sdtPr>
                <w:sdtContent>
                  <w:p w14:paraId="53427C82">
                    <w:pPr>
                      <w:autoSpaceDE w:val="0"/>
                      <w:autoSpaceDN w:val="0"/>
                      <w:adjustRightInd w:val="0"/>
                      <w:jc w:val="center"/>
                      <w:rPr>
                        <w:color w:val="000000" w:themeColor="text1"/>
                        <w14:textFill>
                          <w14:solidFill>
                            <w14:schemeClr w14:val="tx1"/>
                          </w14:solidFill>
                        </w14:textFill>
                      </w:rPr>
                    </w:pPr>
                    <w:r>
                      <w:rPr>
                        <w:color w:val="000000" w:themeColor="text1"/>
                        <w14:textFill>
                          <w14:solidFill>
                            <w14:schemeClr w14:val="tx1"/>
                          </w14:solidFill>
                        </w14:textFill>
                      </w:rPr>
                      <w:t>备查文件目录</w:t>
                    </w:r>
                  </w:p>
                </w:sdtContent>
              </w:sdt>
            </w:tc>
            <w:sdt>
              <w:sdtPr>
                <w:rPr>
                  <w:color w:val="000000" w:themeColor="text1"/>
                  <w14:textFill>
                    <w14:solidFill>
                      <w14:schemeClr w14:val="tx1"/>
                    </w14:solidFill>
                  </w14:textFill>
                </w:rPr>
                <w:alias w:val="备查文件目录"/>
                <w:tag w:val="_GBC_b75b724a20654c669c9ce009a20dc247"/>
                <w:id w:val="-1639095603"/>
              </w:sdtPr>
              <w:sdtEndPr>
                <w:rPr>
                  <w:color w:val="000000" w:themeColor="text1"/>
                  <w14:textFill>
                    <w14:solidFill>
                      <w14:schemeClr w14:val="tx1"/>
                    </w14:solidFill>
                  </w14:textFill>
                </w:rPr>
              </w:sdtEndPr>
              <w:sdtContent>
                <w:tc>
                  <w:tcPr>
                    <w:tcW w:w="3710" w:type="pct"/>
                    <w:tcBorders>
                      <w:top w:val="single" w:color="auto" w:sz="4" w:space="0"/>
                      <w:left w:val="single" w:color="auto" w:sz="4" w:space="0"/>
                      <w:bottom w:val="single" w:color="auto" w:sz="4" w:space="0"/>
                      <w:right w:val="single" w:color="auto" w:sz="4" w:space="0"/>
                    </w:tcBorders>
                  </w:tcPr>
                  <w:p w14:paraId="38AF69AF">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载有法定代表人、财务总监、会计主管人员签名并盖章的会计报表；</w:t>
                    </w:r>
                  </w:p>
                </w:tc>
              </w:sdtContent>
            </w:sdt>
          </w:tr>
        </w:sdtContent>
      </w:sdt>
      <w:tr w14:paraId="3471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290" w:type="pct"/>
            <w:vMerge w:val="continue"/>
            <w:tcBorders>
              <w:top w:val="single" w:color="auto" w:sz="4" w:space="0"/>
              <w:left w:val="single" w:color="auto" w:sz="4" w:space="0"/>
              <w:bottom w:val="single" w:color="auto" w:sz="4" w:space="0"/>
              <w:right w:val="single" w:color="auto" w:sz="4" w:space="0"/>
            </w:tcBorders>
            <w:vAlign w:val="center"/>
          </w:tcPr>
          <w:p w14:paraId="1C81E1A6"/>
        </w:tc>
        <w:tc>
          <w:tcPr>
            <w:tcW w:w="3710" w:type="pct"/>
            <w:tcBorders>
              <w:top w:val="single" w:color="auto" w:sz="4" w:space="0"/>
              <w:left w:val="single" w:color="auto" w:sz="4" w:space="0"/>
              <w:bottom w:val="single" w:color="auto" w:sz="4" w:space="0"/>
              <w:right w:val="single" w:color="auto" w:sz="4" w:space="0"/>
            </w:tcBorders>
          </w:tcPr>
          <w:p w14:paraId="3DBA7040">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报告期间内在中国证监会指定报纸上公开披露过的所有公司文件的正本及公告的原稿；</w:t>
            </w:r>
          </w:p>
        </w:tc>
      </w:tr>
    </w:tbl>
    <w:p w14:paraId="737F5BFB">
      <w:pPr>
        <w:spacing w:line="360" w:lineRule="exact"/>
        <w:jc w:val="right"/>
        <w:rPr>
          <w:color w:val="000000" w:themeColor="text1"/>
          <w14:textFill>
            <w14:solidFill>
              <w14:schemeClr w14:val="tx1"/>
            </w14:solidFill>
          </w14:textFill>
        </w:rPr>
      </w:pPr>
    </w:p>
    <w:bookmarkEnd w:id="4"/>
    <w:p w14:paraId="77F8A4AA">
      <w:pPr>
        <w:kinsoku w:val="0"/>
        <w:overflowPunct w:val="0"/>
        <w:autoSpaceDE w:val="0"/>
        <w:autoSpaceDN w:val="0"/>
        <w:adjustRightInd w:val="0"/>
        <w:snapToGrid w:val="0"/>
        <w:spacing w:line="360" w:lineRule="exact"/>
        <w:rPr>
          <w:color w:val="000000" w:themeColor="text1"/>
          <w:shd w:val="pct15" w:color="auto" w:fill="FFFFFF"/>
          <w14:textFill>
            <w14:solidFill>
              <w14:schemeClr w14:val="tx1"/>
            </w14:solidFill>
          </w14:textFill>
        </w:rPr>
      </w:pPr>
    </w:p>
    <w:p w14:paraId="18D210F6">
      <w:pPr>
        <w:rPr>
          <w:color w:val="000000" w:themeColor="text1"/>
          <w14:textFill>
            <w14:solidFill>
              <w14:schemeClr w14:val="tx1"/>
            </w14:solidFill>
          </w14:textFill>
        </w:rPr>
      </w:pPr>
      <w:r>
        <w:rPr>
          <w:color w:val="000000" w:themeColor="text1"/>
          <w14:textFill>
            <w14:solidFill>
              <w14:schemeClr w14:val="tx1"/>
            </w14:solidFill>
          </w14:textFill>
        </w:rPr>
        <w:br w:type="page"/>
      </w:r>
    </w:p>
    <w:p w14:paraId="4DE162F1">
      <w:pPr>
        <w:pStyle w:val="2"/>
        <w:numPr>
          <w:ilvl w:val="0"/>
          <w:numId w:val="2"/>
        </w:numPr>
        <w:rPr>
          <w:rFonts w:hint="eastAsia" w:ascii="黑体" w:hAnsi="黑体"/>
          <w:color w:val="000000" w:themeColor="text1"/>
          <w14:textFill>
            <w14:solidFill>
              <w14:schemeClr w14:val="tx1"/>
            </w14:solidFill>
          </w14:textFill>
        </w:rPr>
      </w:pPr>
      <w:bookmarkStart w:id="5" w:name="_Toc236303305"/>
      <w:bookmarkStart w:id="6" w:name="_Toc76114272"/>
      <w:bookmarkStart w:id="7" w:name="_Toc342565880"/>
      <w:r>
        <w:rPr>
          <w:rFonts w:hint="eastAsia" w:ascii="黑体" w:hAnsi="黑体"/>
          <w:color w:val="000000" w:themeColor="text1"/>
          <w14:textFill>
            <w14:solidFill>
              <w14:schemeClr w14:val="tx1"/>
            </w14:solidFill>
          </w14:textFill>
        </w:rPr>
        <w:t>释义</w:t>
      </w:r>
      <w:bookmarkEnd w:id="5"/>
    </w:p>
    <w:bookmarkEnd w:id="6"/>
    <w:p w14:paraId="5A9D8C85">
      <w:pPr>
        <w:rPr>
          <w:color w:val="000000" w:themeColor="text1"/>
          <w14:textFill>
            <w14:solidFill>
              <w14:schemeClr w14:val="tx1"/>
            </w14:solidFill>
          </w14:textFill>
        </w:rPr>
      </w:pPr>
      <w:r>
        <w:rPr>
          <w:color w:val="000000" w:themeColor="text1"/>
          <w14:textFill>
            <w14:solidFill>
              <w14:schemeClr w14:val="tx1"/>
            </w14:solidFill>
          </w14:textFill>
        </w:rPr>
        <w:t>在本报告书中，除非文义另有所指，下列词语具有如下含义：</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9"/>
        <w:gridCol w:w="768"/>
        <w:gridCol w:w="5116"/>
      </w:tblGrid>
      <w:tr w14:paraId="3D9D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d73bff14187b49a1b1c86b56316c5e47"/>
            <w:id w:val="1065071780"/>
          </w:sdtPr>
          <w:sdtContent>
            <w:tc>
              <w:tcPr>
                <w:tcW w:w="8823" w:type="dxa"/>
                <w:gridSpan w:val="3"/>
              </w:tcPr>
              <w:p w14:paraId="6924A367">
                <w:pPr>
                  <w:widowControl w:val="0"/>
                  <w:jc w:val="both"/>
                  <w:rPr>
                    <w:color w:val="000000" w:themeColor="text1"/>
                    <w14:textFill>
                      <w14:solidFill>
                        <w14:schemeClr w14:val="tx1"/>
                      </w14:solidFill>
                    </w14:textFill>
                  </w:rPr>
                </w:pPr>
                <w:r>
                  <w:rPr>
                    <w:color w:val="000000" w:themeColor="text1"/>
                    <w14:textFill>
                      <w14:solidFill>
                        <w14:schemeClr w14:val="tx1"/>
                      </w14:solidFill>
                    </w14:textFill>
                  </w:rPr>
                  <w:t>常用词语释义</w:t>
                </w:r>
              </w:p>
            </w:tc>
          </w:sdtContent>
        </w:sdt>
      </w:tr>
      <w:tr w14:paraId="0406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63E2D55F">
            <w:pPr>
              <w:widowControl w:val="0"/>
              <w:jc w:val="both"/>
            </w:pPr>
            <w:r>
              <w:rPr>
                <w:rFonts w:hint="eastAsia" w:ascii="宋体" w:hAnsi="宋体"/>
              </w:rPr>
              <w:t>《公司法》</w:t>
            </w:r>
          </w:p>
        </w:tc>
        <w:tc>
          <w:tcPr>
            <w:tcW w:w="768" w:type="dxa"/>
          </w:tcPr>
          <w:p w14:paraId="10208E5B">
            <w:pPr>
              <w:widowControl w:val="0"/>
              <w:jc w:val="center"/>
              <w:rPr>
                <w:color w:val="000000" w:themeColor="text1"/>
                <w:highlight w:val="lightGray"/>
                <w14:textFill>
                  <w14:solidFill>
                    <w14:schemeClr w14:val="tx1"/>
                  </w14:solidFill>
                </w14:textFill>
              </w:rPr>
            </w:pPr>
            <w:r>
              <w:rPr>
                <w:rFonts w:hint="eastAsia" w:ascii="宋体" w:hAnsi="宋体"/>
              </w:rPr>
              <w:t>指</w:t>
            </w:r>
          </w:p>
        </w:tc>
        <w:tc>
          <w:tcPr>
            <w:tcW w:w="5116" w:type="dxa"/>
            <w:vAlign w:val="center"/>
          </w:tcPr>
          <w:p w14:paraId="4C0201AA">
            <w:pPr>
              <w:widowControl w:val="0"/>
              <w:jc w:val="both"/>
              <w:rPr>
                <w:color w:val="000000" w:themeColor="text1"/>
                <w14:textFill>
                  <w14:solidFill>
                    <w14:schemeClr w14:val="tx1"/>
                  </w14:solidFill>
                </w14:textFill>
              </w:rPr>
            </w:pPr>
            <w:r>
              <w:rPr>
                <w:rFonts w:hint="eastAsia" w:ascii="宋体" w:hAnsi="宋体"/>
              </w:rPr>
              <w:t>《中华人民共和国公司法》</w:t>
            </w:r>
          </w:p>
        </w:tc>
      </w:tr>
      <w:tr w14:paraId="739C3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0FC00E9C">
            <w:pPr>
              <w:widowControl w:val="0"/>
              <w:jc w:val="both"/>
            </w:pPr>
            <w:r>
              <w:rPr>
                <w:rFonts w:hint="eastAsia" w:ascii="宋体" w:hAnsi="宋体"/>
              </w:rPr>
              <w:t>《证券法》</w:t>
            </w:r>
          </w:p>
        </w:tc>
        <w:tc>
          <w:tcPr>
            <w:tcW w:w="768" w:type="dxa"/>
          </w:tcPr>
          <w:p w14:paraId="55FD3B74">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6EDEC79A">
            <w:pPr>
              <w:widowControl w:val="0"/>
              <w:jc w:val="both"/>
              <w:rPr>
                <w:color w:val="000000" w:themeColor="text1"/>
                <w14:textFill>
                  <w14:solidFill>
                    <w14:schemeClr w14:val="tx1"/>
                  </w14:solidFill>
                </w14:textFill>
              </w:rPr>
            </w:pPr>
            <w:r>
              <w:rPr>
                <w:rFonts w:hint="eastAsia" w:ascii="宋体" w:hAnsi="宋体"/>
              </w:rPr>
              <w:t>《中华人民共和国证券法》</w:t>
            </w:r>
          </w:p>
        </w:tc>
      </w:tr>
      <w:tr w14:paraId="6F88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4C3B1D2E">
            <w:pPr>
              <w:widowControl w:val="0"/>
              <w:jc w:val="both"/>
            </w:pPr>
            <w:r>
              <w:rPr>
                <w:rFonts w:hint="eastAsia" w:ascii="宋体" w:hAnsi="宋体"/>
              </w:rPr>
              <w:t>中国证监会</w:t>
            </w:r>
          </w:p>
        </w:tc>
        <w:tc>
          <w:tcPr>
            <w:tcW w:w="768" w:type="dxa"/>
          </w:tcPr>
          <w:p w14:paraId="12DB580A">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03CD2172">
            <w:pPr>
              <w:widowControl w:val="0"/>
              <w:jc w:val="both"/>
              <w:rPr>
                <w:color w:val="000000" w:themeColor="text1"/>
                <w14:textFill>
                  <w14:solidFill>
                    <w14:schemeClr w14:val="tx1"/>
                  </w14:solidFill>
                </w14:textFill>
              </w:rPr>
            </w:pPr>
            <w:r>
              <w:rPr>
                <w:rFonts w:hint="eastAsia" w:ascii="宋体" w:hAnsi="宋体"/>
              </w:rPr>
              <w:t>中国证券监督管理委员会</w:t>
            </w:r>
          </w:p>
        </w:tc>
      </w:tr>
      <w:tr w14:paraId="7B78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6F27B5F6">
            <w:pPr>
              <w:widowControl w:val="0"/>
              <w:jc w:val="both"/>
            </w:pPr>
            <w:r>
              <w:rPr>
                <w:rFonts w:hint="eastAsia" w:ascii="宋体" w:hAnsi="宋体"/>
              </w:rPr>
              <w:t>上交所</w:t>
            </w:r>
          </w:p>
        </w:tc>
        <w:tc>
          <w:tcPr>
            <w:tcW w:w="768" w:type="dxa"/>
          </w:tcPr>
          <w:p w14:paraId="617C88FD">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01A03E09">
            <w:pPr>
              <w:widowControl w:val="0"/>
              <w:jc w:val="both"/>
              <w:rPr>
                <w:color w:val="000000" w:themeColor="text1"/>
                <w14:textFill>
                  <w14:solidFill>
                    <w14:schemeClr w14:val="tx1"/>
                  </w14:solidFill>
                </w14:textFill>
              </w:rPr>
            </w:pPr>
            <w:r>
              <w:rPr>
                <w:rFonts w:hint="eastAsia" w:ascii="宋体" w:hAnsi="宋体"/>
              </w:rPr>
              <w:t>上海证券交易所</w:t>
            </w:r>
          </w:p>
        </w:tc>
      </w:tr>
      <w:tr w14:paraId="415F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5C4093F2">
            <w:pPr>
              <w:widowControl w:val="0"/>
              <w:jc w:val="both"/>
            </w:pPr>
            <w:r>
              <w:rPr>
                <w:rFonts w:hint="eastAsia" w:ascii="宋体" w:hAnsi="宋体"/>
              </w:rPr>
              <w:t>公司章程</w:t>
            </w:r>
          </w:p>
        </w:tc>
        <w:tc>
          <w:tcPr>
            <w:tcW w:w="768" w:type="dxa"/>
          </w:tcPr>
          <w:p w14:paraId="34789371">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10BD1871">
            <w:pPr>
              <w:widowControl w:val="0"/>
              <w:jc w:val="both"/>
              <w:rPr>
                <w:color w:val="000000" w:themeColor="text1"/>
                <w14:textFill>
                  <w14:solidFill>
                    <w14:schemeClr w14:val="tx1"/>
                  </w14:solidFill>
                </w14:textFill>
              </w:rPr>
            </w:pPr>
            <w:r>
              <w:rPr>
                <w:rFonts w:hint="eastAsia" w:ascii="宋体" w:hAnsi="宋体"/>
              </w:rPr>
              <w:t>山东好当家海洋发展股份有限公司公司章程</w:t>
            </w:r>
          </w:p>
        </w:tc>
      </w:tr>
      <w:tr w14:paraId="379D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01BF031E">
            <w:pPr>
              <w:widowControl w:val="0"/>
              <w:jc w:val="both"/>
            </w:pPr>
            <w:r>
              <w:rPr>
                <w:rFonts w:hint="eastAsia" w:ascii="宋体" w:hAnsi="宋体"/>
              </w:rPr>
              <w:t>元、万元、亿元</w:t>
            </w:r>
          </w:p>
        </w:tc>
        <w:tc>
          <w:tcPr>
            <w:tcW w:w="768" w:type="dxa"/>
          </w:tcPr>
          <w:p w14:paraId="17E73B97">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1CE5D159">
            <w:pPr>
              <w:widowControl w:val="0"/>
              <w:jc w:val="both"/>
              <w:rPr>
                <w:color w:val="000000" w:themeColor="text1"/>
                <w14:textFill>
                  <w14:solidFill>
                    <w14:schemeClr w14:val="tx1"/>
                  </w14:solidFill>
                </w14:textFill>
              </w:rPr>
            </w:pPr>
            <w:r>
              <w:rPr>
                <w:rFonts w:hint="eastAsia" w:ascii="宋体" w:hAnsi="宋体"/>
              </w:rPr>
              <w:t>人民币元、人民币万元、人民币亿元、中国法定流通货币单位</w:t>
            </w:r>
          </w:p>
        </w:tc>
      </w:tr>
      <w:tr w14:paraId="07DF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1DBD7D77">
            <w:pPr>
              <w:widowControl w:val="0"/>
              <w:jc w:val="both"/>
            </w:pPr>
            <w:r>
              <w:rPr>
                <w:rFonts w:hint="eastAsia" w:ascii="宋体" w:hAnsi="宋体"/>
              </w:rPr>
              <w:t>集团公司、控股股东</w:t>
            </w:r>
          </w:p>
        </w:tc>
        <w:tc>
          <w:tcPr>
            <w:tcW w:w="768" w:type="dxa"/>
          </w:tcPr>
          <w:p w14:paraId="0983069D">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02A17A59">
            <w:pPr>
              <w:widowControl w:val="0"/>
              <w:jc w:val="both"/>
              <w:rPr>
                <w:color w:val="000000" w:themeColor="text1"/>
                <w14:textFill>
                  <w14:solidFill>
                    <w14:schemeClr w14:val="tx1"/>
                  </w14:solidFill>
                </w14:textFill>
              </w:rPr>
            </w:pPr>
            <w:r>
              <w:rPr>
                <w:rFonts w:hint="eastAsia" w:ascii="宋体" w:hAnsi="宋体"/>
              </w:rPr>
              <w:t>好当家集团有限公司</w:t>
            </w:r>
          </w:p>
        </w:tc>
      </w:tr>
      <w:tr w14:paraId="214E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1EEBC4B6">
            <w:pPr>
              <w:widowControl w:val="0"/>
              <w:jc w:val="both"/>
            </w:pPr>
            <w:r>
              <w:rPr>
                <w:rFonts w:hint="eastAsia" w:ascii="宋体" w:hAnsi="宋体"/>
              </w:rPr>
              <w:t>公司、本公司</w:t>
            </w:r>
          </w:p>
        </w:tc>
        <w:tc>
          <w:tcPr>
            <w:tcW w:w="768" w:type="dxa"/>
          </w:tcPr>
          <w:p w14:paraId="55E64569">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7E01ACC9">
            <w:pPr>
              <w:widowControl w:val="0"/>
              <w:jc w:val="both"/>
              <w:rPr>
                <w:color w:val="000000" w:themeColor="text1"/>
                <w14:textFill>
                  <w14:solidFill>
                    <w14:schemeClr w14:val="tx1"/>
                  </w14:solidFill>
                </w14:textFill>
              </w:rPr>
            </w:pPr>
            <w:r>
              <w:rPr>
                <w:rFonts w:hint="eastAsia" w:ascii="宋体" w:hAnsi="宋体"/>
              </w:rPr>
              <w:t>山东好当家海洋发展股份有限公司</w:t>
            </w:r>
          </w:p>
        </w:tc>
      </w:tr>
      <w:tr w14:paraId="2BAA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61BF3358">
            <w:pPr>
              <w:widowControl w:val="0"/>
              <w:jc w:val="both"/>
            </w:pPr>
            <w:r>
              <w:rPr>
                <w:rFonts w:hint="eastAsia" w:ascii="宋体" w:hAnsi="宋体"/>
              </w:rPr>
              <w:t>实际控制人</w:t>
            </w:r>
          </w:p>
        </w:tc>
        <w:tc>
          <w:tcPr>
            <w:tcW w:w="768" w:type="dxa"/>
          </w:tcPr>
          <w:p w14:paraId="7F219AEB">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47413569">
            <w:pPr>
              <w:widowControl w:val="0"/>
              <w:jc w:val="both"/>
              <w:rPr>
                <w:color w:val="000000" w:themeColor="text1"/>
                <w14:textFill>
                  <w14:solidFill>
                    <w14:schemeClr w14:val="tx1"/>
                  </w14:solidFill>
                </w14:textFill>
              </w:rPr>
            </w:pPr>
            <w:r>
              <w:rPr>
                <w:rFonts w:hint="eastAsia" w:ascii="宋体" w:hAnsi="宋体"/>
              </w:rPr>
              <w:t>唐传勤先生</w:t>
            </w:r>
          </w:p>
        </w:tc>
      </w:tr>
      <w:tr w14:paraId="79DF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56D4F2E3">
            <w:pPr>
              <w:widowControl w:val="0"/>
              <w:jc w:val="both"/>
            </w:pPr>
            <w:r>
              <w:rPr>
                <w:rFonts w:hint="eastAsia" w:ascii="宋体" w:hAnsi="宋体"/>
              </w:rPr>
              <w:t>邱家实业</w:t>
            </w:r>
          </w:p>
        </w:tc>
        <w:tc>
          <w:tcPr>
            <w:tcW w:w="768" w:type="dxa"/>
          </w:tcPr>
          <w:p w14:paraId="4276CD66">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62B2A136">
            <w:pPr>
              <w:widowControl w:val="0"/>
              <w:jc w:val="both"/>
              <w:rPr>
                <w:color w:val="000000" w:themeColor="text1"/>
                <w14:textFill>
                  <w14:solidFill>
                    <w14:schemeClr w14:val="tx1"/>
                  </w14:solidFill>
                </w14:textFill>
              </w:rPr>
            </w:pPr>
            <w:r>
              <w:rPr>
                <w:rFonts w:hint="eastAsia" w:ascii="宋体" w:hAnsi="宋体"/>
              </w:rPr>
              <w:t>山东邱家实业有限公司</w:t>
            </w:r>
          </w:p>
        </w:tc>
      </w:tr>
      <w:tr w14:paraId="1635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0F8B62EA">
            <w:pPr>
              <w:widowControl w:val="0"/>
              <w:jc w:val="both"/>
            </w:pPr>
            <w:r>
              <w:rPr>
                <w:rFonts w:hint="eastAsia" w:ascii="宋体" w:hAnsi="宋体"/>
              </w:rPr>
              <w:t>荣山公司</w:t>
            </w:r>
          </w:p>
        </w:tc>
        <w:tc>
          <w:tcPr>
            <w:tcW w:w="768" w:type="dxa"/>
          </w:tcPr>
          <w:p w14:paraId="715E6D77">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4E9A72DA">
            <w:pPr>
              <w:widowControl w:val="0"/>
              <w:jc w:val="both"/>
              <w:rPr>
                <w:color w:val="000000" w:themeColor="text1"/>
                <w14:textFill>
                  <w14:solidFill>
                    <w14:schemeClr w14:val="tx1"/>
                  </w14:solidFill>
                </w14:textFill>
              </w:rPr>
            </w:pPr>
            <w:r>
              <w:rPr>
                <w:rFonts w:hint="eastAsia" w:ascii="宋体" w:hAnsi="宋体"/>
              </w:rPr>
              <w:t>荣成荣山食品有限公司</w:t>
            </w:r>
          </w:p>
        </w:tc>
      </w:tr>
      <w:tr w14:paraId="06B2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0AAE5C52">
            <w:pPr>
              <w:widowControl w:val="0"/>
              <w:jc w:val="both"/>
            </w:pPr>
            <w:r>
              <w:rPr>
                <w:rFonts w:hint="eastAsia" w:ascii="宋体" w:hAnsi="宋体"/>
              </w:rPr>
              <w:t>荣东公司</w:t>
            </w:r>
          </w:p>
        </w:tc>
        <w:tc>
          <w:tcPr>
            <w:tcW w:w="768" w:type="dxa"/>
          </w:tcPr>
          <w:p w14:paraId="5E186B83">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69E1637E">
            <w:pPr>
              <w:widowControl w:val="0"/>
              <w:jc w:val="both"/>
              <w:rPr>
                <w:color w:val="000000" w:themeColor="text1"/>
                <w14:textFill>
                  <w14:solidFill>
                    <w14:schemeClr w14:val="tx1"/>
                  </w14:solidFill>
                </w14:textFill>
              </w:rPr>
            </w:pPr>
            <w:r>
              <w:rPr>
                <w:rFonts w:hint="eastAsia" w:ascii="宋体" w:hAnsi="宋体"/>
              </w:rPr>
              <w:t>荣成荣东食品有限公司</w:t>
            </w:r>
          </w:p>
        </w:tc>
      </w:tr>
      <w:tr w14:paraId="7E7F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14E1D004">
            <w:pPr>
              <w:widowControl w:val="0"/>
              <w:jc w:val="both"/>
            </w:pPr>
            <w:r>
              <w:rPr>
                <w:rFonts w:hint="eastAsia" w:ascii="宋体" w:hAnsi="宋体"/>
              </w:rPr>
              <w:t>荣健公司</w:t>
            </w:r>
          </w:p>
        </w:tc>
        <w:tc>
          <w:tcPr>
            <w:tcW w:w="768" w:type="dxa"/>
          </w:tcPr>
          <w:p w14:paraId="35F5D849">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33773027">
            <w:pPr>
              <w:widowControl w:val="0"/>
              <w:jc w:val="both"/>
              <w:rPr>
                <w:color w:val="000000" w:themeColor="text1"/>
                <w14:textFill>
                  <w14:solidFill>
                    <w14:schemeClr w14:val="tx1"/>
                  </w14:solidFill>
                </w14:textFill>
              </w:rPr>
            </w:pPr>
            <w:r>
              <w:rPr>
                <w:rFonts w:hint="eastAsia" w:ascii="宋体" w:hAnsi="宋体"/>
              </w:rPr>
              <w:t>荣成荣健食品有限公司</w:t>
            </w:r>
          </w:p>
        </w:tc>
      </w:tr>
      <w:tr w14:paraId="3186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6C430FAD">
            <w:pPr>
              <w:widowControl w:val="0"/>
              <w:jc w:val="both"/>
            </w:pPr>
            <w:r>
              <w:rPr>
                <w:rFonts w:hint="eastAsia" w:ascii="宋体" w:hAnsi="宋体"/>
              </w:rPr>
              <w:t>荣康公司</w:t>
            </w:r>
          </w:p>
        </w:tc>
        <w:tc>
          <w:tcPr>
            <w:tcW w:w="768" w:type="dxa"/>
          </w:tcPr>
          <w:p w14:paraId="63BD4646">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6F3DD0F4">
            <w:pPr>
              <w:widowControl w:val="0"/>
              <w:jc w:val="both"/>
              <w:rPr>
                <w:color w:val="000000" w:themeColor="text1"/>
                <w14:textFill>
                  <w14:solidFill>
                    <w14:schemeClr w14:val="tx1"/>
                  </w14:solidFill>
                </w14:textFill>
              </w:rPr>
            </w:pPr>
            <w:r>
              <w:rPr>
                <w:rFonts w:hint="eastAsia" w:ascii="宋体" w:hAnsi="宋体"/>
              </w:rPr>
              <w:t>荣成荣康食品有限公司</w:t>
            </w:r>
          </w:p>
        </w:tc>
      </w:tr>
      <w:tr w14:paraId="7539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025BE826">
            <w:pPr>
              <w:widowControl w:val="0"/>
              <w:jc w:val="both"/>
            </w:pPr>
            <w:r>
              <w:rPr>
                <w:rFonts w:hint="eastAsia" w:ascii="宋体" w:hAnsi="宋体"/>
              </w:rPr>
              <w:t>荣进公司</w:t>
            </w:r>
          </w:p>
        </w:tc>
        <w:tc>
          <w:tcPr>
            <w:tcW w:w="768" w:type="dxa"/>
          </w:tcPr>
          <w:p w14:paraId="1AE59D53">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75D13060">
            <w:pPr>
              <w:widowControl w:val="0"/>
              <w:jc w:val="both"/>
              <w:rPr>
                <w:color w:val="000000" w:themeColor="text1"/>
                <w14:textFill>
                  <w14:solidFill>
                    <w14:schemeClr w14:val="tx1"/>
                  </w14:solidFill>
                </w14:textFill>
              </w:rPr>
            </w:pPr>
            <w:r>
              <w:rPr>
                <w:rFonts w:hint="eastAsia" w:ascii="宋体" w:hAnsi="宋体"/>
              </w:rPr>
              <w:t>荣成荣进食品有限公司</w:t>
            </w:r>
          </w:p>
        </w:tc>
      </w:tr>
      <w:tr w14:paraId="4BA4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43559B30">
            <w:pPr>
              <w:widowControl w:val="0"/>
              <w:jc w:val="both"/>
            </w:pPr>
            <w:r>
              <w:rPr>
                <w:rFonts w:hint="eastAsia" w:ascii="宋体" w:hAnsi="宋体"/>
              </w:rPr>
              <w:t>销售公司</w:t>
            </w:r>
          </w:p>
        </w:tc>
        <w:tc>
          <w:tcPr>
            <w:tcW w:w="768" w:type="dxa"/>
          </w:tcPr>
          <w:p w14:paraId="462F6943">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23E60D9A">
            <w:pPr>
              <w:widowControl w:val="0"/>
              <w:jc w:val="both"/>
              <w:rPr>
                <w:color w:val="000000" w:themeColor="text1"/>
                <w14:textFill>
                  <w14:solidFill>
                    <w14:schemeClr w14:val="tx1"/>
                  </w14:solidFill>
                </w14:textFill>
              </w:rPr>
            </w:pPr>
            <w:r>
              <w:rPr>
                <w:rFonts w:hint="eastAsia" w:ascii="宋体" w:hAnsi="宋体"/>
              </w:rPr>
              <w:t>山东好当家海洋食品销售有限公司</w:t>
            </w:r>
          </w:p>
        </w:tc>
      </w:tr>
      <w:tr w14:paraId="22E5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03C51F8B">
            <w:pPr>
              <w:widowControl w:val="0"/>
              <w:jc w:val="both"/>
            </w:pPr>
            <w:r>
              <w:rPr>
                <w:rFonts w:hint="eastAsia" w:ascii="宋体" w:hAnsi="宋体"/>
              </w:rPr>
              <w:t>海翔公司</w:t>
            </w:r>
          </w:p>
        </w:tc>
        <w:tc>
          <w:tcPr>
            <w:tcW w:w="768" w:type="dxa"/>
          </w:tcPr>
          <w:p w14:paraId="3C57D576">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10A4F207">
            <w:pPr>
              <w:widowControl w:val="0"/>
              <w:jc w:val="both"/>
              <w:rPr>
                <w:color w:val="000000" w:themeColor="text1"/>
                <w14:textFill>
                  <w14:solidFill>
                    <w14:schemeClr w14:val="tx1"/>
                  </w14:solidFill>
                </w14:textFill>
              </w:rPr>
            </w:pPr>
            <w:r>
              <w:rPr>
                <w:rFonts w:hint="eastAsia" w:ascii="宋体" w:hAnsi="宋体"/>
              </w:rPr>
              <w:t>威海海翔食品检测服务有限公司</w:t>
            </w:r>
          </w:p>
        </w:tc>
      </w:tr>
      <w:tr w14:paraId="1406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5F6D96D9">
            <w:pPr>
              <w:widowControl w:val="0"/>
              <w:jc w:val="both"/>
            </w:pPr>
            <w:r>
              <w:rPr>
                <w:rFonts w:hint="eastAsia" w:ascii="宋体" w:hAnsi="宋体"/>
              </w:rPr>
              <w:t>荣佳公司</w:t>
            </w:r>
          </w:p>
        </w:tc>
        <w:tc>
          <w:tcPr>
            <w:tcW w:w="768" w:type="dxa"/>
          </w:tcPr>
          <w:p w14:paraId="0A40FAA5">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79DC506C">
            <w:pPr>
              <w:widowControl w:val="0"/>
              <w:jc w:val="both"/>
              <w:rPr>
                <w:color w:val="000000" w:themeColor="text1"/>
                <w14:textFill>
                  <w14:solidFill>
                    <w14:schemeClr w14:val="tx1"/>
                  </w14:solidFill>
                </w14:textFill>
              </w:rPr>
            </w:pPr>
            <w:r>
              <w:rPr>
                <w:rFonts w:hint="eastAsia" w:ascii="宋体" w:hAnsi="宋体"/>
              </w:rPr>
              <w:t>好当家乳山荣佳食品有限公司</w:t>
            </w:r>
          </w:p>
        </w:tc>
      </w:tr>
      <w:tr w14:paraId="6888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4ED93C24">
            <w:pPr>
              <w:widowControl w:val="0"/>
              <w:jc w:val="both"/>
            </w:pPr>
            <w:r>
              <w:rPr>
                <w:rFonts w:hint="eastAsia" w:ascii="宋体" w:hAnsi="宋体"/>
              </w:rPr>
              <w:t>荣广公司</w:t>
            </w:r>
          </w:p>
        </w:tc>
        <w:tc>
          <w:tcPr>
            <w:tcW w:w="768" w:type="dxa"/>
          </w:tcPr>
          <w:p w14:paraId="7EE50E96">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346D84B5">
            <w:pPr>
              <w:widowControl w:val="0"/>
              <w:jc w:val="both"/>
              <w:rPr>
                <w:color w:val="000000" w:themeColor="text1"/>
                <w14:textFill>
                  <w14:solidFill>
                    <w14:schemeClr w14:val="tx1"/>
                  </w14:solidFill>
                </w14:textFill>
              </w:rPr>
            </w:pPr>
            <w:r>
              <w:rPr>
                <w:rFonts w:hint="eastAsia" w:ascii="宋体" w:hAnsi="宋体"/>
              </w:rPr>
              <w:t>荣成荣广食品有限公司</w:t>
            </w:r>
          </w:p>
        </w:tc>
      </w:tr>
      <w:tr w14:paraId="2EC0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667D43FF">
            <w:pPr>
              <w:widowControl w:val="0"/>
              <w:jc w:val="both"/>
            </w:pPr>
            <w:r>
              <w:rPr>
                <w:rFonts w:hint="eastAsia" w:ascii="宋体" w:hAnsi="宋体"/>
              </w:rPr>
              <w:t>海普盾公司</w:t>
            </w:r>
          </w:p>
        </w:tc>
        <w:tc>
          <w:tcPr>
            <w:tcW w:w="768" w:type="dxa"/>
          </w:tcPr>
          <w:p w14:paraId="6EA66886">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0104C330">
            <w:pPr>
              <w:widowControl w:val="0"/>
              <w:jc w:val="both"/>
              <w:rPr>
                <w:color w:val="000000" w:themeColor="text1"/>
                <w14:textFill>
                  <w14:solidFill>
                    <w14:schemeClr w14:val="tx1"/>
                  </w14:solidFill>
                </w14:textFill>
              </w:rPr>
            </w:pPr>
            <w:r>
              <w:rPr>
                <w:rFonts w:hint="eastAsia" w:ascii="宋体" w:hAnsi="宋体"/>
              </w:rPr>
              <w:t>山东海普盾生物科技有限公司</w:t>
            </w:r>
          </w:p>
        </w:tc>
      </w:tr>
      <w:tr w14:paraId="02E3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2FFEF3D3">
            <w:pPr>
              <w:widowControl w:val="0"/>
              <w:jc w:val="both"/>
            </w:pPr>
            <w:r>
              <w:rPr>
                <w:rFonts w:hint="eastAsia" w:ascii="宋体" w:hAnsi="宋体"/>
              </w:rPr>
              <w:t>荣顺管业</w:t>
            </w:r>
          </w:p>
        </w:tc>
        <w:tc>
          <w:tcPr>
            <w:tcW w:w="768" w:type="dxa"/>
          </w:tcPr>
          <w:p w14:paraId="62DCB1F7">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47A43DCA">
            <w:pPr>
              <w:widowControl w:val="0"/>
              <w:jc w:val="both"/>
              <w:rPr>
                <w:color w:val="000000" w:themeColor="text1"/>
                <w14:textFill>
                  <w14:solidFill>
                    <w14:schemeClr w14:val="tx1"/>
                  </w14:solidFill>
                </w14:textFill>
              </w:rPr>
            </w:pPr>
            <w:r>
              <w:rPr>
                <w:rFonts w:hint="eastAsia" w:ascii="宋体" w:hAnsi="宋体"/>
              </w:rPr>
              <w:t>荣成市荣顺塑料管业有限公司</w:t>
            </w:r>
          </w:p>
        </w:tc>
      </w:tr>
      <w:tr w14:paraId="4B6E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63A16C86">
            <w:pPr>
              <w:widowControl w:val="0"/>
              <w:jc w:val="both"/>
            </w:pPr>
            <w:r>
              <w:rPr>
                <w:rFonts w:hint="eastAsia" w:ascii="宋体" w:hAnsi="宋体"/>
              </w:rPr>
              <w:t>防城捕捞</w:t>
            </w:r>
          </w:p>
        </w:tc>
        <w:tc>
          <w:tcPr>
            <w:tcW w:w="768" w:type="dxa"/>
          </w:tcPr>
          <w:p w14:paraId="42CD4785">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583D86F1">
            <w:pPr>
              <w:widowControl w:val="0"/>
              <w:jc w:val="both"/>
              <w:rPr>
                <w:color w:val="000000" w:themeColor="text1"/>
                <w14:textFill>
                  <w14:solidFill>
                    <w14:schemeClr w14:val="tx1"/>
                  </w14:solidFill>
                </w14:textFill>
              </w:rPr>
            </w:pPr>
            <w:r>
              <w:rPr>
                <w:rFonts w:hint="eastAsia" w:ascii="宋体" w:hAnsi="宋体"/>
              </w:rPr>
              <w:t>防城港市好当家海洋捕捞有限公司</w:t>
            </w:r>
          </w:p>
        </w:tc>
      </w:tr>
      <w:tr w14:paraId="5A84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6FD43319">
            <w:pPr>
              <w:widowControl w:val="0"/>
              <w:jc w:val="both"/>
            </w:pPr>
            <w:r>
              <w:rPr>
                <w:rFonts w:hint="eastAsia" w:ascii="宋体" w:hAnsi="宋体"/>
              </w:rPr>
              <w:t>调理销售</w:t>
            </w:r>
          </w:p>
        </w:tc>
        <w:tc>
          <w:tcPr>
            <w:tcW w:w="768" w:type="dxa"/>
          </w:tcPr>
          <w:p w14:paraId="3AB94A55">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71656948">
            <w:pPr>
              <w:widowControl w:val="0"/>
              <w:jc w:val="both"/>
              <w:rPr>
                <w:color w:val="000000" w:themeColor="text1"/>
                <w14:textFill>
                  <w14:solidFill>
                    <w14:schemeClr w14:val="tx1"/>
                  </w14:solidFill>
                </w14:textFill>
              </w:rPr>
            </w:pPr>
            <w:r>
              <w:rPr>
                <w:rFonts w:hint="eastAsia" w:ascii="宋体" w:hAnsi="宋体"/>
              </w:rPr>
              <w:t>山东好当家调理食品销售有限公司</w:t>
            </w:r>
          </w:p>
        </w:tc>
      </w:tr>
      <w:tr w14:paraId="5FBA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353EF7DE">
            <w:pPr>
              <w:widowControl w:val="0"/>
              <w:jc w:val="both"/>
            </w:pPr>
            <w:r>
              <w:rPr>
                <w:rFonts w:hint="eastAsia" w:ascii="宋体" w:hAnsi="宋体"/>
              </w:rPr>
              <w:t>海森药业</w:t>
            </w:r>
          </w:p>
        </w:tc>
        <w:tc>
          <w:tcPr>
            <w:tcW w:w="768" w:type="dxa"/>
          </w:tcPr>
          <w:p w14:paraId="4BB7CD6C">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655096E7">
            <w:pPr>
              <w:widowControl w:val="0"/>
              <w:jc w:val="both"/>
              <w:rPr>
                <w:color w:val="000000" w:themeColor="text1"/>
                <w14:textFill>
                  <w14:solidFill>
                    <w14:schemeClr w14:val="tx1"/>
                  </w14:solidFill>
                </w14:textFill>
              </w:rPr>
            </w:pPr>
            <w:r>
              <w:rPr>
                <w:rFonts w:hint="eastAsia" w:ascii="宋体" w:hAnsi="宋体"/>
              </w:rPr>
              <w:t>山东好当家海森药业有限公司</w:t>
            </w:r>
          </w:p>
        </w:tc>
      </w:tr>
      <w:tr w14:paraId="2366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7DB6B265">
            <w:pPr>
              <w:widowControl w:val="0"/>
              <w:jc w:val="both"/>
            </w:pPr>
            <w:r>
              <w:rPr>
                <w:rFonts w:hint="eastAsia" w:ascii="宋体" w:hAnsi="宋体"/>
              </w:rPr>
              <w:t>捕捞公司</w:t>
            </w:r>
          </w:p>
        </w:tc>
        <w:tc>
          <w:tcPr>
            <w:tcW w:w="768" w:type="dxa"/>
          </w:tcPr>
          <w:p w14:paraId="64E6B657">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01EE05F2">
            <w:pPr>
              <w:widowControl w:val="0"/>
              <w:jc w:val="both"/>
              <w:rPr>
                <w:color w:val="000000" w:themeColor="text1"/>
                <w14:textFill>
                  <w14:solidFill>
                    <w14:schemeClr w14:val="tx1"/>
                  </w14:solidFill>
                </w14:textFill>
              </w:rPr>
            </w:pPr>
            <w:r>
              <w:rPr>
                <w:rFonts w:hint="eastAsia" w:ascii="宋体" w:hAnsi="宋体"/>
              </w:rPr>
              <w:t>山东好当家海洋捕捞有限公司</w:t>
            </w:r>
          </w:p>
        </w:tc>
      </w:tr>
      <w:tr w14:paraId="13A7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3753AAD3">
            <w:pPr>
              <w:widowControl w:val="0"/>
              <w:jc w:val="both"/>
            </w:pPr>
            <w:r>
              <w:rPr>
                <w:rFonts w:hint="eastAsia" w:ascii="宋体" w:hAnsi="宋体"/>
              </w:rPr>
              <w:t>日照荣海</w:t>
            </w:r>
          </w:p>
        </w:tc>
        <w:tc>
          <w:tcPr>
            <w:tcW w:w="768" w:type="dxa"/>
          </w:tcPr>
          <w:p w14:paraId="1FCD35FF">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1E9D4D35">
            <w:pPr>
              <w:widowControl w:val="0"/>
              <w:jc w:val="both"/>
              <w:rPr>
                <w:color w:val="000000" w:themeColor="text1"/>
                <w14:textFill>
                  <w14:solidFill>
                    <w14:schemeClr w14:val="tx1"/>
                  </w14:solidFill>
                </w14:textFill>
              </w:rPr>
            </w:pPr>
            <w:r>
              <w:rPr>
                <w:rFonts w:hint="eastAsia" w:ascii="宋体" w:hAnsi="宋体"/>
              </w:rPr>
              <w:t>日照好当家荣海水产有限公司</w:t>
            </w:r>
          </w:p>
        </w:tc>
      </w:tr>
      <w:tr w14:paraId="78FD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22D903E6">
            <w:pPr>
              <w:widowControl w:val="0"/>
              <w:jc w:val="both"/>
            </w:pPr>
            <w:r>
              <w:rPr>
                <w:rFonts w:hint="eastAsia" w:ascii="宋体" w:hAnsi="宋体"/>
              </w:rPr>
              <w:t>海南荣达</w:t>
            </w:r>
          </w:p>
        </w:tc>
        <w:tc>
          <w:tcPr>
            <w:tcW w:w="768" w:type="dxa"/>
          </w:tcPr>
          <w:p w14:paraId="7A77476C">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4CFBF544">
            <w:pPr>
              <w:widowControl w:val="0"/>
              <w:jc w:val="both"/>
              <w:rPr>
                <w:color w:val="000000" w:themeColor="text1"/>
                <w14:textFill>
                  <w14:solidFill>
                    <w14:schemeClr w14:val="tx1"/>
                  </w14:solidFill>
                </w14:textFill>
              </w:rPr>
            </w:pPr>
            <w:r>
              <w:rPr>
                <w:rFonts w:hint="eastAsia" w:ascii="宋体" w:hAnsi="宋体"/>
              </w:rPr>
              <w:t>好当家荣达（海南）贸易有限公司</w:t>
            </w:r>
          </w:p>
        </w:tc>
      </w:tr>
      <w:tr w14:paraId="3CEB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202C1419">
            <w:pPr>
              <w:widowControl w:val="0"/>
              <w:jc w:val="both"/>
            </w:pPr>
            <w:r>
              <w:rPr>
                <w:rFonts w:hint="eastAsia" w:ascii="宋体" w:hAnsi="宋体"/>
              </w:rPr>
              <w:t>沙咀渔港</w:t>
            </w:r>
          </w:p>
        </w:tc>
        <w:tc>
          <w:tcPr>
            <w:tcW w:w="768" w:type="dxa"/>
          </w:tcPr>
          <w:p w14:paraId="560BD5BA">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1F1327D3">
            <w:pPr>
              <w:widowControl w:val="0"/>
              <w:jc w:val="both"/>
              <w:rPr>
                <w:color w:val="000000" w:themeColor="text1"/>
                <w14:textFill>
                  <w14:solidFill>
                    <w14:schemeClr w14:val="tx1"/>
                  </w14:solidFill>
                </w14:textFill>
              </w:rPr>
            </w:pPr>
            <w:r>
              <w:rPr>
                <w:rFonts w:hint="eastAsia" w:ascii="宋体" w:hAnsi="宋体"/>
              </w:rPr>
              <w:t>荣成市沙咀渔港渔船服务有限公司</w:t>
            </w:r>
          </w:p>
        </w:tc>
      </w:tr>
      <w:tr w14:paraId="654F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32E6D8BF">
            <w:pPr>
              <w:widowControl w:val="0"/>
              <w:jc w:val="both"/>
            </w:pPr>
            <w:r>
              <w:rPr>
                <w:rFonts w:hint="eastAsia" w:ascii="宋体" w:hAnsi="宋体"/>
              </w:rPr>
              <w:t>参源育苗</w:t>
            </w:r>
          </w:p>
        </w:tc>
        <w:tc>
          <w:tcPr>
            <w:tcW w:w="768" w:type="dxa"/>
          </w:tcPr>
          <w:p w14:paraId="5D15DBF2">
            <w:pPr>
              <w:widowControl w:val="0"/>
              <w:jc w:val="center"/>
              <w:rPr>
                <w:color w:val="000000" w:themeColor="text1"/>
                <w14:textFill>
                  <w14:solidFill>
                    <w14:schemeClr w14:val="tx1"/>
                  </w14:solidFill>
                </w14:textFill>
              </w:rPr>
            </w:pPr>
            <w:r>
              <w:rPr>
                <w:rFonts w:hint="eastAsia" w:ascii="宋体" w:hAnsi="宋体"/>
              </w:rPr>
              <w:t>指</w:t>
            </w:r>
          </w:p>
        </w:tc>
        <w:tc>
          <w:tcPr>
            <w:tcW w:w="5116" w:type="dxa"/>
            <w:vAlign w:val="center"/>
          </w:tcPr>
          <w:p w14:paraId="2AA3B479">
            <w:pPr>
              <w:widowControl w:val="0"/>
              <w:jc w:val="both"/>
              <w:rPr>
                <w:color w:val="000000" w:themeColor="text1"/>
                <w14:textFill>
                  <w14:solidFill>
                    <w14:schemeClr w14:val="tx1"/>
                  </w14:solidFill>
                </w14:textFill>
              </w:rPr>
            </w:pPr>
            <w:r>
              <w:rPr>
                <w:rFonts w:hint="eastAsia" w:ascii="宋体" w:hAnsi="宋体"/>
              </w:rPr>
              <w:t>山东参源育苗有限公司</w:t>
            </w:r>
          </w:p>
        </w:tc>
      </w:tr>
      <w:tr w14:paraId="1713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2E354826">
            <w:pPr>
              <w:widowControl w:val="0"/>
              <w:jc w:val="both"/>
            </w:pPr>
            <w:r>
              <w:rPr>
                <w:rFonts w:hint="eastAsia" w:ascii="宋体" w:hAnsi="宋体"/>
              </w:rPr>
              <w:t>青岛家盛</w:t>
            </w:r>
          </w:p>
        </w:tc>
        <w:tc>
          <w:tcPr>
            <w:tcW w:w="768" w:type="dxa"/>
          </w:tcPr>
          <w:p w14:paraId="4D1DA841">
            <w:pPr>
              <w:widowControl w:val="0"/>
              <w:jc w:val="center"/>
              <w:rPr>
                <w:color w:val="000000" w:themeColor="text1"/>
                <w14:textFill>
                  <w14:solidFill>
                    <w14:schemeClr w14:val="tx1"/>
                  </w14:solidFill>
                </w14:textFill>
              </w:rPr>
            </w:pPr>
            <w:r>
              <w:rPr>
                <w:rFonts w:hint="eastAsia" w:ascii="宋体" w:hAnsi="宋体"/>
              </w:rPr>
              <w:t>指</w:t>
            </w:r>
          </w:p>
        </w:tc>
        <w:tc>
          <w:tcPr>
            <w:tcW w:w="5116" w:type="dxa"/>
          </w:tcPr>
          <w:p w14:paraId="05CCA646">
            <w:pPr>
              <w:widowControl w:val="0"/>
              <w:jc w:val="both"/>
              <w:rPr>
                <w:color w:val="000000" w:themeColor="text1"/>
                <w14:textFill>
                  <w14:solidFill>
                    <w14:schemeClr w14:val="tx1"/>
                  </w14:solidFill>
                </w14:textFill>
              </w:rPr>
            </w:pPr>
            <w:r>
              <w:rPr>
                <w:rFonts w:hint="eastAsia" w:ascii="宋体" w:hAnsi="宋体"/>
              </w:rPr>
              <w:t>青岛家盛水产有限公司</w:t>
            </w:r>
          </w:p>
        </w:tc>
      </w:tr>
      <w:tr w14:paraId="49CA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6B91945D">
            <w:pPr>
              <w:widowControl w:val="0"/>
              <w:jc w:val="both"/>
              <w:rPr>
                <w:rFonts w:hint="eastAsia" w:ascii="宋体" w:hAnsi="宋体"/>
              </w:rPr>
            </w:pPr>
            <w:r>
              <w:rPr>
                <w:rFonts w:hint="eastAsia" w:ascii="宋体" w:hAnsi="宋体"/>
              </w:rPr>
              <w:t>青岛雨树春光</w:t>
            </w:r>
          </w:p>
        </w:tc>
        <w:tc>
          <w:tcPr>
            <w:tcW w:w="768" w:type="dxa"/>
          </w:tcPr>
          <w:p w14:paraId="4AF5A933">
            <w:pPr>
              <w:widowControl w:val="0"/>
              <w:jc w:val="center"/>
              <w:rPr>
                <w:rFonts w:hint="eastAsia" w:ascii="宋体" w:hAnsi="宋体"/>
              </w:rPr>
            </w:pPr>
            <w:r>
              <w:rPr>
                <w:rFonts w:hint="eastAsia" w:ascii="宋体" w:hAnsi="宋体"/>
              </w:rPr>
              <w:t>指</w:t>
            </w:r>
          </w:p>
        </w:tc>
        <w:tc>
          <w:tcPr>
            <w:tcW w:w="5116" w:type="dxa"/>
          </w:tcPr>
          <w:p w14:paraId="4D68D548">
            <w:pPr>
              <w:widowControl w:val="0"/>
              <w:jc w:val="both"/>
              <w:rPr>
                <w:rFonts w:hint="eastAsia" w:ascii="宋体" w:hAnsi="宋体"/>
              </w:rPr>
            </w:pPr>
            <w:r>
              <w:rPr>
                <w:rFonts w:hint="eastAsia" w:ascii="宋体" w:hAnsi="宋体"/>
              </w:rPr>
              <w:t>青岛雨树春光控股发展有限公司</w:t>
            </w:r>
          </w:p>
        </w:tc>
      </w:tr>
      <w:tr w14:paraId="6309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Pr>
          <w:p w14:paraId="68033D51">
            <w:pPr>
              <w:widowControl w:val="0"/>
              <w:jc w:val="both"/>
              <w:rPr>
                <w:rFonts w:hint="eastAsia" w:ascii="宋体" w:hAnsi="宋体"/>
              </w:rPr>
            </w:pPr>
            <w:r>
              <w:rPr>
                <w:rFonts w:hint="eastAsia" w:ascii="宋体" w:hAnsi="宋体"/>
              </w:rPr>
              <w:t>山东瑞帝恩斯</w:t>
            </w:r>
          </w:p>
        </w:tc>
        <w:tc>
          <w:tcPr>
            <w:tcW w:w="768" w:type="dxa"/>
          </w:tcPr>
          <w:p w14:paraId="5F542836">
            <w:pPr>
              <w:widowControl w:val="0"/>
              <w:jc w:val="center"/>
              <w:rPr>
                <w:rFonts w:hint="eastAsia" w:ascii="宋体" w:hAnsi="宋体"/>
              </w:rPr>
            </w:pPr>
            <w:r>
              <w:rPr>
                <w:rFonts w:hint="eastAsia" w:ascii="宋体" w:hAnsi="宋体"/>
              </w:rPr>
              <w:t>指</w:t>
            </w:r>
          </w:p>
        </w:tc>
        <w:tc>
          <w:tcPr>
            <w:tcW w:w="5116" w:type="dxa"/>
          </w:tcPr>
          <w:p w14:paraId="3A978D03">
            <w:pPr>
              <w:widowControl w:val="0"/>
              <w:jc w:val="both"/>
              <w:rPr>
                <w:rFonts w:hint="eastAsia" w:ascii="宋体" w:hAnsi="宋体"/>
              </w:rPr>
            </w:pPr>
            <w:r>
              <w:rPr>
                <w:rFonts w:hint="eastAsia" w:ascii="宋体" w:hAnsi="宋体"/>
              </w:rPr>
              <w:t>山东瑞帝恩斯能源有限公司</w:t>
            </w:r>
          </w:p>
        </w:tc>
      </w:tr>
    </w:tbl>
    <w:p w14:paraId="060128A2">
      <w:pPr>
        <w:rPr>
          <w:color w:val="000000" w:themeColor="text1"/>
          <w14:textFill>
            <w14:solidFill>
              <w14:schemeClr w14:val="tx1"/>
            </w14:solidFill>
          </w14:textFill>
        </w:rPr>
      </w:pPr>
    </w:p>
    <w:p w14:paraId="758085EC">
      <w:pPr>
        <w:rPr>
          <w:color w:val="000000" w:themeColor="text1"/>
          <w14:textFill>
            <w14:solidFill>
              <w14:schemeClr w14:val="tx1"/>
            </w14:solidFill>
          </w14:textFill>
        </w:rPr>
      </w:pPr>
    </w:p>
    <w:p w14:paraId="5E9E9BFA">
      <w:pPr>
        <w:rPr>
          <w:color w:val="000000" w:themeColor="text1"/>
          <w14:textFill>
            <w14:solidFill>
              <w14:schemeClr w14:val="tx1"/>
            </w14:solidFill>
          </w14:textFill>
        </w:rPr>
      </w:pPr>
    </w:p>
    <w:p w14:paraId="05D2BFBC">
      <w:pPr>
        <w:rPr>
          <w:color w:val="000000" w:themeColor="text1"/>
          <w14:textFill>
            <w14:solidFill>
              <w14:schemeClr w14:val="tx1"/>
            </w14:solidFill>
          </w14:textFill>
        </w:rPr>
      </w:pPr>
    </w:p>
    <w:p w14:paraId="011230B8">
      <w:pPr>
        <w:rPr>
          <w:color w:val="000000" w:themeColor="text1"/>
          <w14:textFill>
            <w14:solidFill>
              <w14:schemeClr w14:val="tx1"/>
            </w14:solidFill>
          </w14:textFill>
        </w:rPr>
      </w:pPr>
    </w:p>
    <w:p w14:paraId="31E3B6C5">
      <w:pPr>
        <w:rPr>
          <w:color w:val="000000" w:themeColor="text1"/>
          <w14:textFill>
            <w14:solidFill>
              <w14:schemeClr w14:val="tx1"/>
            </w14:solidFill>
          </w14:textFill>
        </w:rPr>
      </w:pPr>
    </w:p>
    <w:p w14:paraId="07E778B1">
      <w:pPr>
        <w:rPr>
          <w:color w:val="000000" w:themeColor="text1"/>
          <w14:textFill>
            <w14:solidFill>
              <w14:schemeClr w14:val="tx1"/>
            </w14:solidFill>
          </w14:textFill>
        </w:rPr>
      </w:pPr>
    </w:p>
    <w:p w14:paraId="560DC41A">
      <w:pPr>
        <w:rPr>
          <w:color w:val="000000" w:themeColor="text1"/>
          <w14:textFill>
            <w14:solidFill>
              <w14:schemeClr w14:val="tx1"/>
            </w14:solidFill>
          </w14:textFill>
        </w:rPr>
      </w:pPr>
    </w:p>
    <w:p w14:paraId="6928F891">
      <w:pPr>
        <w:rPr>
          <w:color w:val="000000" w:themeColor="text1"/>
          <w14:textFill>
            <w14:solidFill>
              <w14:schemeClr w14:val="tx1"/>
            </w14:solidFill>
          </w14:textFill>
        </w:rPr>
      </w:pPr>
    </w:p>
    <w:p w14:paraId="63D4B009">
      <w:pPr>
        <w:rPr>
          <w:color w:val="000000" w:themeColor="text1"/>
          <w14:textFill>
            <w14:solidFill>
              <w14:schemeClr w14:val="tx1"/>
            </w14:solidFill>
          </w14:textFill>
        </w:rPr>
      </w:pPr>
    </w:p>
    <w:p w14:paraId="71722F8B">
      <w:pPr>
        <w:rPr>
          <w:color w:val="000000" w:themeColor="text1"/>
          <w14:textFill>
            <w14:solidFill>
              <w14:schemeClr w14:val="tx1"/>
            </w14:solidFill>
          </w14:textFill>
        </w:rPr>
      </w:pPr>
    </w:p>
    <w:p w14:paraId="4496E560">
      <w:pPr>
        <w:pStyle w:val="2"/>
        <w:numPr>
          <w:ilvl w:val="0"/>
          <w:numId w:val="2"/>
        </w:numPr>
        <w:rPr>
          <w:rFonts w:hint="eastAsia" w:ascii="黑体" w:hAnsi="黑体"/>
          <w:color w:val="000000" w:themeColor="text1"/>
          <w:u w:val="single"/>
          <w14:textFill>
            <w14:solidFill>
              <w14:schemeClr w14:val="tx1"/>
            </w14:solidFill>
          </w14:textFill>
        </w:rPr>
      </w:pPr>
      <w:bookmarkStart w:id="8" w:name="_Toc236303306"/>
      <w:bookmarkStart w:id="9" w:name="_Toc76114273"/>
      <w:r>
        <w:rPr>
          <w:rFonts w:hint="eastAsia" w:ascii="黑体" w:hAnsi="黑体"/>
          <w:color w:val="000000" w:themeColor="text1"/>
          <w14:textFill>
            <w14:solidFill>
              <w14:schemeClr w14:val="tx1"/>
            </w14:solidFill>
          </w14:textFill>
        </w:rPr>
        <w:t>公司简介</w:t>
      </w:r>
      <w:bookmarkEnd w:id="7"/>
      <w:r>
        <w:rPr>
          <w:rFonts w:hint="eastAsia" w:ascii="黑体" w:hAnsi="黑体"/>
          <w:color w:val="000000" w:themeColor="text1"/>
          <w14:textFill>
            <w14:solidFill>
              <w14:schemeClr w14:val="tx1"/>
            </w14:solidFill>
          </w14:textFill>
        </w:rPr>
        <w:t>和主要财务指标</w:t>
      </w:r>
      <w:bookmarkEnd w:id="8"/>
    </w:p>
    <w:bookmarkEnd w:id="9"/>
    <w:p w14:paraId="6BEA73B5">
      <w:pPr>
        <w:pStyle w:val="3"/>
        <w:numPr>
          <w:ilvl w:val="0"/>
          <w:numId w:val="3"/>
        </w:numPr>
        <w:ind w:left="0" w:firstLine="0"/>
        <w:rPr>
          <w:color w:val="000000" w:themeColor="text1"/>
          <w14:textFill>
            <w14:solidFill>
              <w14:schemeClr w14:val="tx1"/>
            </w14:solidFill>
          </w14:textFill>
        </w:rPr>
      </w:pPr>
      <w:bookmarkStart w:id="10" w:name="_Toc342051041"/>
      <w:bookmarkStart w:id="11" w:name="_Toc342565881"/>
      <w:r>
        <w:rPr>
          <w:rFonts w:hint="eastAsia"/>
          <w:color w:val="000000" w:themeColor="text1"/>
          <w14:textFill>
            <w14:solidFill>
              <w14:schemeClr w14:val="tx1"/>
            </w14:solidFill>
          </w14:textFill>
        </w:rPr>
        <w:t>公司信息</w:t>
      </w:r>
      <w:bookmarkEnd w:id="10"/>
      <w:bookmarkEnd w:id="11"/>
    </w:p>
    <w:tbl>
      <w:tblPr>
        <w:tblStyle w:val="37"/>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30" w:type="dxa"/>
          <w:bottom w:w="0" w:type="dxa"/>
          <w:right w:w="30" w:type="dxa"/>
        </w:tblCellMar>
      </w:tblPr>
      <w:tblGrid>
        <w:gridCol w:w="2262"/>
        <w:gridCol w:w="6561"/>
      </w:tblGrid>
      <w:tr w14:paraId="212C28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sdt>
          <w:sdtPr>
            <w:tag w:val="_PLD_372cd7a5ecc1420488735479d42bf939"/>
            <w:id w:val="1278296187"/>
          </w:sdtPr>
          <w:sdtContent>
            <w:tc>
              <w:tcPr>
                <w:tcW w:w="1282" w:type="pct"/>
                <w:tcBorders>
                  <w:top w:val="single" w:color="auto" w:sz="4" w:space="0"/>
                  <w:bottom w:val="single" w:color="auto" w:sz="4" w:space="0"/>
                  <w:right w:val="single" w:color="auto" w:sz="4" w:space="0"/>
                </w:tcBorders>
              </w:tcPr>
              <w:p w14:paraId="1C65CCCF">
                <w:pPr>
                  <w:kinsoku w:val="0"/>
                  <w:overflowPunct w:val="0"/>
                  <w:autoSpaceDE w:val="0"/>
                  <w:autoSpaceDN w:val="0"/>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公司的中文名称</w:t>
                </w:r>
              </w:p>
            </w:tc>
          </w:sdtContent>
        </w:sdt>
        <w:sdt>
          <w:sdtPr>
            <w:rPr>
              <w:rFonts w:hint="eastAsia"/>
              <w:color w:val="000000" w:themeColor="text1"/>
              <w14:textFill>
                <w14:solidFill>
                  <w14:schemeClr w14:val="tx1"/>
                </w14:solidFill>
              </w14:textFill>
            </w:rPr>
            <w:alias w:val="公司法定中文名称"/>
            <w:tag w:val="_GBC_6f7f4fb261c84402a309f1371502ca4f"/>
            <w:id w:val="-79675899"/>
            <w:dataBinding w:prefixMappings="xmlns:clcid-cgi='clcid-cgi'" w:xpath="/*/clcid-cgi:GongSiFaDingZhongWenMingCheng[not(@periodRef)]" w:storeItemID="{89EBAB94-44A0-46A2-B712-30D997D04A6D}"/>
            <w:text/>
          </w:sdtPr>
          <w:sdtEndPr>
            <w:rPr>
              <w:rFonts w:hint="eastAsia"/>
              <w:color w:val="000000" w:themeColor="text1"/>
              <w14:textFill>
                <w14:solidFill>
                  <w14:schemeClr w14:val="tx1"/>
                </w14:solidFill>
              </w14:textFill>
            </w:rPr>
          </w:sdtEndPr>
          <w:sdtContent>
            <w:tc>
              <w:tcPr>
                <w:tcW w:w="3718" w:type="pct"/>
                <w:tcBorders>
                  <w:top w:val="single" w:color="auto" w:sz="4" w:space="0"/>
                  <w:left w:val="single" w:color="auto" w:sz="4" w:space="0"/>
                  <w:bottom w:val="single" w:color="auto" w:sz="4" w:space="0"/>
                </w:tcBorders>
              </w:tcPr>
              <w:p w14:paraId="086EE3F7">
                <w:pPr>
                  <w:kinsoku w:val="0"/>
                  <w:overflowPunct w:val="0"/>
                  <w:autoSpaceDE w:val="0"/>
                  <w:autoSpaceDN w:val="0"/>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山东好当家海洋发展股份有限公司</w:t>
                </w:r>
              </w:p>
            </w:tc>
          </w:sdtContent>
        </w:sdt>
      </w:tr>
      <w:tr w14:paraId="06AD2A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1282" w:type="pct"/>
            <w:tcBorders>
              <w:top w:val="single" w:color="auto" w:sz="4" w:space="0"/>
              <w:bottom w:val="single" w:color="auto" w:sz="4" w:space="0"/>
              <w:right w:val="single" w:color="auto" w:sz="4" w:space="0"/>
            </w:tcBorders>
          </w:tcPr>
          <w:p w14:paraId="360CA367">
            <w:pPr>
              <w:kinsoku w:val="0"/>
              <w:overflowPunct w:val="0"/>
              <w:autoSpaceDE w:val="0"/>
              <w:autoSpaceDN w:val="0"/>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公司的中文简称</w:t>
            </w:r>
          </w:p>
        </w:tc>
        <w:tc>
          <w:tcPr>
            <w:tcW w:w="3718" w:type="pct"/>
            <w:tcBorders>
              <w:top w:val="single" w:color="auto" w:sz="4" w:space="0"/>
              <w:left w:val="single" w:color="auto" w:sz="4" w:space="0"/>
              <w:bottom w:val="single" w:color="auto" w:sz="4" w:space="0"/>
            </w:tcBorders>
            <w:vAlign w:val="center"/>
          </w:tcPr>
          <w:p w14:paraId="1DE57459">
            <w:pPr>
              <w:kinsoku w:val="0"/>
              <w:overflowPunct w:val="0"/>
              <w:autoSpaceDE w:val="0"/>
              <w:autoSpaceDN w:val="0"/>
              <w:adjustRightInd w:val="0"/>
              <w:snapToGrid w:val="0"/>
            </w:pPr>
            <w:r>
              <w:rPr>
                <w:rFonts w:hint="eastAsia" w:ascii="宋体" w:hAnsi="宋体"/>
              </w:rPr>
              <w:t>好当家</w:t>
            </w:r>
          </w:p>
        </w:tc>
      </w:tr>
      <w:tr w14:paraId="1AA6CE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1282" w:type="pct"/>
            <w:tcBorders>
              <w:top w:val="single" w:color="auto" w:sz="4" w:space="0"/>
              <w:bottom w:val="single" w:color="auto" w:sz="4" w:space="0"/>
              <w:right w:val="single" w:color="auto" w:sz="4" w:space="0"/>
            </w:tcBorders>
          </w:tcPr>
          <w:p w14:paraId="3C393614">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公司的外文名称</w:t>
            </w:r>
          </w:p>
        </w:tc>
        <w:tc>
          <w:tcPr>
            <w:tcW w:w="3718" w:type="pct"/>
            <w:tcBorders>
              <w:top w:val="single" w:color="auto" w:sz="4" w:space="0"/>
              <w:left w:val="single" w:color="auto" w:sz="4" w:space="0"/>
              <w:bottom w:val="single" w:color="auto" w:sz="4" w:space="0"/>
            </w:tcBorders>
            <w:vAlign w:val="center"/>
          </w:tcPr>
          <w:p w14:paraId="79DC7CA5">
            <w:pPr>
              <w:kinsoku w:val="0"/>
              <w:overflowPunct w:val="0"/>
              <w:autoSpaceDE w:val="0"/>
              <w:autoSpaceDN w:val="0"/>
              <w:adjustRightInd w:val="0"/>
              <w:snapToGrid w:val="0"/>
            </w:pPr>
            <w:r>
              <w:rPr>
                <w:rFonts w:hint="eastAsia"/>
              </w:rPr>
              <w:t>SHANDONG   HOMEY AQUATIC   EVELOPMENT CO.,LTD</w:t>
            </w:r>
          </w:p>
        </w:tc>
      </w:tr>
      <w:tr w14:paraId="349BAA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1282" w:type="pct"/>
            <w:tcBorders>
              <w:top w:val="single" w:color="auto" w:sz="4" w:space="0"/>
              <w:bottom w:val="single" w:color="auto" w:sz="4" w:space="0"/>
              <w:right w:val="single" w:color="auto" w:sz="4" w:space="0"/>
            </w:tcBorders>
          </w:tcPr>
          <w:p w14:paraId="0C5C9BFC">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公司的外文名称缩写</w:t>
            </w:r>
          </w:p>
        </w:tc>
        <w:tc>
          <w:tcPr>
            <w:tcW w:w="3718" w:type="pct"/>
            <w:tcBorders>
              <w:top w:val="single" w:color="auto" w:sz="4" w:space="0"/>
              <w:left w:val="single" w:color="auto" w:sz="4" w:space="0"/>
              <w:bottom w:val="single" w:color="auto" w:sz="4" w:space="0"/>
            </w:tcBorders>
            <w:vAlign w:val="center"/>
          </w:tcPr>
          <w:p w14:paraId="57D8D622">
            <w:pPr>
              <w:kinsoku w:val="0"/>
              <w:overflowPunct w:val="0"/>
              <w:autoSpaceDE w:val="0"/>
              <w:autoSpaceDN w:val="0"/>
              <w:adjustRightInd w:val="0"/>
              <w:snapToGrid w:val="0"/>
            </w:pPr>
            <w:r>
              <w:rPr>
                <w:rFonts w:hint="eastAsia"/>
              </w:rPr>
              <w:t>HOMEY</w:t>
            </w:r>
          </w:p>
        </w:tc>
      </w:tr>
      <w:tr w14:paraId="74CF4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1282" w:type="pct"/>
            <w:tcBorders>
              <w:top w:val="single" w:color="auto" w:sz="4" w:space="0"/>
              <w:bottom w:val="single" w:color="auto" w:sz="4" w:space="0"/>
              <w:right w:val="single" w:color="auto" w:sz="4" w:space="0"/>
            </w:tcBorders>
          </w:tcPr>
          <w:p w14:paraId="52D76414">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公司的</w:t>
            </w:r>
            <w:r>
              <w:rPr>
                <w:rFonts w:hint="eastAsia"/>
                <w:color w:val="000000" w:themeColor="text1"/>
                <w14:textFill>
                  <w14:solidFill>
                    <w14:schemeClr w14:val="tx1"/>
                  </w14:solidFill>
                </w14:textFill>
              </w:rPr>
              <w:t>法定代表人</w:t>
            </w:r>
          </w:p>
        </w:tc>
        <w:tc>
          <w:tcPr>
            <w:tcW w:w="3718" w:type="pct"/>
            <w:tcBorders>
              <w:top w:val="single" w:color="auto" w:sz="4" w:space="0"/>
              <w:left w:val="single" w:color="auto" w:sz="4" w:space="0"/>
              <w:bottom w:val="single" w:color="auto" w:sz="4" w:space="0"/>
            </w:tcBorders>
            <w:vAlign w:val="center"/>
          </w:tcPr>
          <w:p w14:paraId="2C272550">
            <w:pPr>
              <w:kinsoku w:val="0"/>
              <w:overflowPunct w:val="0"/>
              <w:autoSpaceDE w:val="0"/>
              <w:autoSpaceDN w:val="0"/>
              <w:adjustRightInd w:val="0"/>
              <w:snapToGrid w:val="0"/>
              <w:rPr>
                <w:color w:val="000000" w:themeColor="text1"/>
                <w14:textFill>
                  <w14:solidFill>
                    <w14:schemeClr w14:val="tx1"/>
                  </w14:solidFill>
                </w14:textFill>
              </w:rPr>
            </w:pPr>
            <w:r>
              <w:rPr>
                <w:rFonts w:hint="eastAsia" w:ascii="宋体" w:hAnsi="宋体"/>
              </w:rPr>
              <w:t>唐传勤</w:t>
            </w:r>
          </w:p>
        </w:tc>
      </w:tr>
    </w:tbl>
    <w:p w14:paraId="4E6DE172">
      <w:pPr>
        <w:rPr>
          <w:color w:val="000000" w:themeColor="text1"/>
          <w14:textFill>
            <w14:solidFill>
              <w14:schemeClr w14:val="tx1"/>
            </w14:solidFill>
          </w14:textFill>
        </w:rPr>
      </w:pPr>
    </w:p>
    <w:p w14:paraId="686EA01D">
      <w:pPr>
        <w:rPr>
          <w:color w:val="000000" w:themeColor="text1"/>
          <w14:textFill>
            <w14:solidFill>
              <w14:schemeClr w14:val="tx1"/>
            </w14:solidFill>
          </w14:textFill>
        </w:rPr>
      </w:pPr>
    </w:p>
    <w:p w14:paraId="7701603C">
      <w:pPr>
        <w:pStyle w:val="3"/>
        <w:numPr>
          <w:ilvl w:val="0"/>
          <w:numId w:val="3"/>
        </w:numPr>
        <w:ind w:left="0" w:firstLine="0"/>
        <w:rPr>
          <w:color w:val="000000" w:themeColor="text1"/>
          <w14:textFill>
            <w14:solidFill>
              <w14:schemeClr w14:val="tx1"/>
            </w14:solidFill>
          </w14:textFill>
        </w:rPr>
      </w:pPr>
      <w:bookmarkStart w:id="12" w:name="_Toc342051042"/>
      <w:bookmarkStart w:id="13" w:name="_Toc342565882"/>
      <w:r>
        <w:rPr>
          <w:rFonts w:hint="eastAsia"/>
          <w:color w:val="000000" w:themeColor="text1"/>
          <w14:textFill>
            <w14:solidFill>
              <w14:schemeClr w14:val="tx1"/>
            </w14:solidFill>
          </w14:textFill>
        </w:rPr>
        <w:t>联系人和联系方式</w:t>
      </w:r>
      <w:bookmarkEnd w:id="12"/>
      <w:bookmarkEnd w:id="13"/>
    </w:p>
    <w:tbl>
      <w:tblPr>
        <w:tblStyle w:val="37"/>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0" w:type="dxa"/>
          <w:bottom w:w="0" w:type="dxa"/>
          <w:right w:w="30" w:type="dxa"/>
        </w:tblCellMar>
      </w:tblPr>
      <w:tblGrid>
        <w:gridCol w:w="2405"/>
        <w:gridCol w:w="3259"/>
        <w:gridCol w:w="3159"/>
      </w:tblGrid>
      <w:tr w14:paraId="050F3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c>
          <w:tcPr>
            <w:tcW w:w="1363" w:type="pct"/>
            <w:tcBorders>
              <w:top w:val="single" w:color="auto" w:sz="4" w:space="0"/>
              <w:bottom w:val="single" w:color="auto" w:sz="4" w:space="0"/>
              <w:right w:val="single" w:color="auto" w:sz="4" w:space="0"/>
            </w:tcBorders>
          </w:tcPr>
          <w:p w14:paraId="0AD5C6A0">
            <w:pPr>
              <w:kinsoku w:val="0"/>
              <w:overflowPunct w:val="0"/>
              <w:autoSpaceDE w:val="0"/>
              <w:autoSpaceDN w:val="0"/>
              <w:adjustRightInd w:val="0"/>
              <w:snapToGrid w:val="0"/>
              <w:rPr>
                <w:color w:val="000000" w:themeColor="text1"/>
                <w14:textFill>
                  <w14:solidFill>
                    <w14:schemeClr w14:val="tx1"/>
                  </w14:solidFill>
                </w14:textFill>
              </w:rPr>
            </w:pPr>
          </w:p>
        </w:tc>
        <w:tc>
          <w:tcPr>
            <w:tcW w:w="1847" w:type="pct"/>
            <w:tcBorders>
              <w:top w:val="single" w:color="auto" w:sz="4" w:space="0"/>
              <w:left w:val="single" w:color="auto" w:sz="4" w:space="0"/>
              <w:bottom w:val="single" w:color="auto" w:sz="4" w:space="0"/>
              <w:right w:val="single" w:color="auto" w:sz="4" w:space="0"/>
            </w:tcBorders>
          </w:tcPr>
          <w:p w14:paraId="4631A019">
            <w:pPr>
              <w:pStyle w:val="15"/>
              <w:kinsoku w:val="0"/>
              <w:overflowPunct w:val="0"/>
              <w:autoSpaceDE w:val="0"/>
              <w:autoSpaceDN w:val="0"/>
              <w:adjustRightInd w:val="0"/>
              <w:snapToGrid w:val="0"/>
              <w:jc w:val="center"/>
              <w:rPr>
                <w:rFonts w:hint="eastAsia" w:ascii="宋体" w:hAnsi="宋体"/>
                <w:color w:val="000000" w:themeColor="text1"/>
                <w14:textFill>
                  <w14:solidFill>
                    <w14:schemeClr w14:val="tx1"/>
                  </w14:solidFill>
                </w14:textFill>
              </w:rPr>
            </w:pPr>
            <w:sdt>
              <w:sdtPr>
                <w:tag w:val="_PLD_d0432012a3f249c3b4fdd759ff340e86"/>
                <w:id w:val="-1525944228"/>
              </w:sdtPr>
              <w:sdtContent>
                <w:r>
                  <w:rPr>
                    <w:rFonts w:hint="eastAsia" w:ascii="宋体" w:hAnsi="宋体" w:cs="宋体"/>
                    <w:color w:val="000000" w:themeColor="text1"/>
                    <w14:textFill>
                      <w14:solidFill>
                        <w14:schemeClr w14:val="tx1"/>
                      </w14:solidFill>
                    </w14:textFill>
                  </w:rPr>
                  <w:t>董事会秘书</w:t>
                </w:r>
              </w:sdtContent>
            </w:sdt>
            <w:r>
              <w:rPr>
                <w:rFonts w:ascii="宋体" w:hAnsi="宋体"/>
                <w:color w:val="000000" w:themeColor="text1"/>
                <w14:textFill>
                  <w14:solidFill>
                    <w14:schemeClr w14:val="tx1"/>
                  </w14:solidFill>
                </w14:textFill>
              </w:rPr>
              <w:t xml:space="preserve"> </w:t>
            </w:r>
          </w:p>
        </w:tc>
        <w:sdt>
          <w:sdtPr>
            <w:tag w:val="_PLD_3a25396416c14d2cb0688ae0ac8a1d4d"/>
            <w:id w:val="1672907009"/>
          </w:sdtPr>
          <w:sdtContent>
            <w:tc>
              <w:tcPr>
                <w:tcW w:w="1790" w:type="pct"/>
                <w:tcBorders>
                  <w:top w:val="single" w:color="auto" w:sz="4" w:space="0"/>
                  <w:left w:val="single" w:color="auto" w:sz="4" w:space="0"/>
                  <w:bottom w:val="single" w:color="auto" w:sz="4" w:space="0"/>
                </w:tcBorders>
              </w:tcPr>
              <w:p w14:paraId="78D7ACDB">
                <w:pPr>
                  <w:pStyle w:val="15"/>
                  <w:kinsoku w:val="0"/>
                  <w:overflowPunct w:val="0"/>
                  <w:autoSpaceDE w:val="0"/>
                  <w:autoSpaceDN w:val="0"/>
                  <w:adjustRightInd w:val="0"/>
                  <w:snapToGrid w:val="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证券事务代表</w:t>
                </w:r>
              </w:p>
            </w:tc>
          </w:sdtContent>
        </w:sdt>
      </w:tr>
      <w:tr w14:paraId="4043B3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c>
          <w:tcPr>
            <w:tcW w:w="1363" w:type="pct"/>
            <w:tcBorders>
              <w:top w:val="single" w:color="auto" w:sz="4" w:space="0"/>
              <w:bottom w:val="single" w:color="auto" w:sz="4" w:space="0"/>
              <w:right w:val="single" w:color="auto" w:sz="4" w:space="0"/>
            </w:tcBorders>
          </w:tcPr>
          <w:p w14:paraId="348661DA">
            <w:pPr>
              <w:kinsoku w:val="0"/>
              <w:overflowPunct w:val="0"/>
              <w:autoSpaceDE w:val="0"/>
              <w:autoSpaceDN w:val="0"/>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姓名</w:t>
            </w:r>
          </w:p>
        </w:tc>
        <w:tc>
          <w:tcPr>
            <w:tcW w:w="1847" w:type="pct"/>
            <w:tcBorders>
              <w:top w:val="single" w:color="auto" w:sz="4" w:space="0"/>
              <w:left w:val="single" w:color="auto" w:sz="4" w:space="0"/>
              <w:bottom w:val="single" w:color="auto" w:sz="4" w:space="0"/>
              <w:right w:val="single" w:color="auto" w:sz="4" w:space="0"/>
            </w:tcBorders>
          </w:tcPr>
          <w:p w14:paraId="2264A770">
            <w:pPr>
              <w:kinsoku w:val="0"/>
              <w:overflowPunct w:val="0"/>
              <w:autoSpaceDE w:val="0"/>
              <w:autoSpaceDN w:val="0"/>
              <w:adjustRightInd w:val="0"/>
              <w:snapToGrid w:val="0"/>
            </w:pPr>
            <w:r>
              <w:rPr>
                <w:rFonts w:hint="eastAsia" w:ascii="宋体" w:hAnsi="宋体"/>
              </w:rPr>
              <w:t>宋晓辉</w:t>
            </w:r>
          </w:p>
        </w:tc>
        <w:tc>
          <w:tcPr>
            <w:tcW w:w="1790" w:type="pct"/>
            <w:tcBorders>
              <w:top w:val="single" w:color="auto" w:sz="4" w:space="0"/>
              <w:left w:val="single" w:color="auto" w:sz="4" w:space="0"/>
              <w:bottom w:val="single" w:color="auto" w:sz="4" w:space="0"/>
            </w:tcBorders>
          </w:tcPr>
          <w:p w14:paraId="0A7832DB">
            <w:pPr>
              <w:kinsoku w:val="0"/>
              <w:overflowPunct w:val="0"/>
              <w:autoSpaceDE w:val="0"/>
              <w:autoSpaceDN w:val="0"/>
              <w:adjustRightInd w:val="0"/>
              <w:snapToGrid w:val="0"/>
            </w:pPr>
            <w:r>
              <w:rPr>
                <w:rFonts w:hint="eastAsia" w:ascii="宋体" w:hAnsi="宋体"/>
              </w:rPr>
              <w:t>毕安宁</w:t>
            </w:r>
          </w:p>
        </w:tc>
      </w:tr>
      <w:tr w14:paraId="3237E2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c>
          <w:tcPr>
            <w:tcW w:w="1363" w:type="pct"/>
            <w:tcBorders>
              <w:top w:val="single" w:color="auto" w:sz="4" w:space="0"/>
              <w:bottom w:val="single" w:color="auto" w:sz="4" w:space="0"/>
              <w:right w:val="single" w:color="auto" w:sz="4" w:space="0"/>
            </w:tcBorders>
          </w:tcPr>
          <w:p w14:paraId="0053D5CC">
            <w:pPr>
              <w:kinsoku w:val="0"/>
              <w:overflowPunct w:val="0"/>
              <w:autoSpaceDE w:val="0"/>
              <w:autoSpaceDN w:val="0"/>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联系地址</w:t>
            </w:r>
          </w:p>
        </w:tc>
        <w:tc>
          <w:tcPr>
            <w:tcW w:w="1847" w:type="pct"/>
            <w:tcBorders>
              <w:top w:val="single" w:color="auto" w:sz="4" w:space="0"/>
              <w:left w:val="single" w:color="auto" w:sz="4" w:space="0"/>
              <w:bottom w:val="single" w:color="auto" w:sz="4" w:space="0"/>
              <w:right w:val="single" w:color="auto" w:sz="4" w:space="0"/>
            </w:tcBorders>
          </w:tcPr>
          <w:p w14:paraId="2B3DAF0E">
            <w:pPr>
              <w:kinsoku w:val="0"/>
              <w:overflowPunct w:val="0"/>
              <w:autoSpaceDE w:val="0"/>
              <w:autoSpaceDN w:val="0"/>
              <w:adjustRightInd w:val="0"/>
              <w:snapToGrid w:val="0"/>
            </w:pPr>
            <w:r>
              <w:rPr>
                <w:rFonts w:hint="eastAsia" w:ascii="宋体" w:hAnsi="宋体"/>
              </w:rPr>
              <w:t>山东省威海荣成市虎山镇沙咀子</w:t>
            </w:r>
          </w:p>
        </w:tc>
        <w:tc>
          <w:tcPr>
            <w:tcW w:w="1790" w:type="pct"/>
            <w:tcBorders>
              <w:top w:val="single" w:color="auto" w:sz="4" w:space="0"/>
              <w:left w:val="single" w:color="auto" w:sz="4" w:space="0"/>
              <w:bottom w:val="single" w:color="auto" w:sz="4" w:space="0"/>
            </w:tcBorders>
          </w:tcPr>
          <w:p w14:paraId="78716B8C">
            <w:pPr>
              <w:kinsoku w:val="0"/>
              <w:overflowPunct w:val="0"/>
              <w:autoSpaceDE w:val="0"/>
              <w:autoSpaceDN w:val="0"/>
              <w:adjustRightInd w:val="0"/>
              <w:snapToGrid w:val="0"/>
            </w:pPr>
            <w:r>
              <w:rPr>
                <w:rFonts w:hint="eastAsia" w:ascii="宋体" w:hAnsi="宋体"/>
              </w:rPr>
              <w:t>山东省威海荣成市虎山镇沙咀子</w:t>
            </w:r>
          </w:p>
        </w:tc>
      </w:tr>
      <w:tr w14:paraId="638325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c>
          <w:tcPr>
            <w:tcW w:w="1363" w:type="pct"/>
            <w:tcBorders>
              <w:top w:val="single" w:color="auto" w:sz="4" w:space="0"/>
              <w:bottom w:val="single" w:color="auto" w:sz="4" w:space="0"/>
              <w:right w:val="single" w:color="auto" w:sz="4" w:space="0"/>
            </w:tcBorders>
          </w:tcPr>
          <w:p w14:paraId="24FFFAC4">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电话</w:t>
            </w:r>
          </w:p>
        </w:tc>
        <w:tc>
          <w:tcPr>
            <w:tcW w:w="1847" w:type="pct"/>
            <w:tcBorders>
              <w:top w:val="single" w:color="auto" w:sz="4" w:space="0"/>
              <w:left w:val="single" w:color="auto" w:sz="4" w:space="0"/>
              <w:bottom w:val="single" w:color="auto" w:sz="4" w:space="0"/>
              <w:right w:val="single" w:color="auto" w:sz="4" w:space="0"/>
            </w:tcBorders>
          </w:tcPr>
          <w:p w14:paraId="0B43E49C">
            <w:pPr>
              <w:kinsoku w:val="0"/>
              <w:overflowPunct w:val="0"/>
              <w:autoSpaceDE w:val="0"/>
              <w:autoSpaceDN w:val="0"/>
              <w:adjustRightInd w:val="0"/>
              <w:snapToGrid w:val="0"/>
            </w:pPr>
            <w:r>
              <w:t>0631-7438073</w:t>
            </w:r>
          </w:p>
        </w:tc>
        <w:tc>
          <w:tcPr>
            <w:tcW w:w="1790" w:type="pct"/>
            <w:tcBorders>
              <w:top w:val="single" w:color="auto" w:sz="4" w:space="0"/>
              <w:left w:val="single" w:color="auto" w:sz="4" w:space="0"/>
              <w:bottom w:val="single" w:color="auto" w:sz="4" w:space="0"/>
            </w:tcBorders>
          </w:tcPr>
          <w:p w14:paraId="46A5D903">
            <w:pPr>
              <w:kinsoku w:val="0"/>
              <w:overflowPunct w:val="0"/>
              <w:autoSpaceDE w:val="0"/>
              <w:autoSpaceDN w:val="0"/>
              <w:adjustRightInd w:val="0"/>
              <w:snapToGrid w:val="0"/>
            </w:pPr>
            <w:r>
              <w:t>0631-7438073</w:t>
            </w:r>
          </w:p>
        </w:tc>
      </w:tr>
      <w:tr w14:paraId="6A92F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c>
          <w:tcPr>
            <w:tcW w:w="1363" w:type="pct"/>
            <w:tcBorders>
              <w:top w:val="single" w:color="auto" w:sz="4" w:space="0"/>
              <w:bottom w:val="single" w:color="auto" w:sz="4" w:space="0"/>
              <w:right w:val="single" w:color="auto" w:sz="4" w:space="0"/>
            </w:tcBorders>
          </w:tcPr>
          <w:p w14:paraId="394652CC">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传真</w:t>
            </w:r>
          </w:p>
        </w:tc>
        <w:tc>
          <w:tcPr>
            <w:tcW w:w="1847" w:type="pct"/>
            <w:tcBorders>
              <w:top w:val="single" w:color="auto" w:sz="4" w:space="0"/>
              <w:left w:val="single" w:color="auto" w:sz="4" w:space="0"/>
              <w:bottom w:val="single" w:color="auto" w:sz="4" w:space="0"/>
              <w:right w:val="single" w:color="auto" w:sz="4" w:space="0"/>
            </w:tcBorders>
          </w:tcPr>
          <w:p w14:paraId="59E32B62">
            <w:pPr>
              <w:kinsoku w:val="0"/>
              <w:overflowPunct w:val="0"/>
              <w:autoSpaceDE w:val="0"/>
              <w:autoSpaceDN w:val="0"/>
              <w:adjustRightInd w:val="0"/>
              <w:snapToGrid w:val="0"/>
            </w:pPr>
            <w:r>
              <w:t>0631-7438073</w:t>
            </w:r>
          </w:p>
        </w:tc>
        <w:tc>
          <w:tcPr>
            <w:tcW w:w="1790" w:type="pct"/>
            <w:tcBorders>
              <w:top w:val="single" w:color="auto" w:sz="4" w:space="0"/>
              <w:left w:val="single" w:color="auto" w:sz="4" w:space="0"/>
              <w:bottom w:val="single" w:color="auto" w:sz="4" w:space="0"/>
            </w:tcBorders>
          </w:tcPr>
          <w:p w14:paraId="7B042F2E">
            <w:pPr>
              <w:kinsoku w:val="0"/>
              <w:overflowPunct w:val="0"/>
              <w:autoSpaceDE w:val="0"/>
              <w:autoSpaceDN w:val="0"/>
              <w:adjustRightInd w:val="0"/>
              <w:snapToGrid w:val="0"/>
            </w:pPr>
            <w:r>
              <w:t>0631-7438073</w:t>
            </w:r>
          </w:p>
        </w:tc>
      </w:tr>
      <w:tr w14:paraId="6FA9E7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c>
          <w:tcPr>
            <w:tcW w:w="1363" w:type="pct"/>
            <w:tcBorders>
              <w:top w:val="single" w:color="auto" w:sz="4" w:space="0"/>
              <w:bottom w:val="single" w:color="auto" w:sz="4" w:space="0"/>
              <w:right w:val="single" w:color="auto" w:sz="4" w:space="0"/>
            </w:tcBorders>
          </w:tcPr>
          <w:p w14:paraId="2403F4C2">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电子信箱</w:t>
            </w:r>
          </w:p>
        </w:tc>
        <w:tc>
          <w:tcPr>
            <w:tcW w:w="1847" w:type="pct"/>
            <w:tcBorders>
              <w:top w:val="single" w:color="auto" w:sz="4" w:space="0"/>
              <w:left w:val="single" w:color="auto" w:sz="4" w:space="0"/>
              <w:bottom w:val="single" w:color="auto" w:sz="4" w:space="0"/>
              <w:right w:val="single" w:color="auto" w:sz="4" w:space="0"/>
            </w:tcBorders>
          </w:tcPr>
          <w:p w14:paraId="46D1800E">
            <w:pPr>
              <w:kinsoku w:val="0"/>
              <w:overflowPunct w:val="0"/>
              <w:autoSpaceDE w:val="0"/>
              <w:autoSpaceDN w:val="0"/>
              <w:adjustRightInd w:val="0"/>
              <w:snapToGrid w:val="0"/>
            </w:pPr>
            <w:r>
              <w:t>hdjzqb@sina.com</w:t>
            </w:r>
          </w:p>
        </w:tc>
        <w:tc>
          <w:tcPr>
            <w:tcW w:w="1790" w:type="pct"/>
            <w:tcBorders>
              <w:top w:val="single" w:color="auto" w:sz="4" w:space="0"/>
              <w:left w:val="single" w:color="auto" w:sz="4" w:space="0"/>
              <w:bottom w:val="single" w:color="auto" w:sz="4" w:space="0"/>
            </w:tcBorders>
          </w:tcPr>
          <w:p w14:paraId="6E2A8129">
            <w:pPr>
              <w:kinsoku w:val="0"/>
              <w:overflowPunct w:val="0"/>
              <w:autoSpaceDE w:val="0"/>
              <w:autoSpaceDN w:val="0"/>
              <w:adjustRightInd w:val="0"/>
              <w:snapToGrid w:val="0"/>
            </w:pPr>
            <w:r>
              <w:t>B</w:t>
            </w:r>
            <w:r>
              <w:rPr>
                <w:rFonts w:hint="eastAsia"/>
              </w:rPr>
              <w:t>an279</w:t>
            </w:r>
            <w:r>
              <w:t>@sina.com</w:t>
            </w:r>
          </w:p>
        </w:tc>
      </w:tr>
    </w:tbl>
    <w:p w14:paraId="6417592E">
      <w:pPr>
        <w:rPr>
          <w:color w:val="000000" w:themeColor="text1"/>
          <w14:textFill>
            <w14:solidFill>
              <w14:schemeClr w14:val="tx1"/>
            </w14:solidFill>
          </w14:textFill>
        </w:rPr>
      </w:pPr>
    </w:p>
    <w:p w14:paraId="6EC528D4">
      <w:pPr>
        <w:rPr>
          <w:color w:val="000000" w:themeColor="text1"/>
          <w14:textFill>
            <w14:solidFill>
              <w14:schemeClr w14:val="tx1"/>
            </w14:solidFill>
          </w14:textFill>
        </w:rPr>
      </w:pPr>
    </w:p>
    <w:p w14:paraId="1CBC352B">
      <w:pPr>
        <w:pStyle w:val="3"/>
        <w:numPr>
          <w:ilvl w:val="0"/>
          <w:numId w:val="3"/>
        </w:numPr>
        <w:ind w:left="0" w:firstLine="0"/>
        <w:rPr>
          <w:color w:val="000000" w:themeColor="text1"/>
          <w14:textFill>
            <w14:solidFill>
              <w14:schemeClr w14:val="tx1"/>
            </w14:solidFill>
          </w14:textFill>
        </w:rPr>
      </w:pPr>
      <w:r>
        <w:rPr>
          <w:color w:val="000000" w:themeColor="text1"/>
          <w14:textFill>
            <w14:solidFill>
              <w14:schemeClr w14:val="tx1"/>
            </w14:solidFill>
          </w14:textFill>
        </w:rPr>
        <w:t>基本情况变更简介</w:t>
      </w:r>
    </w:p>
    <w:tbl>
      <w:tblPr>
        <w:tblStyle w:val="37"/>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30" w:type="dxa"/>
          <w:bottom w:w="0" w:type="dxa"/>
          <w:right w:w="30" w:type="dxa"/>
        </w:tblCellMar>
      </w:tblPr>
      <w:tblGrid>
        <w:gridCol w:w="3827"/>
        <w:gridCol w:w="4996"/>
      </w:tblGrid>
      <w:tr w14:paraId="0132C0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sdt>
          <w:sdtPr>
            <w:tag w:val="_PLD_85d89a4aa7974727a1dc32c53cb7ca26"/>
            <w:id w:val="1493823944"/>
          </w:sdtPr>
          <w:sdtContent>
            <w:tc>
              <w:tcPr>
                <w:tcW w:w="2169" w:type="pct"/>
                <w:tcBorders>
                  <w:top w:val="single" w:color="auto" w:sz="4" w:space="0"/>
                  <w:bottom w:val="single" w:color="auto" w:sz="4" w:space="0"/>
                  <w:right w:val="single" w:color="auto" w:sz="4" w:space="0"/>
                </w:tcBorders>
              </w:tcPr>
              <w:p w14:paraId="7B5078AD">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公司注册地址</w:t>
                </w:r>
              </w:p>
            </w:tc>
          </w:sdtContent>
        </w:sdt>
        <w:tc>
          <w:tcPr>
            <w:tcW w:w="2831" w:type="pct"/>
            <w:tcBorders>
              <w:top w:val="single" w:color="auto" w:sz="4" w:space="0"/>
              <w:left w:val="single" w:color="auto" w:sz="4" w:space="0"/>
              <w:bottom w:val="single" w:color="auto" w:sz="4" w:space="0"/>
            </w:tcBorders>
            <w:vAlign w:val="center"/>
          </w:tcPr>
          <w:p w14:paraId="59327EAE">
            <w:pPr>
              <w:kinsoku w:val="0"/>
              <w:overflowPunct w:val="0"/>
              <w:autoSpaceDE w:val="0"/>
              <w:autoSpaceDN w:val="0"/>
              <w:adjustRightInd w:val="0"/>
              <w:snapToGrid w:val="0"/>
              <w:rPr>
                <w:color w:val="000000" w:themeColor="text1"/>
                <w14:textFill>
                  <w14:solidFill>
                    <w14:schemeClr w14:val="tx1"/>
                  </w14:solidFill>
                </w14:textFill>
              </w:rPr>
            </w:pPr>
            <w:r>
              <w:rPr>
                <w:rFonts w:hint="eastAsia" w:ascii="宋体" w:hAnsi="宋体"/>
              </w:rPr>
              <w:t>山东省威海荣成市虎山镇沙咀子</w:t>
            </w:r>
          </w:p>
        </w:tc>
      </w:tr>
      <w:tr w14:paraId="796C52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2169" w:type="pct"/>
            <w:tcBorders>
              <w:top w:val="single" w:color="auto" w:sz="4" w:space="0"/>
              <w:bottom w:val="single" w:color="auto" w:sz="4" w:space="0"/>
              <w:right w:val="single" w:color="auto" w:sz="4" w:space="0"/>
            </w:tcBorders>
          </w:tcPr>
          <w:p w14:paraId="1311341E">
            <w:pPr>
              <w:kinsoku w:val="0"/>
              <w:overflowPunct w:val="0"/>
              <w:autoSpaceDE w:val="0"/>
              <w:autoSpaceDN w:val="0"/>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公司注册地址的历史变更情况</w:t>
            </w:r>
          </w:p>
        </w:tc>
        <w:tc>
          <w:tcPr>
            <w:tcW w:w="2831" w:type="pct"/>
            <w:tcBorders>
              <w:top w:val="single" w:color="auto" w:sz="4" w:space="0"/>
              <w:left w:val="single" w:color="auto" w:sz="4" w:space="0"/>
              <w:bottom w:val="single" w:color="auto" w:sz="4" w:space="0"/>
            </w:tcBorders>
            <w:vAlign w:val="center"/>
          </w:tcPr>
          <w:p w14:paraId="16092F67">
            <w:pPr>
              <w:kinsoku w:val="0"/>
              <w:overflowPunct w:val="0"/>
              <w:autoSpaceDE w:val="0"/>
              <w:autoSpaceDN w:val="0"/>
              <w:adjustRightInd w:val="0"/>
              <w:snapToGrid w:val="0"/>
              <w:rPr>
                <w:color w:val="000000" w:themeColor="text1"/>
                <w14:textFill>
                  <w14:solidFill>
                    <w14:schemeClr w14:val="tx1"/>
                  </w14:solidFill>
                </w14:textFill>
              </w:rPr>
            </w:pPr>
            <w:r>
              <w:rPr>
                <w:rFonts w:hint="eastAsia"/>
              </w:rPr>
              <w:t>264305</w:t>
            </w:r>
          </w:p>
        </w:tc>
      </w:tr>
      <w:tr w14:paraId="21DF9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2169" w:type="pct"/>
            <w:tcBorders>
              <w:top w:val="single" w:color="auto" w:sz="4" w:space="0"/>
              <w:bottom w:val="single" w:color="auto" w:sz="4" w:space="0"/>
              <w:right w:val="single" w:color="auto" w:sz="4" w:space="0"/>
            </w:tcBorders>
          </w:tcPr>
          <w:p w14:paraId="4BB361E1">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公司办公地址</w:t>
            </w:r>
          </w:p>
        </w:tc>
        <w:tc>
          <w:tcPr>
            <w:tcW w:w="2831" w:type="pct"/>
            <w:tcBorders>
              <w:top w:val="single" w:color="auto" w:sz="4" w:space="0"/>
              <w:left w:val="single" w:color="auto" w:sz="4" w:space="0"/>
              <w:bottom w:val="single" w:color="auto" w:sz="4" w:space="0"/>
            </w:tcBorders>
            <w:vAlign w:val="center"/>
          </w:tcPr>
          <w:p w14:paraId="3BBECD87">
            <w:pPr>
              <w:kinsoku w:val="0"/>
              <w:overflowPunct w:val="0"/>
              <w:autoSpaceDE w:val="0"/>
              <w:autoSpaceDN w:val="0"/>
              <w:adjustRightInd w:val="0"/>
              <w:snapToGrid w:val="0"/>
              <w:rPr>
                <w:color w:val="000000" w:themeColor="text1"/>
                <w14:textFill>
                  <w14:solidFill>
                    <w14:schemeClr w14:val="tx1"/>
                  </w14:solidFill>
                </w14:textFill>
              </w:rPr>
            </w:pPr>
            <w:r>
              <w:rPr>
                <w:rFonts w:hint="eastAsia" w:ascii="宋体" w:hAnsi="宋体"/>
              </w:rPr>
              <w:t>山东省威海荣成市虎山镇沙咀子</w:t>
            </w:r>
          </w:p>
        </w:tc>
      </w:tr>
      <w:tr w14:paraId="4BECBA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2169" w:type="pct"/>
            <w:tcBorders>
              <w:top w:val="single" w:color="auto" w:sz="4" w:space="0"/>
              <w:bottom w:val="single" w:color="auto" w:sz="4" w:space="0"/>
              <w:right w:val="single" w:color="auto" w:sz="4" w:space="0"/>
            </w:tcBorders>
          </w:tcPr>
          <w:p w14:paraId="19BA389C">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公司办公地址的邮政编码</w:t>
            </w:r>
          </w:p>
        </w:tc>
        <w:tc>
          <w:tcPr>
            <w:tcW w:w="2831" w:type="pct"/>
            <w:tcBorders>
              <w:top w:val="single" w:color="auto" w:sz="4" w:space="0"/>
              <w:left w:val="single" w:color="auto" w:sz="4" w:space="0"/>
              <w:bottom w:val="single" w:color="auto" w:sz="4" w:space="0"/>
            </w:tcBorders>
            <w:vAlign w:val="center"/>
          </w:tcPr>
          <w:p w14:paraId="181A81A8">
            <w:pPr>
              <w:kinsoku w:val="0"/>
              <w:overflowPunct w:val="0"/>
              <w:autoSpaceDE w:val="0"/>
              <w:autoSpaceDN w:val="0"/>
              <w:adjustRightInd w:val="0"/>
              <w:snapToGrid w:val="0"/>
              <w:rPr>
                <w:color w:val="000000" w:themeColor="text1"/>
                <w14:textFill>
                  <w14:solidFill>
                    <w14:schemeClr w14:val="tx1"/>
                  </w14:solidFill>
                </w14:textFill>
              </w:rPr>
            </w:pPr>
            <w:r>
              <w:rPr>
                <w:rFonts w:hint="eastAsia"/>
              </w:rPr>
              <w:t>264305</w:t>
            </w:r>
          </w:p>
        </w:tc>
      </w:tr>
      <w:tr w14:paraId="057B56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2169" w:type="pct"/>
            <w:tcBorders>
              <w:top w:val="single" w:color="auto" w:sz="4" w:space="0"/>
              <w:bottom w:val="single" w:color="auto" w:sz="4" w:space="0"/>
              <w:right w:val="single" w:color="auto" w:sz="4" w:space="0"/>
            </w:tcBorders>
          </w:tcPr>
          <w:p w14:paraId="53B63B54">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公司网址</w:t>
            </w:r>
          </w:p>
        </w:tc>
        <w:tc>
          <w:tcPr>
            <w:tcW w:w="2831" w:type="pct"/>
            <w:tcBorders>
              <w:top w:val="single" w:color="auto" w:sz="4" w:space="0"/>
              <w:left w:val="single" w:color="auto" w:sz="4" w:space="0"/>
              <w:bottom w:val="single" w:color="auto" w:sz="4" w:space="0"/>
            </w:tcBorders>
            <w:vAlign w:val="center"/>
          </w:tcPr>
          <w:p w14:paraId="110EF28A">
            <w:pPr>
              <w:kinsoku w:val="0"/>
              <w:overflowPunct w:val="0"/>
              <w:autoSpaceDE w:val="0"/>
              <w:autoSpaceDN w:val="0"/>
              <w:adjustRightInd w:val="0"/>
              <w:snapToGrid w:val="0"/>
              <w:rPr>
                <w:color w:val="000000" w:themeColor="text1"/>
                <w14:textFill>
                  <w14:solidFill>
                    <w14:schemeClr w14:val="tx1"/>
                  </w14:solidFill>
                </w14:textFill>
              </w:rPr>
            </w:pPr>
            <w:r>
              <w:rPr>
                <w:rFonts w:hint="eastAsia"/>
              </w:rPr>
              <w:t>http://www.sdhaodangjia.com</w:t>
            </w:r>
          </w:p>
        </w:tc>
      </w:tr>
      <w:tr w14:paraId="4B0DA3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2169" w:type="pct"/>
            <w:tcBorders>
              <w:top w:val="single" w:color="auto" w:sz="4" w:space="0"/>
              <w:bottom w:val="single" w:color="auto" w:sz="4" w:space="0"/>
              <w:right w:val="single" w:color="auto" w:sz="4" w:space="0"/>
            </w:tcBorders>
          </w:tcPr>
          <w:p w14:paraId="67B6FE55">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电子信箱</w:t>
            </w:r>
          </w:p>
        </w:tc>
        <w:tc>
          <w:tcPr>
            <w:tcW w:w="2831" w:type="pct"/>
            <w:tcBorders>
              <w:top w:val="single" w:color="auto" w:sz="4" w:space="0"/>
              <w:left w:val="single" w:color="auto" w:sz="4" w:space="0"/>
              <w:bottom w:val="single" w:color="auto" w:sz="4" w:space="0"/>
            </w:tcBorders>
            <w:vAlign w:val="center"/>
          </w:tcPr>
          <w:p w14:paraId="7247E448">
            <w:pPr>
              <w:kinsoku w:val="0"/>
              <w:overflowPunct w:val="0"/>
              <w:autoSpaceDE w:val="0"/>
              <w:autoSpaceDN w:val="0"/>
              <w:adjustRightInd w:val="0"/>
              <w:snapToGrid w:val="0"/>
              <w:rPr>
                <w:color w:val="000000" w:themeColor="text1"/>
                <w14:textFill>
                  <w14:solidFill>
                    <w14:schemeClr w14:val="tx1"/>
                  </w14:solidFill>
                </w14:textFill>
              </w:rPr>
            </w:pPr>
            <w:r>
              <w:rPr>
                <w:rFonts w:hint="eastAsia"/>
              </w:rPr>
              <w:t>ehaodangjia@sdhaodangjia.com</w:t>
            </w:r>
          </w:p>
        </w:tc>
      </w:tr>
      <w:tr w14:paraId="1588EB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2169" w:type="pct"/>
            <w:tcBorders>
              <w:top w:val="single" w:color="auto" w:sz="4" w:space="0"/>
              <w:bottom w:val="single" w:color="auto" w:sz="4" w:space="0"/>
              <w:right w:val="single" w:color="auto" w:sz="4" w:space="0"/>
            </w:tcBorders>
          </w:tcPr>
          <w:p w14:paraId="6544785F">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报告期内变更情况查询索引</w:t>
            </w:r>
          </w:p>
        </w:tc>
        <w:tc>
          <w:tcPr>
            <w:tcW w:w="2831" w:type="pct"/>
            <w:tcBorders>
              <w:top w:val="single" w:color="auto" w:sz="4" w:space="0"/>
              <w:left w:val="single" w:color="auto" w:sz="4" w:space="0"/>
              <w:bottom w:val="single" w:color="auto" w:sz="4" w:space="0"/>
            </w:tcBorders>
            <w:vAlign w:val="center"/>
          </w:tcPr>
          <w:p w14:paraId="0ECACF8C">
            <w:pPr>
              <w:kinsoku w:val="0"/>
              <w:overflowPunct w:val="0"/>
              <w:autoSpaceDE w:val="0"/>
              <w:autoSpaceDN w:val="0"/>
              <w:adjustRightInd w:val="0"/>
              <w:snapToGrid w:val="0"/>
              <w:rPr>
                <w:color w:val="000000" w:themeColor="text1"/>
                <w14:textFill>
                  <w14:solidFill>
                    <w14:schemeClr w14:val="tx1"/>
                  </w14:solidFill>
                </w14:textFill>
              </w:rPr>
            </w:pPr>
            <w:r>
              <w:rPr>
                <w:rFonts w:hint="eastAsia" w:ascii="宋体" w:hAnsi="宋体"/>
              </w:rPr>
              <w:t>山东省威海荣成市虎山镇沙咀子</w:t>
            </w:r>
          </w:p>
        </w:tc>
      </w:tr>
    </w:tbl>
    <w:p w14:paraId="40AF211A">
      <w:pPr>
        <w:rPr>
          <w:color w:val="000000" w:themeColor="text1"/>
          <w14:textFill>
            <w14:solidFill>
              <w14:schemeClr w14:val="tx1"/>
            </w14:solidFill>
          </w14:textFill>
        </w:rPr>
      </w:pPr>
    </w:p>
    <w:p w14:paraId="1995BD30">
      <w:pPr>
        <w:kinsoku w:val="0"/>
        <w:overflowPunct w:val="0"/>
        <w:autoSpaceDE w:val="0"/>
        <w:autoSpaceDN w:val="0"/>
        <w:adjustRightInd w:val="0"/>
        <w:snapToGrid w:val="0"/>
        <w:rPr>
          <w:color w:val="000000" w:themeColor="text1"/>
          <w14:textFill>
            <w14:solidFill>
              <w14:schemeClr w14:val="tx1"/>
            </w14:solidFill>
          </w14:textFill>
        </w:rPr>
      </w:pPr>
    </w:p>
    <w:p w14:paraId="20878CA4">
      <w:pPr>
        <w:pStyle w:val="3"/>
        <w:numPr>
          <w:ilvl w:val="0"/>
          <w:numId w:val="3"/>
        </w:numPr>
        <w:ind w:left="0" w:firstLine="0"/>
        <w:rPr>
          <w:color w:val="000000" w:themeColor="text1"/>
          <w14:textFill>
            <w14:solidFill>
              <w14:schemeClr w14:val="tx1"/>
            </w14:solidFill>
          </w14:textFill>
        </w:rPr>
      </w:pPr>
      <w:r>
        <w:rPr>
          <w:color w:val="000000" w:themeColor="text1"/>
          <w14:textFill>
            <w14:solidFill>
              <w14:schemeClr w14:val="tx1"/>
            </w14:solidFill>
          </w14:textFill>
        </w:rPr>
        <w:t>信息披露及备置地点变更情况简介</w:t>
      </w:r>
    </w:p>
    <w:tbl>
      <w:tblPr>
        <w:tblStyle w:val="37"/>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30" w:type="dxa"/>
          <w:bottom w:w="0" w:type="dxa"/>
          <w:right w:w="30" w:type="dxa"/>
        </w:tblCellMar>
      </w:tblPr>
      <w:tblGrid>
        <w:gridCol w:w="3827"/>
        <w:gridCol w:w="4996"/>
      </w:tblGrid>
      <w:tr w14:paraId="177E7D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sdt>
          <w:sdtPr>
            <w:tag w:val="_PLD_5a9e1277ac2b48eb8d7aa1b69c532d31"/>
            <w:id w:val="-203409390"/>
          </w:sdtPr>
          <w:sdtContent>
            <w:tc>
              <w:tcPr>
                <w:tcW w:w="2169" w:type="pct"/>
                <w:tcBorders>
                  <w:top w:val="single" w:color="auto" w:sz="4" w:space="0"/>
                  <w:bottom w:val="single" w:color="auto" w:sz="4" w:space="0"/>
                  <w:right w:val="single" w:color="auto" w:sz="4" w:space="0"/>
                </w:tcBorders>
              </w:tcPr>
              <w:p w14:paraId="0B2B3DE2">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公司选定的信息披露报纸名称</w:t>
                </w:r>
              </w:p>
            </w:tc>
          </w:sdtContent>
        </w:sdt>
        <w:tc>
          <w:tcPr>
            <w:tcW w:w="2831" w:type="pct"/>
            <w:tcBorders>
              <w:top w:val="single" w:color="auto" w:sz="4" w:space="0"/>
              <w:left w:val="single" w:color="auto" w:sz="4" w:space="0"/>
              <w:bottom w:val="single" w:color="auto" w:sz="4" w:space="0"/>
            </w:tcBorders>
          </w:tcPr>
          <w:p w14:paraId="14F1B376">
            <w:pPr>
              <w:kinsoku w:val="0"/>
              <w:overflowPunct w:val="0"/>
              <w:autoSpaceDE w:val="0"/>
              <w:autoSpaceDN w:val="0"/>
              <w:adjustRightInd w:val="0"/>
              <w:snapToGrid w:val="0"/>
              <w:rPr>
                <w:color w:val="000000" w:themeColor="text1"/>
                <w14:textFill>
                  <w14:solidFill>
                    <w14:schemeClr w14:val="tx1"/>
                  </w14:solidFill>
                </w14:textFill>
              </w:rPr>
            </w:pPr>
            <w:sdt>
              <w:sdtPr>
                <w:rPr>
                  <w:color w:val="000000"/>
                </w:rPr>
                <w:alias w:val="公司选定的信息披露报纸名称"/>
                <w:tag w:val="_GBC_ea25303a54e24033a0a9a380e9688e98"/>
                <w:id w:val="-228857875"/>
              </w:sdtPr>
              <w:sdtEndPr>
                <w:rPr>
                  <w:color w:val="000000"/>
                </w:rPr>
              </w:sdtEndPr>
              <w:sdtContent>
                <w:r>
                  <w:rPr>
                    <w:rFonts w:hint="eastAsia" w:ascii="宋体" w:hAnsi="宋体"/>
                    <w:color w:val="000000"/>
                  </w:rPr>
                  <w:t>《中国证券报》、《上海证券报》</w:t>
                </w:r>
              </w:sdtContent>
            </w:sdt>
          </w:p>
        </w:tc>
      </w:tr>
      <w:tr w14:paraId="028F41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2169" w:type="pct"/>
            <w:tcBorders>
              <w:top w:val="single" w:color="auto" w:sz="4" w:space="0"/>
              <w:bottom w:val="single" w:color="auto" w:sz="4" w:space="0"/>
              <w:right w:val="single" w:color="auto" w:sz="4" w:space="0"/>
            </w:tcBorders>
          </w:tcPr>
          <w:p w14:paraId="6AAA0376">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登载半年度报告的</w:t>
            </w:r>
            <w:r>
              <w:rPr>
                <w:rFonts w:hint="eastAsia"/>
                <w:color w:val="000000" w:themeColor="text1"/>
                <w14:textFill>
                  <w14:solidFill>
                    <w14:schemeClr w14:val="tx1"/>
                  </w14:solidFill>
                </w14:textFill>
              </w:rPr>
              <w:t>网站地</w:t>
            </w:r>
            <w:r>
              <w:rPr>
                <w:color w:val="000000" w:themeColor="text1"/>
                <w14:textFill>
                  <w14:solidFill>
                    <w14:schemeClr w14:val="tx1"/>
                  </w14:solidFill>
                </w14:textFill>
              </w:rPr>
              <w:t>址</w:t>
            </w:r>
          </w:p>
        </w:tc>
        <w:tc>
          <w:tcPr>
            <w:tcW w:w="2831" w:type="pct"/>
            <w:tcBorders>
              <w:top w:val="single" w:color="auto" w:sz="4" w:space="0"/>
              <w:left w:val="single" w:color="auto" w:sz="4" w:space="0"/>
              <w:bottom w:val="single" w:color="auto" w:sz="4" w:space="0"/>
            </w:tcBorders>
          </w:tcPr>
          <w:p w14:paraId="1753BD3B">
            <w:pPr>
              <w:kinsoku w:val="0"/>
              <w:overflowPunct w:val="0"/>
              <w:autoSpaceDE w:val="0"/>
              <w:autoSpaceDN w:val="0"/>
              <w:adjustRightInd w:val="0"/>
              <w:snapToGrid w:val="0"/>
            </w:pPr>
            <w:r>
              <w:t>www.sse.com.cn</w:t>
            </w:r>
          </w:p>
        </w:tc>
      </w:tr>
      <w:tr w14:paraId="4D8712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2169" w:type="pct"/>
            <w:tcBorders>
              <w:top w:val="single" w:color="auto" w:sz="4" w:space="0"/>
              <w:bottom w:val="single" w:color="auto" w:sz="4" w:space="0"/>
              <w:right w:val="single" w:color="auto" w:sz="4" w:space="0"/>
            </w:tcBorders>
          </w:tcPr>
          <w:p w14:paraId="4CCF8BE8">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公司半年度报告备置地点</w:t>
            </w:r>
          </w:p>
        </w:tc>
        <w:tc>
          <w:tcPr>
            <w:tcW w:w="2831" w:type="pct"/>
            <w:tcBorders>
              <w:top w:val="single" w:color="auto" w:sz="4" w:space="0"/>
              <w:left w:val="single" w:color="auto" w:sz="4" w:space="0"/>
              <w:bottom w:val="single" w:color="auto" w:sz="4" w:space="0"/>
            </w:tcBorders>
          </w:tcPr>
          <w:p w14:paraId="51373207">
            <w:pPr>
              <w:kinsoku w:val="0"/>
              <w:overflowPunct w:val="0"/>
              <w:autoSpaceDE w:val="0"/>
              <w:autoSpaceDN w:val="0"/>
              <w:adjustRightInd w:val="0"/>
              <w:snapToGrid w:val="0"/>
            </w:pPr>
            <w:r>
              <w:rPr>
                <w:rFonts w:hint="eastAsia" w:ascii="宋体" w:hAnsi="宋体"/>
              </w:rPr>
              <w:t>公司证券部</w:t>
            </w:r>
          </w:p>
        </w:tc>
      </w:tr>
      <w:tr w14:paraId="643974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2169" w:type="pct"/>
            <w:tcBorders>
              <w:top w:val="single" w:color="auto" w:sz="4" w:space="0"/>
              <w:bottom w:val="single" w:color="auto" w:sz="4" w:space="0"/>
              <w:right w:val="single" w:color="auto" w:sz="4" w:space="0"/>
            </w:tcBorders>
          </w:tcPr>
          <w:p w14:paraId="51EB2D01">
            <w:pPr>
              <w:kinsoku w:val="0"/>
              <w:overflowPunct w:val="0"/>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报告期内变更情况查询索引</w:t>
            </w:r>
          </w:p>
        </w:tc>
        <w:tc>
          <w:tcPr>
            <w:tcW w:w="2831" w:type="pct"/>
            <w:tcBorders>
              <w:top w:val="single" w:color="auto" w:sz="4" w:space="0"/>
              <w:left w:val="single" w:color="auto" w:sz="4" w:space="0"/>
              <w:bottom w:val="single" w:color="auto" w:sz="4" w:space="0"/>
            </w:tcBorders>
          </w:tcPr>
          <w:p w14:paraId="462A6A36">
            <w:pPr>
              <w:kinsoku w:val="0"/>
              <w:overflowPunct w:val="0"/>
              <w:autoSpaceDE w:val="0"/>
              <w:autoSpaceDN w:val="0"/>
              <w:adjustRightInd w:val="0"/>
              <w:snapToGrid w:val="0"/>
            </w:pPr>
            <w:r>
              <w:rPr>
                <w:rFonts w:hint="eastAsia" w:ascii="宋体" w:hAnsi="宋体"/>
              </w:rPr>
              <w:t>无变更</w:t>
            </w:r>
          </w:p>
        </w:tc>
      </w:tr>
    </w:tbl>
    <w:p w14:paraId="0B2BDFE3">
      <w:pPr>
        <w:rPr>
          <w:color w:val="000000" w:themeColor="text1"/>
          <w14:textFill>
            <w14:solidFill>
              <w14:schemeClr w14:val="tx1"/>
            </w14:solidFill>
          </w14:textFill>
        </w:rPr>
      </w:pPr>
    </w:p>
    <w:p w14:paraId="2D38B7A5">
      <w:pPr>
        <w:pStyle w:val="3"/>
        <w:numPr>
          <w:ilvl w:val="0"/>
          <w:numId w:val="3"/>
        </w:numPr>
        <w:ind w:left="0" w:firstLine="0"/>
        <w:rPr>
          <w:color w:val="000000" w:themeColor="text1"/>
          <w14:textFill>
            <w14:solidFill>
              <w14:schemeClr w14:val="tx1"/>
            </w14:solidFill>
          </w14:textFill>
        </w:rPr>
      </w:pPr>
      <w:bookmarkStart w:id="14" w:name="_Toc342565885"/>
      <w:bookmarkStart w:id="15" w:name="_Toc342051045"/>
      <w:r>
        <w:rPr>
          <w:rFonts w:hint="eastAsia"/>
          <w:color w:val="000000" w:themeColor="text1"/>
          <w14:textFill>
            <w14:solidFill>
              <w14:schemeClr w14:val="tx1"/>
            </w14:solidFill>
          </w14:textFill>
        </w:rPr>
        <w:t>公司股票简况</w:t>
      </w:r>
      <w:bookmarkEnd w:id="14"/>
      <w:bookmarkEnd w:id="15"/>
    </w:p>
    <w:tbl>
      <w:tblPr>
        <w:tblStyle w:val="37"/>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0" w:type="dxa"/>
          <w:bottom w:w="0" w:type="dxa"/>
          <w:right w:w="30" w:type="dxa"/>
        </w:tblCellMar>
      </w:tblPr>
      <w:tblGrid>
        <w:gridCol w:w="1764"/>
        <w:gridCol w:w="1764"/>
        <w:gridCol w:w="1765"/>
        <w:gridCol w:w="1765"/>
        <w:gridCol w:w="1765"/>
      </w:tblGrid>
      <w:tr w14:paraId="2377C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sdt>
          <w:sdtPr>
            <w:tag w:val="_PLD_136d907086394f5eaee0ec7d22ac5510"/>
            <w:id w:val="-1185203707"/>
          </w:sdtPr>
          <w:sdtContent>
            <w:tc>
              <w:tcPr>
                <w:tcW w:w="1000" w:type="pct"/>
                <w:tcBorders>
                  <w:top w:val="single" w:color="auto" w:sz="4" w:space="0"/>
                  <w:bottom w:val="single" w:color="auto" w:sz="4" w:space="0"/>
                  <w:right w:val="single" w:color="auto" w:sz="4" w:space="0"/>
                </w:tcBorders>
              </w:tcPr>
              <w:p w14:paraId="73EA06E9">
                <w:pPr>
                  <w:kinsoku w:val="0"/>
                  <w:overflowPunct w:val="0"/>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股票种类</w:t>
                </w:r>
              </w:p>
            </w:tc>
          </w:sdtContent>
        </w:sdt>
        <w:sdt>
          <w:sdtPr>
            <w:tag w:val="_PLD_6a843bcbb5a24c0aa6b5fa899c00d11d"/>
            <w:id w:val="559830753"/>
          </w:sdtPr>
          <w:sdtContent>
            <w:tc>
              <w:tcPr>
                <w:tcW w:w="1000" w:type="pct"/>
                <w:tcBorders>
                  <w:top w:val="single" w:color="auto" w:sz="4" w:space="0"/>
                  <w:left w:val="single" w:color="auto" w:sz="4" w:space="0"/>
                  <w:bottom w:val="single" w:color="auto" w:sz="4" w:space="0"/>
                  <w:right w:val="single" w:color="auto" w:sz="4" w:space="0"/>
                </w:tcBorders>
              </w:tcPr>
              <w:p w14:paraId="74180DE8">
                <w:pPr>
                  <w:kinsoku w:val="0"/>
                  <w:overflowPunct w:val="0"/>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股票上市交易所</w:t>
                </w:r>
              </w:p>
            </w:tc>
          </w:sdtContent>
        </w:sdt>
        <w:sdt>
          <w:sdtPr>
            <w:tag w:val="_PLD_c012a58bb3cc4bbd9a7de1f52bd17553"/>
            <w:id w:val="1220101252"/>
          </w:sdtPr>
          <w:sdtContent>
            <w:tc>
              <w:tcPr>
                <w:tcW w:w="1000" w:type="pct"/>
                <w:tcBorders>
                  <w:top w:val="single" w:color="auto" w:sz="4" w:space="0"/>
                  <w:left w:val="single" w:color="auto" w:sz="4" w:space="0"/>
                  <w:bottom w:val="single" w:color="auto" w:sz="4" w:space="0"/>
                  <w:right w:val="single" w:color="auto" w:sz="4" w:space="0"/>
                </w:tcBorders>
              </w:tcPr>
              <w:p w14:paraId="59DA6176">
                <w:pPr>
                  <w:kinsoku w:val="0"/>
                  <w:overflowPunct w:val="0"/>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股票简称</w:t>
                </w:r>
              </w:p>
            </w:tc>
          </w:sdtContent>
        </w:sdt>
        <w:sdt>
          <w:sdtPr>
            <w:tag w:val="_PLD_9fa1e8781b094b29b21027138e9f63e8"/>
            <w:id w:val="-868529587"/>
          </w:sdtPr>
          <w:sdtContent>
            <w:tc>
              <w:tcPr>
                <w:tcW w:w="1000" w:type="pct"/>
                <w:tcBorders>
                  <w:top w:val="single" w:color="auto" w:sz="4" w:space="0"/>
                  <w:left w:val="single" w:color="auto" w:sz="4" w:space="0"/>
                  <w:bottom w:val="single" w:color="auto" w:sz="4" w:space="0"/>
                  <w:right w:val="single" w:color="auto" w:sz="4" w:space="0"/>
                </w:tcBorders>
              </w:tcPr>
              <w:p w14:paraId="29D9C02A">
                <w:pPr>
                  <w:kinsoku w:val="0"/>
                  <w:overflowPunct w:val="0"/>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股票代码</w:t>
                </w:r>
              </w:p>
            </w:tc>
          </w:sdtContent>
        </w:sdt>
        <w:sdt>
          <w:sdtPr>
            <w:tag w:val="_PLD_38293dc771ef4460bd5252827867d07d"/>
            <w:id w:val="-1024392866"/>
          </w:sdtPr>
          <w:sdtContent>
            <w:tc>
              <w:tcPr>
                <w:tcW w:w="1000" w:type="pct"/>
                <w:tcBorders>
                  <w:top w:val="single" w:color="auto" w:sz="4" w:space="0"/>
                  <w:left w:val="single" w:color="auto" w:sz="4" w:space="0"/>
                  <w:bottom w:val="single" w:color="auto" w:sz="4" w:space="0"/>
                </w:tcBorders>
              </w:tcPr>
              <w:p w14:paraId="21ADCBFF">
                <w:pPr>
                  <w:kinsoku w:val="0"/>
                  <w:overflowPunct w:val="0"/>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变更前股票简称</w:t>
                </w:r>
              </w:p>
            </w:tc>
          </w:sdtContent>
        </w:sdt>
      </w:tr>
      <w:tr w14:paraId="1AE646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1000" w:type="pct"/>
            <w:tcBorders>
              <w:top w:val="single" w:color="auto" w:sz="4" w:space="0"/>
              <w:bottom w:val="single" w:color="auto" w:sz="4" w:space="0"/>
              <w:right w:val="single" w:color="auto" w:sz="4" w:space="0"/>
            </w:tcBorders>
          </w:tcPr>
          <w:p w14:paraId="46035121">
            <w:pPr>
              <w:kinsoku w:val="0"/>
              <w:overflowPunct w:val="0"/>
              <w:autoSpaceDE w:val="0"/>
              <w:autoSpaceDN w:val="0"/>
              <w:adjustRightInd w:val="0"/>
              <w:snapToGrid w:val="0"/>
              <w:jc w:val="center"/>
            </w:pPr>
            <w:r>
              <w:rPr>
                <w:rFonts w:hint="eastAsia" w:cs="Times New Roman"/>
              </w:rPr>
              <w:t>A</w:t>
            </w:r>
            <w:r>
              <w:rPr>
                <w:rFonts w:hint="eastAsia" w:ascii="宋体" w:hAnsi="宋体"/>
              </w:rPr>
              <w:t>股</w:t>
            </w:r>
          </w:p>
        </w:tc>
        <w:tc>
          <w:tcPr>
            <w:tcW w:w="1000" w:type="pct"/>
            <w:tcBorders>
              <w:top w:val="single" w:color="auto" w:sz="4" w:space="0"/>
              <w:left w:val="single" w:color="auto" w:sz="4" w:space="0"/>
              <w:bottom w:val="single" w:color="auto" w:sz="4" w:space="0"/>
              <w:right w:val="single" w:color="auto" w:sz="4" w:space="0"/>
            </w:tcBorders>
          </w:tcPr>
          <w:p w14:paraId="084C492A">
            <w:pPr>
              <w:kinsoku w:val="0"/>
              <w:overflowPunct w:val="0"/>
              <w:autoSpaceDE w:val="0"/>
              <w:autoSpaceDN w:val="0"/>
              <w:adjustRightInd w:val="0"/>
              <w:snapToGrid w:val="0"/>
              <w:jc w:val="center"/>
            </w:pPr>
            <w:r>
              <w:rPr>
                <w:rFonts w:cs="Times New Roman"/>
              </w:rPr>
              <w:t xml:space="preserve"> </w:t>
            </w:r>
            <w:r>
              <w:rPr>
                <w:rFonts w:hint="eastAsia" w:ascii="宋体" w:hAnsi="宋体"/>
              </w:rPr>
              <w:t>上海证券交易所</w:t>
            </w:r>
          </w:p>
        </w:tc>
        <w:tc>
          <w:tcPr>
            <w:tcW w:w="1000" w:type="pct"/>
            <w:tcBorders>
              <w:top w:val="single" w:color="auto" w:sz="4" w:space="0"/>
              <w:left w:val="single" w:color="auto" w:sz="4" w:space="0"/>
              <w:bottom w:val="single" w:color="auto" w:sz="4" w:space="0"/>
              <w:right w:val="single" w:color="auto" w:sz="4" w:space="0"/>
            </w:tcBorders>
          </w:tcPr>
          <w:p w14:paraId="719F927E">
            <w:pPr>
              <w:kinsoku w:val="0"/>
              <w:overflowPunct w:val="0"/>
              <w:autoSpaceDE w:val="0"/>
              <w:autoSpaceDN w:val="0"/>
              <w:adjustRightInd w:val="0"/>
              <w:snapToGrid w:val="0"/>
              <w:jc w:val="center"/>
            </w:pPr>
            <w:r>
              <w:rPr>
                <w:rFonts w:hint="eastAsia" w:ascii="宋体" w:hAnsi="宋体"/>
              </w:rPr>
              <w:t>好当家</w:t>
            </w:r>
          </w:p>
        </w:tc>
        <w:tc>
          <w:tcPr>
            <w:tcW w:w="1000" w:type="pct"/>
            <w:tcBorders>
              <w:top w:val="single" w:color="auto" w:sz="4" w:space="0"/>
              <w:left w:val="single" w:color="auto" w:sz="4" w:space="0"/>
              <w:bottom w:val="single" w:color="auto" w:sz="4" w:space="0"/>
              <w:right w:val="single" w:color="auto" w:sz="4" w:space="0"/>
            </w:tcBorders>
          </w:tcPr>
          <w:p w14:paraId="11C3DB7F">
            <w:pPr>
              <w:kinsoku w:val="0"/>
              <w:overflowPunct w:val="0"/>
              <w:autoSpaceDE w:val="0"/>
              <w:autoSpaceDN w:val="0"/>
              <w:adjustRightInd w:val="0"/>
              <w:snapToGrid w:val="0"/>
              <w:jc w:val="center"/>
            </w:pPr>
            <w:r>
              <w:rPr>
                <w:rFonts w:hint="eastAsia" w:cs="Times New Roman"/>
              </w:rPr>
              <w:t>600467</w:t>
            </w:r>
          </w:p>
        </w:tc>
        <w:tc>
          <w:tcPr>
            <w:tcW w:w="1000" w:type="pct"/>
            <w:tcBorders>
              <w:top w:val="single" w:color="auto" w:sz="4" w:space="0"/>
              <w:left w:val="single" w:color="auto" w:sz="4" w:space="0"/>
              <w:bottom w:val="single" w:color="auto" w:sz="4" w:space="0"/>
            </w:tcBorders>
          </w:tcPr>
          <w:p w14:paraId="21C84405">
            <w:pPr>
              <w:kinsoku w:val="0"/>
              <w:overflowPunct w:val="0"/>
              <w:autoSpaceDE w:val="0"/>
              <w:autoSpaceDN w:val="0"/>
              <w:adjustRightInd w:val="0"/>
              <w:snapToGrid w:val="0"/>
              <w:jc w:val="center"/>
            </w:pPr>
          </w:p>
        </w:tc>
      </w:tr>
    </w:tbl>
    <w:p w14:paraId="0F1BA4C5">
      <w:pPr>
        <w:kinsoku w:val="0"/>
        <w:overflowPunct w:val="0"/>
        <w:autoSpaceDE w:val="0"/>
        <w:autoSpaceDN w:val="0"/>
        <w:adjustRightInd w:val="0"/>
        <w:snapToGrid w:val="0"/>
        <w:rPr>
          <w:color w:val="000000" w:themeColor="text1"/>
          <w14:textFill>
            <w14:solidFill>
              <w14:schemeClr w14:val="tx1"/>
            </w14:solidFill>
          </w14:textFill>
        </w:rPr>
      </w:pPr>
    </w:p>
    <w:p w14:paraId="328CC6D3">
      <w:pPr>
        <w:kinsoku w:val="0"/>
        <w:overflowPunct w:val="0"/>
        <w:autoSpaceDE w:val="0"/>
        <w:autoSpaceDN w:val="0"/>
        <w:adjustRightInd w:val="0"/>
        <w:snapToGrid w:val="0"/>
        <w:rPr>
          <w:color w:val="000000" w:themeColor="text1"/>
          <w14:textFill>
            <w14:solidFill>
              <w14:schemeClr w14:val="tx1"/>
            </w14:solidFill>
          </w14:textFill>
        </w:rPr>
      </w:pPr>
    </w:p>
    <w:p w14:paraId="5DB45B67">
      <w:pPr>
        <w:pStyle w:val="3"/>
        <w:numPr>
          <w:ilvl w:val="0"/>
          <w:numId w:val="3"/>
        </w:numPr>
        <w:ind w:left="0" w:firstLine="0"/>
        <w:rPr>
          <w:color w:val="000000" w:themeColor="text1"/>
          <w14:textFill>
            <w14:solidFill>
              <w14:schemeClr w14:val="tx1"/>
            </w14:solidFill>
          </w14:textFill>
        </w:rPr>
      </w:pPr>
      <w:r>
        <w:rPr>
          <w:color w:val="000000" w:themeColor="text1"/>
          <w14:textFill>
            <w14:solidFill>
              <w14:schemeClr w14:val="tx1"/>
            </w14:solidFill>
          </w14:textFill>
        </w:rPr>
        <w:t>其他有关资料</w:t>
      </w:r>
    </w:p>
    <w:sdt>
      <w:sdtPr>
        <w:rPr>
          <w:color w:val="000000" w:themeColor="text1"/>
          <w14:textFill>
            <w14:solidFill>
              <w14:schemeClr w14:val="tx1"/>
            </w14:solidFill>
          </w14:textFill>
        </w:rPr>
        <w:alias w:val="是否适用：其他有关资料[双击切换]"/>
        <w:tag w:val="_GBC_78c3cc115c0d4dd3bf5e7c57142e5e68"/>
        <w:id w:val="-892730263"/>
        <w:placeholder>
          <w:docPart w:val="GBC22222222222222222222222222222"/>
        </w:placeholder>
      </w:sdtPr>
      <w:sdtEndPr>
        <w:rPr>
          <w:color w:val="000000" w:themeColor="text1"/>
          <w14:textFill>
            <w14:solidFill>
              <w14:schemeClr w14:val="tx1"/>
            </w14:solidFill>
          </w14:textFill>
        </w:rPr>
      </w:sdtEndPr>
      <w:sdtContent>
        <w:p w14:paraId="6B23549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570D3FC">
      <w:pPr>
        <w:rPr>
          <w:color w:val="000000" w:themeColor="text1"/>
          <w:bdr w:val="single" w:color="auto" w:sz="4" w:space="0"/>
          <w14:textFill>
            <w14:solidFill>
              <w14:schemeClr w14:val="tx1"/>
            </w14:solidFill>
          </w14:textFill>
        </w:rPr>
      </w:pPr>
    </w:p>
    <w:p w14:paraId="14814E21">
      <w:pPr>
        <w:rPr>
          <w:color w:val="000000" w:themeColor="text1"/>
          <w:bdr w:val="single" w:color="auto" w:sz="4" w:space="0"/>
          <w14:textFill>
            <w14:solidFill>
              <w14:schemeClr w14:val="tx1"/>
            </w14:solidFill>
          </w14:textFill>
        </w:rPr>
      </w:pPr>
    </w:p>
    <w:p w14:paraId="3F9F0AD3">
      <w:pPr>
        <w:pStyle w:val="3"/>
        <w:numPr>
          <w:ilvl w:val="0"/>
          <w:numId w:val="3"/>
        </w:numPr>
        <w:ind w:left="0" w:firstLine="0"/>
        <w:rPr>
          <w:color w:val="000000" w:themeColor="text1"/>
          <w14:textFill>
            <w14:solidFill>
              <w14:schemeClr w14:val="tx1"/>
            </w14:solidFill>
          </w14:textFill>
        </w:rPr>
      </w:pPr>
      <w:bookmarkStart w:id="16" w:name="_Toc342565889"/>
      <w:bookmarkStart w:id="17" w:name="_Toc342056397"/>
      <w:r>
        <w:rPr>
          <w:rFonts w:hint="eastAsia"/>
          <w:color w:val="000000" w:themeColor="text1"/>
          <w14:textFill>
            <w14:solidFill>
              <w14:schemeClr w14:val="tx1"/>
            </w14:solidFill>
          </w14:textFill>
        </w:rPr>
        <w:t>公司主要会计数据和财务指标</w:t>
      </w:r>
    </w:p>
    <w:bookmarkEnd w:id="16"/>
    <w:bookmarkEnd w:id="17"/>
    <w:p w14:paraId="536F1B64">
      <w:pPr>
        <w:pStyle w:val="4"/>
        <w:numPr>
          <w:ilvl w:val="1"/>
          <w:numId w:val="4"/>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主要会计数据</w:t>
      </w:r>
    </w:p>
    <w:p w14:paraId="687AA3E4">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报告期末公司前三年主要会计数据和财务指标"/>
          <w:tag w:val="_GBC_c7cd0dd826b247dbba8cc8b1a811aefb"/>
          <w:id w:val="47179302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报告期末公司前三年主要会计数据和财务指标"/>
          <w:tag w:val="_GBC_2df6a5d441324c13bcf6c4c54ac41eb0"/>
          <w:id w:val="12370637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6"/>
        <w:gridCol w:w="1775"/>
        <w:gridCol w:w="1747"/>
        <w:gridCol w:w="1715"/>
      </w:tblGrid>
      <w:tr w14:paraId="6CF6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sdt>
          <w:sdtPr>
            <w:tag w:val="_PLD_e63d02b963714237aa4678b1878c888d"/>
            <w:id w:val="-1539117966"/>
          </w:sdtPr>
          <w:sdtContent>
            <w:tc>
              <w:tcPr>
                <w:tcW w:w="2032" w:type="pct"/>
                <w:vAlign w:val="center"/>
              </w:tcPr>
              <w:p w14:paraId="43EE567E">
                <w:pPr>
                  <w:widowControl w:val="0"/>
                  <w:kinsoku w:val="0"/>
                  <w:overflowPunct w:val="0"/>
                  <w:autoSpaceDE w:val="0"/>
                  <w:autoSpaceDN w:val="0"/>
                  <w:adjustRightInd w:val="0"/>
                  <w:snapToGrid w:val="0"/>
                  <w:jc w:val="center"/>
                  <w:rPr>
                    <w:color w:val="000000" w:themeColor="text1"/>
                    <w14:textFill>
                      <w14:solidFill>
                        <w14:schemeClr w14:val="tx1"/>
                      </w14:solidFill>
                    </w14:textFill>
                  </w:rPr>
                </w:pPr>
                <w:bookmarkStart w:id="18" w:name="_Hlk72769913"/>
                <w:r>
                  <w:rPr>
                    <w:rFonts w:hint="eastAsia"/>
                    <w:color w:val="000000" w:themeColor="text1"/>
                    <w14:textFill>
                      <w14:solidFill>
                        <w14:schemeClr w14:val="tx1"/>
                      </w14:solidFill>
                    </w14:textFill>
                  </w:rPr>
                  <w:t>主要会计数据</w:t>
                </w:r>
              </w:p>
            </w:tc>
          </w:sdtContent>
        </w:sdt>
        <w:sdt>
          <w:sdtPr>
            <w:tag w:val="_PLD_913ae157f7e74eee947ea98d96be3599"/>
            <w:id w:val="924078275"/>
          </w:sdtPr>
          <w:sdtContent>
            <w:tc>
              <w:tcPr>
                <w:tcW w:w="1006" w:type="pct"/>
                <w:vAlign w:val="center"/>
              </w:tcPr>
              <w:p w14:paraId="2978F27F">
                <w:pPr>
                  <w:widowControl w:val="0"/>
                  <w:kinsoku w:val="0"/>
                  <w:overflowPunct w:val="0"/>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w:t>
                </w:r>
                <w:r>
                  <w:rPr>
                    <w:color w:val="000000" w:themeColor="text1"/>
                    <w14:textFill>
                      <w14:solidFill>
                        <w14:schemeClr w14:val="tx1"/>
                      </w14:solidFill>
                    </w14:textFill>
                  </w:rPr>
                  <w:t>报告期</w:t>
                </w:r>
              </w:p>
              <w:p w14:paraId="1FFBB9FF">
                <w:pPr>
                  <w:widowControl w:val="0"/>
                  <w:kinsoku w:val="0"/>
                  <w:overflowPunct w:val="0"/>
                  <w:autoSpaceDE w:val="0"/>
                  <w:autoSpaceDN w:val="0"/>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（1－6月）</w:t>
                </w:r>
              </w:p>
            </w:tc>
          </w:sdtContent>
        </w:sdt>
        <w:sdt>
          <w:sdtPr>
            <w:tag w:val="_PLD_0f32665f64034720b1ecd674058f4d8b"/>
            <w:id w:val="-1328361383"/>
          </w:sdtPr>
          <w:sdtContent>
            <w:tc>
              <w:tcPr>
                <w:tcW w:w="990" w:type="pct"/>
                <w:vAlign w:val="center"/>
              </w:tcPr>
              <w:p w14:paraId="171B2688">
                <w:pPr>
                  <w:widowControl w:val="0"/>
                  <w:kinsoku w:val="0"/>
                  <w:overflowPunct w:val="0"/>
                  <w:autoSpaceDE w:val="0"/>
                  <w:autoSpaceDN w:val="0"/>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上年同期</w:t>
                </w:r>
              </w:p>
            </w:tc>
          </w:sdtContent>
        </w:sdt>
        <w:sdt>
          <w:sdtPr>
            <w:tag w:val="_PLD_e634aa67fe8c44038b152224d8a245d6"/>
            <w:id w:val="1116645346"/>
          </w:sdtPr>
          <w:sdtContent>
            <w:tc>
              <w:tcPr>
                <w:tcW w:w="972" w:type="pct"/>
                <w:vAlign w:val="center"/>
              </w:tcPr>
              <w:p w14:paraId="07A20068">
                <w:pPr>
                  <w:widowControl w:val="0"/>
                  <w:kinsoku w:val="0"/>
                  <w:overflowPunct w:val="0"/>
                  <w:autoSpaceDE w:val="0"/>
                  <w:autoSpaceDN w:val="0"/>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本报告期比上年同期增减(%)</w:t>
                </w:r>
              </w:p>
            </w:tc>
          </w:sdtContent>
        </w:sdt>
      </w:tr>
      <w:tr w14:paraId="5B9F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032" w:type="pct"/>
          </w:tcPr>
          <w:p w14:paraId="416D833E">
            <w:pPr>
              <w:widowControl w:val="0"/>
              <w:kinsoku w:val="0"/>
              <w:overflowPunct w:val="0"/>
              <w:autoSpaceDE w:val="0"/>
              <w:autoSpaceDN w:val="0"/>
              <w:adjustRightInd w:val="0"/>
              <w:snapToGrid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营业收入</w:t>
            </w:r>
          </w:p>
        </w:tc>
        <w:tc>
          <w:tcPr>
            <w:tcW w:w="1006" w:type="pct"/>
          </w:tcPr>
          <w:p w14:paraId="2150A9FB">
            <w:pPr>
              <w:widowControl w:val="0"/>
              <w:kinsoku w:val="0"/>
              <w:overflowPunct w:val="0"/>
              <w:autoSpaceDE w:val="0"/>
              <w:autoSpaceDN w:val="0"/>
              <w:adjustRightInd w:val="0"/>
              <w:snapToGrid w:val="0"/>
              <w:jc w:val="right"/>
            </w:pPr>
            <w:r>
              <w:t>803,063,529.11</w:t>
            </w:r>
          </w:p>
        </w:tc>
        <w:tc>
          <w:tcPr>
            <w:tcW w:w="990" w:type="pct"/>
          </w:tcPr>
          <w:p w14:paraId="2E95CE76">
            <w:pPr>
              <w:widowControl w:val="0"/>
              <w:kinsoku w:val="0"/>
              <w:overflowPunct w:val="0"/>
              <w:autoSpaceDE w:val="0"/>
              <w:autoSpaceDN w:val="0"/>
              <w:adjustRightInd w:val="0"/>
              <w:snapToGrid w:val="0"/>
              <w:jc w:val="right"/>
              <w:rPr>
                <w:bCs w:val="0"/>
              </w:rPr>
            </w:pPr>
            <w:r>
              <w:rPr>
                <w:bCs w:val="0"/>
              </w:rPr>
              <w:t>710,720,795.47</w:t>
            </w:r>
          </w:p>
        </w:tc>
        <w:tc>
          <w:tcPr>
            <w:tcW w:w="972" w:type="pct"/>
          </w:tcPr>
          <w:p w14:paraId="441E5B42">
            <w:pPr>
              <w:widowControl w:val="0"/>
              <w:kinsoku w:val="0"/>
              <w:overflowPunct w:val="0"/>
              <w:autoSpaceDE w:val="0"/>
              <w:autoSpaceDN w:val="0"/>
              <w:adjustRightInd w:val="0"/>
              <w:snapToGrid w:val="0"/>
              <w:jc w:val="right"/>
            </w:pPr>
            <w:r>
              <w:rPr>
                <w:rFonts w:hint="eastAsia"/>
              </w:rPr>
              <w:t>12.99</w:t>
            </w:r>
          </w:p>
        </w:tc>
      </w:tr>
      <w:tr w14:paraId="520B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032" w:type="pct"/>
          </w:tcPr>
          <w:p w14:paraId="1EFC8305">
            <w:pPr>
              <w:widowControl w:val="0"/>
              <w:kinsoku w:val="0"/>
              <w:overflowPunct w:val="0"/>
              <w:autoSpaceDE w:val="0"/>
              <w:autoSpaceDN w:val="0"/>
              <w:adjustRightInd w:val="0"/>
              <w:snapToGrid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利润总额</w:t>
            </w:r>
          </w:p>
        </w:tc>
        <w:tc>
          <w:tcPr>
            <w:tcW w:w="1006" w:type="pct"/>
          </w:tcPr>
          <w:p w14:paraId="583B13CF">
            <w:pPr>
              <w:widowControl w:val="0"/>
              <w:kinsoku w:val="0"/>
              <w:overflowPunct w:val="0"/>
              <w:autoSpaceDE w:val="0"/>
              <w:autoSpaceDN w:val="0"/>
              <w:adjustRightInd w:val="0"/>
              <w:snapToGrid w:val="0"/>
              <w:jc w:val="right"/>
            </w:pPr>
            <w:r>
              <w:t>30,678,047.95</w:t>
            </w:r>
          </w:p>
        </w:tc>
        <w:tc>
          <w:tcPr>
            <w:tcW w:w="990" w:type="pct"/>
          </w:tcPr>
          <w:p w14:paraId="6D73C07E">
            <w:pPr>
              <w:widowControl w:val="0"/>
              <w:kinsoku w:val="0"/>
              <w:overflowPunct w:val="0"/>
              <w:autoSpaceDE w:val="0"/>
              <w:autoSpaceDN w:val="0"/>
              <w:adjustRightInd w:val="0"/>
              <w:snapToGrid w:val="0"/>
              <w:jc w:val="right"/>
              <w:rPr>
                <w:bCs w:val="0"/>
              </w:rPr>
            </w:pPr>
            <w:r>
              <w:rPr>
                <w:bCs w:val="0"/>
              </w:rPr>
              <w:t>25,604,323.64</w:t>
            </w:r>
          </w:p>
        </w:tc>
        <w:tc>
          <w:tcPr>
            <w:tcW w:w="972" w:type="pct"/>
          </w:tcPr>
          <w:p w14:paraId="0CAC88E1">
            <w:pPr>
              <w:widowControl w:val="0"/>
              <w:kinsoku w:val="0"/>
              <w:overflowPunct w:val="0"/>
              <w:autoSpaceDE w:val="0"/>
              <w:autoSpaceDN w:val="0"/>
              <w:adjustRightInd w:val="0"/>
              <w:snapToGrid w:val="0"/>
              <w:jc w:val="right"/>
            </w:pPr>
            <w:r>
              <w:rPr>
                <w:rFonts w:hint="eastAsia"/>
              </w:rPr>
              <w:t>19.82</w:t>
            </w:r>
          </w:p>
        </w:tc>
      </w:tr>
      <w:tr w14:paraId="7B04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032" w:type="pct"/>
          </w:tcPr>
          <w:p w14:paraId="2A56BACB">
            <w:pPr>
              <w:widowControl w:val="0"/>
              <w:kinsoku w:val="0"/>
              <w:overflowPunct w:val="0"/>
              <w:autoSpaceDE w:val="0"/>
              <w:autoSpaceDN w:val="0"/>
              <w:adjustRightInd w:val="0"/>
              <w:snapToGrid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归属于上市公司股东的净利润</w:t>
            </w:r>
          </w:p>
        </w:tc>
        <w:tc>
          <w:tcPr>
            <w:tcW w:w="1006" w:type="pct"/>
          </w:tcPr>
          <w:p w14:paraId="5C48C18E">
            <w:pPr>
              <w:widowControl w:val="0"/>
              <w:kinsoku w:val="0"/>
              <w:overflowPunct w:val="0"/>
              <w:autoSpaceDE w:val="0"/>
              <w:autoSpaceDN w:val="0"/>
              <w:adjustRightInd w:val="0"/>
              <w:snapToGrid w:val="0"/>
              <w:jc w:val="right"/>
            </w:pPr>
            <w:r>
              <w:t>29,978,804.61</w:t>
            </w:r>
          </w:p>
        </w:tc>
        <w:tc>
          <w:tcPr>
            <w:tcW w:w="990" w:type="pct"/>
          </w:tcPr>
          <w:p w14:paraId="6E364D2F">
            <w:pPr>
              <w:widowControl w:val="0"/>
              <w:kinsoku w:val="0"/>
              <w:overflowPunct w:val="0"/>
              <w:autoSpaceDE w:val="0"/>
              <w:autoSpaceDN w:val="0"/>
              <w:adjustRightInd w:val="0"/>
              <w:snapToGrid w:val="0"/>
              <w:jc w:val="right"/>
              <w:rPr>
                <w:bCs w:val="0"/>
              </w:rPr>
            </w:pPr>
            <w:r>
              <w:rPr>
                <w:bCs w:val="0"/>
              </w:rPr>
              <w:t>24,624,735.65</w:t>
            </w:r>
          </w:p>
        </w:tc>
        <w:tc>
          <w:tcPr>
            <w:tcW w:w="972" w:type="pct"/>
          </w:tcPr>
          <w:p w14:paraId="343BF3CB">
            <w:pPr>
              <w:widowControl w:val="0"/>
              <w:kinsoku w:val="0"/>
              <w:overflowPunct w:val="0"/>
              <w:autoSpaceDE w:val="0"/>
              <w:autoSpaceDN w:val="0"/>
              <w:adjustRightInd w:val="0"/>
              <w:snapToGrid w:val="0"/>
              <w:jc w:val="right"/>
            </w:pPr>
            <w:r>
              <w:rPr>
                <w:rFonts w:hint="eastAsia"/>
              </w:rPr>
              <w:t>21.74</w:t>
            </w:r>
          </w:p>
        </w:tc>
      </w:tr>
      <w:tr w14:paraId="4D7C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032" w:type="pct"/>
          </w:tcPr>
          <w:p w14:paraId="7795338B">
            <w:pPr>
              <w:widowControl w:val="0"/>
              <w:kinsoku w:val="0"/>
              <w:overflowPunct w:val="0"/>
              <w:autoSpaceDE w:val="0"/>
              <w:autoSpaceDN w:val="0"/>
              <w:adjustRightInd w:val="0"/>
              <w:snapToGrid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归属于上市公司股东的扣除非经常性损益的净利润</w:t>
            </w:r>
          </w:p>
        </w:tc>
        <w:tc>
          <w:tcPr>
            <w:tcW w:w="1006" w:type="pct"/>
          </w:tcPr>
          <w:p w14:paraId="31E7466C">
            <w:pPr>
              <w:widowControl w:val="0"/>
              <w:kinsoku w:val="0"/>
              <w:overflowPunct w:val="0"/>
              <w:autoSpaceDE w:val="0"/>
              <w:autoSpaceDN w:val="0"/>
              <w:adjustRightInd w:val="0"/>
              <w:snapToGrid w:val="0"/>
              <w:jc w:val="right"/>
            </w:pPr>
            <w:r>
              <w:t>17,185,899.08</w:t>
            </w:r>
          </w:p>
        </w:tc>
        <w:tc>
          <w:tcPr>
            <w:tcW w:w="990" w:type="pct"/>
          </w:tcPr>
          <w:p w14:paraId="10855882">
            <w:pPr>
              <w:widowControl w:val="0"/>
              <w:kinsoku w:val="0"/>
              <w:overflowPunct w:val="0"/>
              <w:autoSpaceDE w:val="0"/>
              <w:autoSpaceDN w:val="0"/>
              <w:adjustRightInd w:val="0"/>
              <w:snapToGrid w:val="0"/>
              <w:jc w:val="right"/>
              <w:rPr>
                <w:bCs w:val="0"/>
              </w:rPr>
            </w:pPr>
            <w:r>
              <w:rPr>
                <w:bCs w:val="0"/>
              </w:rPr>
              <w:t>19,449,264.72</w:t>
            </w:r>
          </w:p>
        </w:tc>
        <w:tc>
          <w:tcPr>
            <w:tcW w:w="972" w:type="pct"/>
          </w:tcPr>
          <w:p w14:paraId="66A11A56">
            <w:pPr>
              <w:widowControl w:val="0"/>
              <w:kinsoku w:val="0"/>
              <w:overflowPunct w:val="0"/>
              <w:autoSpaceDE w:val="0"/>
              <w:autoSpaceDN w:val="0"/>
              <w:adjustRightInd w:val="0"/>
              <w:snapToGrid w:val="0"/>
              <w:jc w:val="right"/>
            </w:pPr>
            <w:r>
              <w:rPr>
                <w:rFonts w:hint="eastAsia"/>
              </w:rPr>
              <w:t>-11.64</w:t>
            </w:r>
          </w:p>
        </w:tc>
      </w:tr>
      <w:tr w14:paraId="582B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032" w:type="pct"/>
          </w:tcPr>
          <w:p w14:paraId="34D8943E">
            <w:pPr>
              <w:widowControl w:val="0"/>
              <w:kinsoku w:val="0"/>
              <w:overflowPunct w:val="0"/>
              <w:autoSpaceDE w:val="0"/>
              <w:autoSpaceDN w:val="0"/>
              <w:adjustRightInd w:val="0"/>
              <w:snapToGrid w:val="0"/>
              <w:jc w:val="both"/>
              <w:rPr>
                <w:color w:val="000000" w:themeColor="text1"/>
                <w:highlight w:val="magenta"/>
                <w14:textFill>
                  <w14:solidFill>
                    <w14:schemeClr w14:val="tx1"/>
                  </w14:solidFill>
                </w14:textFill>
              </w:rPr>
            </w:pPr>
            <w:r>
              <w:rPr>
                <w:rFonts w:hint="eastAsia"/>
                <w:color w:val="000000" w:themeColor="text1"/>
                <w14:textFill>
                  <w14:solidFill>
                    <w14:schemeClr w14:val="tx1"/>
                  </w14:solidFill>
                </w14:textFill>
              </w:rPr>
              <w:t>经营活动产生的现金流量净额</w:t>
            </w:r>
          </w:p>
        </w:tc>
        <w:tc>
          <w:tcPr>
            <w:tcW w:w="1006" w:type="pct"/>
          </w:tcPr>
          <w:p w14:paraId="73BBEBA8">
            <w:pPr>
              <w:widowControl w:val="0"/>
              <w:kinsoku w:val="0"/>
              <w:overflowPunct w:val="0"/>
              <w:autoSpaceDE w:val="0"/>
              <w:autoSpaceDN w:val="0"/>
              <w:adjustRightInd w:val="0"/>
              <w:snapToGrid w:val="0"/>
              <w:jc w:val="right"/>
            </w:pPr>
            <w:r>
              <w:t>107,669,422.44</w:t>
            </w:r>
          </w:p>
        </w:tc>
        <w:tc>
          <w:tcPr>
            <w:tcW w:w="990" w:type="pct"/>
          </w:tcPr>
          <w:p w14:paraId="0B4C83C5">
            <w:pPr>
              <w:widowControl w:val="0"/>
              <w:kinsoku w:val="0"/>
              <w:overflowPunct w:val="0"/>
              <w:autoSpaceDE w:val="0"/>
              <w:autoSpaceDN w:val="0"/>
              <w:adjustRightInd w:val="0"/>
              <w:snapToGrid w:val="0"/>
              <w:jc w:val="right"/>
            </w:pPr>
            <w:r>
              <w:t>59,253,631.42</w:t>
            </w:r>
          </w:p>
        </w:tc>
        <w:tc>
          <w:tcPr>
            <w:tcW w:w="972" w:type="pct"/>
          </w:tcPr>
          <w:p w14:paraId="1167DA3C">
            <w:pPr>
              <w:widowControl w:val="0"/>
              <w:kinsoku w:val="0"/>
              <w:overflowPunct w:val="0"/>
              <w:autoSpaceDE w:val="0"/>
              <w:autoSpaceDN w:val="0"/>
              <w:adjustRightInd w:val="0"/>
              <w:snapToGrid w:val="0"/>
              <w:jc w:val="right"/>
            </w:pPr>
            <w:r>
              <w:rPr>
                <w:rFonts w:hint="eastAsia"/>
              </w:rPr>
              <w:t>81.71</w:t>
            </w:r>
          </w:p>
        </w:tc>
      </w:tr>
      <w:tr w14:paraId="74BC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032" w:type="pct"/>
            <w:vAlign w:val="center"/>
          </w:tcPr>
          <w:p w14:paraId="298C45A4">
            <w:pPr>
              <w:widowControl w:val="0"/>
              <w:kinsoku w:val="0"/>
              <w:overflowPunct w:val="0"/>
              <w:autoSpaceDE w:val="0"/>
              <w:autoSpaceDN w:val="0"/>
              <w:adjustRightInd w:val="0"/>
              <w:snapToGrid w:val="0"/>
              <w:jc w:val="center"/>
              <w:rPr>
                <w:color w:val="000000" w:themeColor="text1"/>
                <w14:textFill>
                  <w14:solidFill>
                    <w14:schemeClr w14:val="tx1"/>
                  </w14:solidFill>
                </w14:textFill>
              </w:rPr>
            </w:pPr>
          </w:p>
        </w:tc>
        <w:sdt>
          <w:sdtPr>
            <w:tag w:val="_PLD_b75e9aa554cc48539ab9de572d244f45"/>
            <w:id w:val="-560020903"/>
          </w:sdtPr>
          <w:sdtContent>
            <w:tc>
              <w:tcPr>
                <w:tcW w:w="1006" w:type="pct"/>
                <w:vAlign w:val="center"/>
              </w:tcPr>
              <w:p w14:paraId="05587F65">
                <w:pPr>
                  <w:widowControl w:val="0"/>
                  <w:kinsoku w:val="0"/>
                  <w:overflowPunct w:val="0"/>
                  <w:autoSpaceDE w:val="0"/>
                  <w:autoSpaceDN w:val="0"/>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本报告期末</w:t>
                </w:r>
              </w:p>
            </w:tc>
          </w:sdtContent>
        </w:sdt>
        <w:sdt>
          <w:sdtPr>
            <w:tag w:val="_PLD_7425b2bc6a39452296814978a781ba72"/>
            <w:id w:val="1049888816"/>
          </w:sdtPr>
          <w:sdtContent>
            <w:tc>
              <w:tcPr>
                <w:tcW w:w="990" w:type="pct"/>
                <w:vAlign w:val="center"/>
              </w:tcPr>
              <w:p w14:paraId="2F1BFEDD">
                <w:pPr>
                  <w:widowControl w:val="0"/>
                  <w:kinsoku w:val="0"/>
                  <w:overflowPunct w:val="0"/>
                  <w:autoSpaceDE w:val="0"/>
                  <w:autoSpaceDN w:val="0"/>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上年度末</w:t>
                </w:r>
              </w:p>
            </w:tc>
          </w:sdtContent>
        </w:sdt>
        <w:sdt>
          <w:sdtPr>
            <w:tag w:val="_PLD_7a1ba9a6d9b54e51bd320f47b6233184"/>
            <w:id w:val="1740443404"/>
          </w:sdtPr>
          <w:sdtContent>
            <w:tc>
              <w:tcPr>
                <w:tcW w:w="972" w:type="pct"/>
                <w:vAlign w:val="center"/>
              </w:tcPr>
              <w:p w14:paraId="600D2E76">
                <w:pPr>
                  <w:widowControl w:val="0"/>
                  <w:kinsoku w:val="0"/>
                  <w:overflowPunct w:val="0"/>
                  <w:autoSpaceDE w:val="0"/>
                  <w:autoSpaceDN w:val="0"/>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本报告期末比上年度末增减(%)</w:t>
                </w:r>
              </w:p>
            </w:tc>
          </w:sdtContent>
        </w:sdt>
      </w:tr>
      <w:tr w14:paraId="088D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032" w:type="pct"/>
          </w:tcPr>
          <w:p w14:paraId="797B80D9">
            <w:pPr>
              <w:widowControl w:val="0"/>
              <w:kinsoku w:val="0"/>
              <w:overflowPunct w:val="0"/>
              <w:autoSpaceDE w:val="0"/>
              <w:autoSpaceDN w:val="0"/>
              <w:adjustRightInd w:val="0"/>
              <w:snapToGrid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归属于上市公司股东的净资产</w:t>
            </w:r>
          </w:p>
        </w:tc>
        <w:tc>
          <w:tcPr>
            <w:tcW w:w="1006" w:type="pct"/>
          </w:tcPr>
          <w:p w14:paraId="120AF7DA">
            <w:pPr>
              <w:widowControl w:val="0"/>
              <w:kinsoku w:val="0"/>
              <w:overflowPunct w:val="0"/>
              <w:autoSpaceDE w:val="0"/>
              <w:autoSpaceDN w:val="0"/>
              <w:adjustRightInd w:val="0"/>
              <w:snapToGrid w:val="0"/>
              <w:jc w:val="right"/>
            </w:pPr>
            <w:r>
              <w:t>3,440,260,738.63</w:t>
            </w:r>
          </w:p>
        </w:tc>
        <w:tc>
          <w:tcPr>
            <w:tcW w:w="990" w:type="pct"/>
          </w:tcPr>
          <w:p w14:paraId="49D312C7">
            <w:pPr>
              <w:widowControl w:val="0"/>
              <w:kinsoku w:val="0"/>
              <w:overflowPunct w:val="0"/>
              <w:autoSpaceDE w:val="0"/>
              <w:autoSpaceDN w:val="0"/>
              <w:adjustRightInd w:val="0"/>
              <w:snapToGrid w:val="0"/>
              <w:jc w:val="right"/>
              <w:rPr>
                <w:bCs w:val="0"/>
              </w:rPr>
            </w:pPr>
            <w:r>
              <w:rPr>
                <w:bCs w:val="0"/>
              </w:rPr>
              <w:t>3,418,457,569.28</w:t>
            </w:r>
          </w:p>
        </w:tc>
        <w:tc>
          <w:tcPr>
            <w:tcW w:w="972" w:type="pct"/>
          </w:tcPr>
          <w:p w14:paraId="4184390E">
            <w:pPr>
              <w:widowControl w:val="0"/>
              <w:kinsoku w:val="0"/>
              <w:overflowPunct w:val="0"/>
              <w:autoSpaceDE w:val="0"/>
              <w:autoSpaceDN w:val="0"/>
              <w:adjustRightInd w:val="0"/>
              <w:snapToGrid w:val="0"/>
              <w:jc w:val="right"/>
            </w:pPr>
            <w:r>
              <w:rPr>
                <w:rFonts w:hint="eastAsia"/>
              </w:rPr>
              <w:t>0.64</w:t>
            </w:r>
          </w:p>
        </w:tc>
      </w:tr>
      <w:tr w14:paraId="758B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032" w:type="pct"/>
          </w:tcPr>
          <w:p w14:paraId="3CB2494E">
            <w:pPr>
              <w:widowControl w:val="0"/>
              <w:kinsoku w:val="0"/>
              <w:overflowPunct w:val="0"/>
              <w:autoSpaceDE w:val="0"/>
              <w:autoSpaceDN w:val="0"/>
              <w:adjustRightInd w:val="0"/>
              <w:snapToGrid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总资产</w:t>
            </w:r>
          </w:p>
        </w:tc>
        <w:tc>
          <w:tcPr>
            <w:tcW w:w="1006" w:type="pct"/>
          </w:tcPr>
          <w:p w14:paraId="1EB3122D">
            <w:pPr>
              <w:widowControl w:val="0"/>
              <w:kinsoku w:val="0"/>
              <w:overflowPunct w:val="0"/>
              <w:autoSpaceDE w:val="0"/>
              <w:autoSpaceDN w:val="0"/>
              <w:adjustRightInd w:val="0"/>
              <w:snapToGrid w:val="0"/>
              <w:jc w:val="right"/>
            </w:pPr>
            <w:r>
              <w:t>6,796,362,721.05</w:t>
            </w:r>
          </w:p>
        </w:tc>
        <w:tc>
          <w:tcPr>
            <w:tcW w:w="990" w:type="pct"/>
          </w:tcPr>
          <w:p w14:paraId="56CCFDD8">
            <w:pPr>
              <w:widowControl w:val="0"/>
              <w:kinsoku w:val="0"/>
              <w:overflowPunct w:val="0"/>
              <w:autoSpaceDE w:val="0"/>
              <w:autoSpaceDN w:val="0"/>
              <w:adjustRightInd w:val="0"/>
              <w:snapToGrid w:val="0"/>
              <w:jc w:val="right"/>
              <w:rPr>
                <w:bCs w:val="0"/>
              </w:rPr>
            </w:pPr>
            <w:r>
              <w:rPr>
                <w:bCs w:val="0"/>
              </w:rPr>
              <w:t>7,069,540,553.64</w:t>
            </w:r>
          </w:p>
        </w:tc>
        <w:tc>
          <w:tcPr>
            <w:tcW w:w="972" w:type="pct"/>
          </w:tcPr>
          <w:p w14:paraId="11333BD6">
            <w:pPr>
              <w:widowControl w:val="0"/>
              <w:kinsoku w:val="0"/>
              <w:overflowPunct w:val="0"/>
              <w:autoSpaceDE w:val="0"/>
              <w:autoSpaceDN w:val="0"/>
              <w:adjustRightInd w:val="0"/>
              <w:snapToGrid w:val="0"/>
              <w:jc w:val="right"/>
            </w:pPr>
            <w:r>
              <w:rPr>
                <w:rFonts w:hint="eastAsia"/>
              </w:rPr>
              <w:t>-3.86</w:t>
            </w:r>
          </w:p>
        </w:tc>
      </w:tr>
    </w:tbl>
    <w:p w14:paraId="78E07431">
      <w:pPr>
        <w:rPr>
          <w:color w:val="000000" w:themeColor="text1"/>
          <w14:textFill>
            <w14:solidFill>
              <w14:schemeClr w14:val="tx1"/>
            </w14:solidFill>
          </w14:textFill>
        </w:rPr>
      </w:pPr>
    </w:p>
    <w:bookmarkEnd w:id="18"/>
    <w:p w14:paraId="55D681FF">
      <w:pPr>
        <w:pStyle w:val="4"/>
        <w:numPr>
          <w:ilvl w:val="1"/>
          <w:numId w:val="4"/>
        </w:numPr>
        <w:rPr>
          <w:rFonts w:hint="eastAsia" w:ascii="宋体" w:hAnsi="宋体"/>
          <w:color w:val="000000" w:themeColor="text1"/>
          <w:szCs w:val="21"/>
          <w14:textFill>
            <w14:solidFill>
              <w14:schemeClr w14:val="tx1"/>
            </w14:solidFill>
          </w14:textFill>
        </w:rPr>
      </w:pPr>
      <w:r>
        <w:rPr>
          <w:rFonts w:ascii="宋体" w:hAnsi="宋体"/>
          <w:color w:val="000000" w:themeColor="text1"/>
          <w14:textFill>
            <w14:solidFill>
              <w14:schemeClr w14:val="tx1"/>
            </w14:solidFill>
          </w14:textFill>
        </w:rPr>
        <w:t>主要财务指标</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6"/>
        <w:gridCol w:w="1659"/>
        <w:gridCol w:w="1809"/>
        <w:gridCol w:w="1809"/>
      </w:tblGrid>
      <w:tr w14:paraId="49ED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b12e929543994adfbc7a21fe743cd125"/>
            <w:id w:val="-2030095842"/>
          </w:sdtPr>
          <w:sdtContent>
            <w:tc>
              <w:tcPr>
                <w:tcW w:w="3546" w:type="dxa"/>
                <w:vAlign w:val="center"/>
              </w:tcPr>
              <w:p w14:paraId="2145F9C4">
                <w:pPr>
                  <w:widowControl w:val="0"/>
                  <w:kinsoku w:val="0"/>
                  <w:overflowPunct w:val="0"/>
                  <w:autoSpaceDE w:val="0"/>
                  <w:autoSpaceDN w:val="0"/>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主要财务指标</w:t>
                </w:r>
              </w:p>
            </w:tc>
          </w:sdtContent>
        </w:sdt>
        <w:sdt>
          <w:sdtPr>
            <w:tag w:val="_PLD_d04f89449ff14c5fa39e871117b7e9e2"/>
            <w:id w:val="-115522159"/>
          </w:sdtPr>
          <w:sdtContent>
            <w:tc>
              <w:tcPr>
                <w:tcW w:w="1659" w:type="dxa"/>
                <w:vAlign w:val="center"/>
              </w:tcPr>
              <w:p w14:paraId="148B9DC9">
                <w:pPr>
                  <w:widowControl w:val="0"/>
                  <w:kinsoku w:val="0"/>
                  <w:overflowPunct w:val="0"/>
                  <w:autoSpaceDE w:val="0"/>
                  <w:autoSpaceDN w:val="0"/>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本报告期</w:t>
                </w:r>
              </w:p>
              <w:p w14:paraId="4B30E9BB">
                <w:pPr>
                  <w:widowControl w:val="0"/>
                  <w:kinsoku w:val="0"/>
                  <w:overflowPunct w:val="0"/>
                  <w:autoSpaceDE w:val="0"/>
                  <w:autoSpaceDN w:val="0"/>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（1－6月）</w:t>
                </w:r>
              </w:p>
            </w:tc>
          </w:sdtContent>
        </w:sdt>
        <w:sdt>
          <w:sdtPr>
            <w:tag w:val="_PLD_bdb91a2a58254a0e945eecc5aef91521"/>
            <w:id w:val="661043930"/>
          </w:sdtPr>
          <w:sdtContent>
            <w:tc>
              <w:tcPr>
                <w:tcW w:w="1809" w:type="dxa"/>
                <w:vAlign w:val="center"/>
              </w:tcPr>
              <w:p w14:paraId="2E83903D">
                <w:pPr>
                  <w:widowControl w:val="0"/>
                  <w:kinsoku w:val="0"/>
                  <w:overflowPunct w:val="0"/>
                  <w:autoSpaceDE w:val="0"/>
                  <w:autoSpaceDN w:val="0"/>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上年同期</w:t>
                </w:r>
              </w:p>
            </w:tc>
          </w:sdtContent>
        </w:sdt>
        <w:sdt>
          <w:sdtPr>
            <w:tag w:val="_PLD_08306889e5b040aa83784b3f6db386f1"/>
            <w:id w:val="-1450855208"/>
          </w:sdtPr>
          <w:sdtContent>
            <w:tc>
              <w:tcPr>
                <w:tcW w:w="1809" w:type="dxa"/>
                <w:vAlign w:val="center"/>
              </w:tcPr>
              <w:p w14:paraId="08413DD2">
                <w:pPr>
                  <w:widowControl w:val="0"/>
                  <w:kinsoku w:val="0"/>
                  <w:overflowPunct w:val="0"/>
                  <w:autoSpaceDE w:val="0"/>
                  <w:autoSpaceDN w:val="0"/>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本报告期比上年同期增减(%)</w:t>
                </w:r>
              </w:p>
            </w:tc>
          </w:sdtContent>
        </w:sdt>
      </w:tr>
      <w:tr w14:paraId="3611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6" w:type="dxa"/>
          </w:tcPr>
          <w:p w14:paraId="2E47727E">
            <w:pPr>
              <w:widowControl w:val="0"/>
              <w:kinsoku w:val="0"/>
              <w:overflowPunct w:val="0"/>
              <w:autoSpaceDE w:val="0"/>
              <w:autoSpaceDN w:val="0"/>
              <w:adjustRightInd w:val="0"/>
              <w:snapToGrid w:val="0"/>
              <w:jc w:val="both"/>
              <w:rPr>
                <w:color w:val="000000" w:themeColor="text1"/>
                <w14:textFill>
                  <w14:solidFill>
                    <w14:schemeClr w14:val="tx1"/>
                  </w14:solidFill>
                </w14:textFill>
              </w:rPr>
            </w:pPr>
            <w:r>
              <w:rPr>
                <w:color w:val="000000" w:themeColor="text1"/>
                <w14:textFill>
                  <w14:solidFill>
                    <w14:schemeClr w14:val="tx1"/>
                  </w14:solidFill>
                </w14:textFill>
              </w:rPr>
              <w:t>基本每股收益（元／股）</w:t>
            </w:r>
          </w:p>
        </w:tc>
        <w:tc>
          <w:tcPr>
            <w:tcW w:w="1659" w:type="dxa"/>
          </w:tcPr>
          <w:p w14:paraId="060015CE">
            <w:pPr>
              <w:widowControl w:val="0"/>
              <w:kinsoku w:val="0"/>
              <w:overflowPunct w:val="0"/>
              <w:autoSpaceDE w:val="0"/>
              <w:autoSpaceDN w:val="0"/>
              <w:adjustRightInd w:val="0"/>
              <w:snapToGrid w:val="0"/>
              <w:jc w:val="right"/>
            </w:pPr>
            <w:r>
              <w:rPr>
                <w:rFonts w:hint="eastAsia"/>
              </w:rPr>
              <w:t>0.0205</w:t>
            </w:r>
          </w:p>
        </w:tc>
        <w:tc>
          <w:tcPr>
            <w:tcW w:w="1809" w:type="dxa"/>
          </w:tcPr>
          <w:p w14:paraId="4C5144FF">
            <w:pPr>
              <w:widowControl w:val="0"/>
              <w:kinsoku w:val="0"/>
              <w:overflowPunct w:val="0"/>
              <w:autoSpaceDE w:val="0"/>
              <w:autoSpaceDN w:val="0"/>
              <w:adjustRightInd w:val="0"/>
              <w:snapToGrid w:val="0"/>
              <w:jc w:val="right"/>
            </w:pPr>
            <w:r>
              <w:rPr>
                <w:rFonts w:hint="eastAsia"/>
              </w:rPr>
              <w:t>0.0169</w:t>
            </w:r>
          </w:p>
        </w:tc>
        <w:tc>
          <w:tcPr>
            <w:tcW w:w="1809" w:type="dxa"/>
          </w:tcPr>
          <w:p w14:paraId="64D0B736">
            <w:pPr>
              <w:widowControl w:val="0"/>
              <w:kinsoku w:val="0"/>
              <w:overflowPunct w:val="0"/>
              <w:autoSpaceDE w:val="0"/>
              <w:autoSpaceDN w:val="0"/>
              <w:adjustRightInd w:val="0"/>
              <w:snapToGrid w:val="0"/>
              <w:jc w:val="right"/>
            </w:pPr>
            <w:r>
              <w:rPr>
                <w:rFonts w:hint="eastAsia"/>
              </w:rPr>
              <w:t>21.30</w:t>
            </w:r>
          </w:p>
        </w:tc>
      </w:tr>
      <w:tr w14:paraId="55E2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6" w:type="dxa"/>
          </w:tcPr>
          <w:p w14:paraId="5923AC04">
            <w:pPr>
              <w:widowControl w:val="0"/>
              <w:kinsoku w:val="0"/>
              <w:overflowPunct w:val="0"/>
              <w:autoSpaceDE w:val="0"/>
              <w:autoSpaceDN w:val="0"/>
              <w:adjustRightInd w:val="0"/>
              <w:snapToGrid w:val="0"/>
              <w:jc w:val="both"/>
              <w:rPr>
                <w:color w:val="000000" w:themeColor="text1"/>
                <w14:textFill>
                  <w14:solidFill>
                    <w14:schemeClr w14:val="tx1"/>
                  </w14:solidFill>
                </w14:textFill>
              </w:rPr>
            </w:pPr>
            <w:r>
              <w:rPr>
                <w:color w:val="000000" w:themeColor="text1"/>
                <w14:textFill>
                  <w14:solidFill>
                    <w14:schemeClr w14:val="tx1"/>
                  </w14:solidFill>
                </w14:textFill>
              </w:rPr>
              <w:t>稀释每股收益（元／股）</w:t>
            </w:r>
          </w:p>
        </w:tc>
        <w:tc>
          <w:tcPr>
            <w:tcW w:w="1659" w:type="dxa"/>
          </w:tcPr>
          <w:p w14:paraId="488AEE18">
            <w:pPr>
              <w:widowControl w:val="0"/>
              <w:kinsoku w:val="0"/>
              <w:overflowPunct w:val="0"/>
              <w:autoSpaceDE w:val="0"/>
              <w:autoSpaceDN w:val="0"/>
              <w:adjustRightInd w:val="0"/>
              <w:snapToGrid w:val="0"/>
              <w:jc w:val="right"/>
            </w:pPr>
            <w:r>
              <w:rPr>
                <w:rFonts w:hint="eastAsia"/>
              </w:rPr>
              <w:t>0.0205</w:t>
            </w:r>
          </w:p>
        </w:tc>
        <w:tc>
          <w:tcPr>
            <w:tcW w:w="1809" w:type="dxa"/>
          </w:tcPr>
          <w:p w14:paraId="14DCE3FD">
            <w:pPr>
              <w:widowControl w:val="0"/>
              <w:kinsoku w:val="0"/>
              <w:overflowPunct w:val="0"/>
              <w:autoSpaceDE w:val="0"/>
              <w:autoSpaceDN w:val="0"/>
              <w:adjustRightInd w:val="0"/>
              <w:snapToGrid w:val="0"/>
              <w:jc w:val="right"/>
            </w:pPr>
            <w:r>
              <w:rPr>
                <w:rFonts w:hint="eastAsia"/>
              </w:rPr>
              <w:t>0.0169</w:t>
            </w:r>
          </w:p>
        </w:tc>
        <w:tc>
          <w:tcPr>
            <w:tcW w:w="1809" w:type="dxa"/>
          </w:tcPr>
          <w:p w14:paraId="79232F82">
            <w:pPr>
              <w:widowControl w:val="0"/>
              <w:kinsoku w:val="0"/>
              <w:overflowPunct w:val="0"/>
              <w:autoSpaceDE w:val="0"/>
              <w:autoSpaceDN w:val="0"/>
              <w:adjustRightInd w:val="0"/>
              <w:snapToGrid w:val="0"/>
              <w:jc w:val="right"/>
            </w:pPr>
            <w:r>
              <w:rPr>
                <w:rFonts w:hint="eastAsia"/>
              </w:rPr>
              <w:t>21.30</w:t>
            </w:r>
          </w:p>
        </w:tc>
      </w:tr>
      <w:tr w14:paraId="64240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6" w:type="dxa"/>
          </w:tcPr>
          <w:p w14:paraId="6CDB6206">
            <w:pPr>
              <w:widowControl w:val="0"/>
              <w:kinsoku w:val="0"/>
              <w:overflowPunct w:val="0"/>
              <w:autoSpaceDE w:val="0"/>
              <w:autoSpaceDN w:val="0"/>
              <w:adjustRightInd w:val="0"/>
              <w:snapToGrid w:val="0"/>
              <w:jc w:val="both"/>
              <w:rPr>
                <w:color w:val="000000" w:themeColor="text1"/>
                <w14:textFill>
                  <w14:solidFill>
                    <w14:schemeClr w14:val="tx1"/>
                  </w14:solidFill>
                </w14:textFill>
              </w:rPr>
            </w:pPr>
            <w:r>
              <w:rPr>
                <w:color w:val="000000" w:themeColor="text1"/>
                <w14:textFill>
                  <w14:solidFill>
                    <w14:schemeClr w14:val="tx1"/>
                  </w14:solidFill>
                </w14:textFill>
              </w:rPr>
              <w:t>扣除非经常性损益后的基本每股收益（元／股）</w:t>
            </w:r>
          </w:p>
        </w:tc>
        <w:tc>
          <w:tcPr>
            <w:tcW w:w="1659" w:type="dxa"/>
          </w:tcPr>
          <w:p w14:paraId="374C62F0">
            <w:pPr>
              <w:widowControl w:val="0"/>
              <w:kinsoku w:val="0"/>
              <w:overflowPunct w:val="0"/>
              <w:autoSpaceDE w:val="0"/>
              <w:autoSpaceDN w:val="0"/>
              <w:adjustRightInd w:val="0"/>
              <w:snapToGrid w:val="0"/>
              <w:jc w:val="right"/>
            </w:pPr>
            <w:r>
              <w:rPr>
                <w:rFonts w:hint="eastAsia"/>
              </w:rPr>
              <w:t>0.0118</w:t>
            </w:r>
          </w:p>
        </w:tc>
        <w:tc>
          <w:tcPr>
            <w:tcW w:w="1809" w:type="dxa"/>
          </w:tcPr>
          <w:p w14:paraId="087C5441">
            <w:pPr>
              <w:widowControl w:val="0"/>
              <w:kinsoku w:val="0"/>
              <w:overflowPunct w:val="0"/>
              <w:autoSpaceDE w:val="0"/>
              <w:autoSpaceDN w:val="0"/>
              <w:adjustRightInd w:val="0"/>
              <w:snapToGrid w:val="0"/>
              <w:jc w:val="right"/>
            </w:pPr>
            <w:r>
              <w:rPr>
                <w:rFonts w:hint="eastAsia"/>
              </w:rPr>
              <w:t>0.0133</w:t>
            </w:r>
          </w:p>
        </w:tc>
        <w:tc>
          <w:tcPr>
            <w:tcW w:w="1809" w:type="dxa"/>
          </w:tcPr>
          <w:p w14:paraId="24B8E488">
            <w:pPr>
              <w:widowControl w:val="0"/>
              <w:kinsoku w:val="0"/>
              <w:overflowPunct w:val="0"/>
              <w:autoSpaceDE w:val="0"/>
              <w:autoSpaceDN w:val="0"/>
              <w:adjustRightInd w:val="0"/>
              <w:snapToGrid w:val="0"/>
              <w:jc w:val="right"/>
            </w:pPr>
            <w:r>
              <w:rPr>
                <w:rFonts w:hint="eastAsia"/>
              </w:rPr>
              <w:t>-11.28</w:t>
            </w:r>
          </w:p>
        </w:tc>
      </w:tr>
      <w:tr w14:paraId="710E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6" w:type="dxa"/>
          </w:tcPr>
          <w:p w14:paraId="545E8D18">
            <w:pPr>
              <w:widowControl w:val="0"/>
              <w:kinsoku w:val="0"/>
              <w:overflowPunct w:val="0"/>
              <w:autoSpaceDE w:val="0"/>
              <w:autoSpaceDN w:val="0"/>
              <w:adjustRightInd w:val="0"/>
              <w:snapToGrid w:val="0"/>
              <w:jc w:val="both"/>
              <w:rPr>
                <w:color w:val="000000" w:themeColor="text1"/>
                <w14:textFill>
                  <w14:solidFill>
                    <w14:schemeClr w14:val="tx1"/>
                  </w14:solidFill>
                </w14:textFill>
              </w:rPr>
            </w:pPr>
            <w:r>
              <w:rPr>
                <w:color w:val="000000" w:themeColor="text1"/>
                <w14:textFill>
                  <w14:solidFill>
                    <w14:schemeClr w14:val="tx1"/>
                  </w14:solidFill>
                </w14:textFill>
              </w:rPr>
              <w:t>加权平均净资产收益率（%）</w:t>
            </w:r>
          </w:p>
        </w:tc>
        <w:tc>
          <w:tcPr>
            <w:tcW w:w="1659" w:type="dxa"/>
          </w:tcPr>
          <w:p w14:paraId="4A57C03D">
            <w:pPr>
              <w:widowControl w:val="0"/>
              <w:kinsoku w:val="0"/>
              <w:overflowPunct w:val="0"/>
              <w:autoSpaceDE w:val="0"/>
              <w:autoSpaceDN w:val="0"/>
              <w:adjustRightInd w:val="0"/>
              <w:snapToGrid w:val="0"/>
              <w:jc w:val="right"/>
            </w:pPr>
            <w:r>
              <w:rPr>
                <w:rFonts w:hint="eastAsia"/>
              </w:rPr>
              <w:t>0.87</w:t>
            </w:r>
          </w:p>
        </w:tc>
        <w:tc>
          <w:tcPr>
            <w:tcW w:w="1809" w:type="dxa"/>
          </w:tcPr>
          <w:p w14:paraId="2376BAEE">
            <w:pPr>
              <w:widowControl w:val="0"/>
              <w:kinsoku w:val="0"/>
              <w:overflowPunct w:val="0"/>
              <w:autoSpaceDE w:val="0"/>
              <w:autoSpaceDN w:val="0"/>
              <w:adjustRightInd w:val="0"/>
              <w:snapToGrid w:val="0"/>
              <w:jc w:val="right"/>
            </w:pPr>
            <w:r>
              <w:rPr>
                <w:rFonts w:hint="eastAsia"/>
              </w:rPr>
              <w:t>0.75</w:t>
            </w:r>
          </w:p>
        </w:tc>
        <w:tc>
          <w:tcPr>
            <w:tcW w:w="1809" w:type="dxa"/>
          </w:tcPr>
          <w:p w14:paraId="1CEDFCFA">
            <w:pPr>
              <w:widowControl w:val="0"/>
              <w:kinsoku w:val="0"/>
              <w:overflowPunct w:val="0"/>
              <w:autoSpaceDE w:val="0"/>
              <w:autoSpaceDN w:val="0"/>
              <w:adjustRightInd w:val="0"/>
              <w:snapToGrid w:val="0"/>
              <w:jc w:val="right"/>
            </w:pPr>
            <w:r>
              <w:rPr>
                <w:rFonts w:hint="eastAsia"/>
              </w:rPr>
              <w:t>增加0.12个百分点</w:t>
            </w:r>
          </w:p>
        </w:tc>
      </w:tr>
      <w:tr w14:paraId="6519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6" w:type="dxa"/>
          </w:tcPr>
          <w:p w14:paraId="5EB61949">
            <w:pPr>
              <w:widowControl w:val="0"/>
              <w:kinsoku w:val="0"/>
              <w:overflowPunct w:val="0"/>
              <w:autoSpaceDE w:val="0"/>
              <w:autoSpaceDN w:val="0"/>
              <w:adjustRightInd w:val="0"/>
              <w:snapToGrid w:val="0"/>
              <w:jc w:val="both"/>
              <w:rPr>
                <w:color w:val="000000" w:themeColor="text1"/>
                <w14:textFill>
                  <w14:solidFill>
                    <w14:schemeClr w14:val="tx1"/>
                  </w14:solidFill>
                </w14:textFill>
              </w:rPr>
            </w:pPr>
            <w:r>
              <w:rPr>
                <w:color w:val="000000" w:themeColor="text1"/>
                <w14:textFill>
                  <w14:solidFill>
                    <w14:schemeClr w14:val="tx1"/>
                  </w14:solidFill>
                </w14:textFill>
              </w:rPr>
              <w:t>扣除非经常性损益后的加权平均净资产收益率（%）</w:t>
            </w:r>
          </w:p>
        </w:tc>
        <w:tc>
          <w:tcPr>
            <w:tcW w:w="1659" w:type="dxa"/>
          </w:tcPr>
          <w:p w14:paraId="0AF4EEA6">
            <w:pPr>
              <w:widowControl w:val="0"/>
              <w:kinsoku w:val="0"/>
              <w:overflowPunct w:val="0"/>
              <w:autoSpaceDE w:val="0"/>
              <w:autoSpaceDN w:val="0"/>
              <w:adjustRightInd w:val="0"/>
              <w:snapToGrid w:val="0"/>
              <w:jc w:val="right"/>
            </w:pPr>
            <w:r>
              <w:rPr>
                <w:rFonts w:hint="eastAsia"/>
              </w:rPr>
              <w:t>0.50</w:t>
            </w:r>
          </w:p>
        </w:tc>
        <w:tc>
          <w:tcPr>
            <w:tcW w:w="1809" w:type="dxa"/>
          </w:tcPr>
          <w:p w14:paraId="717403B5">
            <w:pPr>
              <w:widowControl w:val="0"/>
              <w:kinsoku w:val="0"/>
              <w:overflowPunct w:val="0"/>
              <w:autoSpaceDE w:val="0"/>
              <w:autoSpaceDN w:val="0"/>
              <w:adjustRightInd w:val="0"/>
              <w:snapToGrid w:val="0"/>
              <w:jc w:val="right"/>
            </w:pPr>
            <w:r>
              <w:rPr>
                <w:rFonts w:hint="eastAsia"/>
              </w:rPr>
              <w:t>0.57</w:t>
            </w:r>
          </w:p>
        </w:tc>
        <w:tc>
          <w:tcPr>
            <w:tcW w:w="1809" w:type="dxa"/>
          </w:tcPr>
          <w:p w14:paraId="0ABF39CF">
            <w:pPr>
              <w:widowControl w:val="0"/>
              <w:kinsoku w:val="0"/>
              <w:overflowPunct w:val="0"/>
              <w:autoSpaceDE w:val="0"/>
              <w:autoSpaceDN w:val="0"/>
              <w:adjustRightInd w:val="0"/>
              <w:snapToGrid w:val="0"/>
              <w:jc w:val="right"/>
            </w:pPr>
            <w:r>
              <w:rPr>
                <w:rFonts w:hint="eastAsia"/>
              </w:rPr>
              <w:t>减少0.07个百分点</w:t>
            </w:r>
          </w:p>
        </w:tc>
      </w:tr>
    </w:tbl>
    <w:p w14:paraId="19CB2BF5">
      <w:pPr>
        <w:rPr>
          <w:color w:val="000000" w:themeColor="text1"/>
          <w14:textFill>
            <w14:solidFill>
              <w14:schemeClr w14:val="tx1"/>
            </w14:solidFill>
          </w14:textFill>
        </w:rPr>
      </w:pPr>
    </w:p>
    <w:p w14:paraId="226207FC">
      <w:pPr>
        <w:rPr>
          <w:color w:val="000000" w:themeColor="text1"/>
          <w14:textFill>
            <w14:solidFill>
              <w14:schemeClr w14:val="tx1"/>
            </w14:solidFill>
          </w14:textFill>
        </w:rPr>
      </w:pPr>
      <w:bookmarkStart w:id="19" w:name="_Toc342056398"/>
      <w:bookmarkStart w:id="20" w:name="_Toc342565890"/>
      <w:r>
        <w:rPr>
          <w:color w:val="000000" w:themeColor="text1"/>
          <w14:textFill>
            <w14:solidFill>
              <w14:schemeClr w14:val="tx1"/>
            </w14:solidFill>
          </w14:textFill>
        </w:rPr>
        <w:t>公司主要会计数据和财务指标的说明</w:t>
      </w:r>
    </w:p>
    <w:sdt>
      <w:sdtPr>
        <w:rPr>
          <w:color w:val="000000" w:themeColor="text1"/>
          <w14:textFill>
            <w14:solidFill>
              <w14:schemeClr w14:val="tx1"/>
            </w14:solidFill>
          </w14:textFill>
        </w:rPr>
        <w:alias w:val="是否适用：公司主要会计数据和财务指标的说明[双击切换]"/>
        <w:tag w:val="_GBC_cfe99dae5f804f6f8f02eb429483f98a"/>
        <w:id w:val="667526400"/>
        <w:placeholder>
          <w:docPart w:val="GBC22222222222222222222222222222"/>
        </w:placeholder>
      </w:sdtPr>
      <w:sdtEndPr>
        <w:rPr>
          <w:color w:val="000000" w:themeColor="text1"/>
          <w14:textFill>
            <w14:solidFill>
              <w14:schemeClr w14:val="tx1"/>
            </w14:solidFill>
          </w14:textFill>
        </w:rPr>
      </w:sdtEndPr>
      <w:sdtContent>
        <w:p w14:paraId="25D907F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公司主要会计数据和财务指标的说明"/>
        <w:tag w:val="_GBC_97608ceee0dd4babbeaf5daeb2216ce1"/>
        <w:id w:val="1596286074"/>
        <w:placeholder>
          <w:docPart w:val="GBC22222222222222222222222222222"/>
        </w:placeholder>
      </w:sdtPr>
      <w:sdtEndPr>
        <w:rPr>
          <w:rFonts w:hint="eastAsia"/>
          <w:color w:val="000000" w:themeColor="text1"/>
          <w14:textFill>
            <w14:solidFill>
              <w14:schemeClr w14:val="tx1"/>
            </w14:solidFill>
          </w14:textFill>
        </w:rPr>
      </w:sdtEndPr>
      <w:sdtContent>
        <w:p w14:paraId="24E1D33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归属于上市公司股东的扣除非经常性损益的净利润本报告期比上年同期降低11.64%，主要系本期营业收入同比增长 12.99%，增量主要来自海参制品营业收入同比增加 10,710.91 万元；但受市场行情影响，相关产品售价大幅下跌，对应利润同比减少 724.06 万元，最终导致归属于上市公司股东的扣除非经常性损益净利润同比下降。非经常性损益方面，控股子公司山东好当家海洋捕捞有限公司本期收到政策补贴 1,388.82 万元，较上年同期增加 1,331.69 万元。</w:t>
          </w:r>
        </w:p>
        <w:p w14:paraId="2A1DA7C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经营活动产生的现金流量净额</w:t>
          </w:r>
          <w:bookmarkStart w:id="21" w:name="OLE_LINK21"/>
          <w:r>
            <w:rPr>
              <w:rFonts w:hint="eastAsia"/>
              <w:color w:val="000000" w:themeColor="text1"/>
              <w14:textFill>
                <w14:solidFill>
                  <w14:schemeClr w14:val="tx1"/>
                </w14:solidFill>
              </w14:textFill>
            </w:rPr>
            <w:t>本报告期比上年同期增加</w:t>
          </w:r>
          <w:bookmarkEnd w:id="21"/>
          <w:r>
            <w:rPr>
              <w:rFonts w:hint="eastAsia"/>
              <w:color w:val="000000" w:themeColor="text1"/>
              <w14:textFill>
                <w14:solidFill>
                  <w14:schemeClr w14:val="tx1"/>
                </w14:solidFill>
              </w14:textFill>
            </w:rPr>
            <w:t>81.71%，主要系报告期内收到的其他与经营活动有关的现金：公司控股子公司-山东好当家海洋捕捞有限公司收到</w:t>
          </w:r>
          <w:r>
            <w:rPr>
              <w:rFonts w:hint="eastAsia"/>
              <w:color w:val="000000" w:themeColor="text1"/>
              <w:lang w:val="en-US" w:eastAsia="zh-CN"/>
              <w14:textFill>
                <w14:solidFill>
                  <w14:schemeClr w14:val="tx1"/>
                </w14:solidFill>
              </w14:textFill>
            </w:rPr>
            <w:t>政策</w:t>
          </w:r>
          <w:bookmarkStart w:id="515" w:name="_GoBack"/>
          <w:bookmarkEnd w:id="515"/>
          <w:r>
            <w:rPr>
              <w:rFonts w:hint="eastAsia"/>
              <w:color w:val="000000" w:themeColor="text1"/>
              <w14:textFill>
                <w14:solidFill>
                  <w14:schemeClr w14:val="tx1"/>
                </w14:solidFill>
              </w14:textFill>
            </w:rPr>
            <w:t>补贴1,388.82万元所致；</w:t>
          </w:r>
          <w:r>
            <w:rPr>
              <w:color w:val="000000" w:themeColor="text1"/>
              <w14:textFill>
                <w14:solidFill>
                  <w14:schemeClr w14:val="tx1"/>
                </w14:solidFill>
              </w14:textFill>
            </w:rPr>
            <w:t xml:space="preserve"> </w:t>
          </w:r>
        </w:p>
      </w:sdtContent>
    </w:sdt>
    <w:p w14:paraId="147DB5BD">
      <w:pPr>
        <w:rPr>
          <w:color w:val="000000" w:themeColor="text1"/>
          <w14:textFill>
            <w14:solidFill>
              <w14:schemeClr w14:val="tx1"/>
            </w14:solidFill>
          </w14:textFill>
        </w:rPr>
      </w:pPr>
    </w:p>
    <w:p w14:paraId="35B1D5D3">
      <w:pPr>
        <w:pStyle w:val="3"/>
        <w:numPr>
          <w:ilvl w:val="0"/>
          <w:numId w:val="3"/>
        </w:numPr>
        <w:ind w:left="0"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境内外会计准则下会计数据差异</w:t>
      </w:r>
      <w:bookmarkEnd w:id="19"/>
      <w:bookmarkEnd w:id="20"/>
    </w:p>
    <w:sdt>
      <w:sdtPr>
        <w:rPr>
          <w:color w:val="000000" w:themeColor="text1"/>
          <w14:textFill>
            <w14:solidFill>
              <w14:schemeClr w14:val="tx1"/>
            </w14:solidFill>
          </w14:textFill>
        </w:rPr>
        <w:alias w:val="是否适用：境内外会计准则下会计数据差异[双击切换]"/>
        <w:tag w:val="_GBC_bdabc18d82504a7696c49b78e67b7ce4"/>
        <w:id w:val="-485247847"/>
        <w:placeholder>
          <w:docPart w:val="GBC22222222222222222222222222222"/>
        </w:placeholder>
      </w:sdtPr>
      <w:sdtEndPr>
        <w:rPr>
          <w:color w:val="000000" w:themeColor="text1"/>
          <w14:textFill>
            <w14:solidFill>
              <w14:schemeClr w14:val="tx1"/>
            </w14:solidFill>
          </w14:textFill>
        </w:rPr>
      </w:sdtEndPr>
      <w:sdtContent>
        <w:p w14:paraId="0264C20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E74D0EC">
      <w:pPr>
        <w:rPr>
          <w:color w:val="000000" w:themeColor="text1"/>
          <w14:textFill>
            <w14:solidFill>
              <w14:schemeClr w14:val="tx1"/>
            </w14:solidFill>
          </w14:textFill>
        </w:rPr>
      </w:pPr>
    </w:p>
    <w:p w14:paraId="127FDF08">
      <w:pPr>
        <w:rPr>
          <w:color w:val="000000" w:themeColor="text1"/>
          <w14:textFill>
            <w14:solidFill>
              <w14:schemeClr w14:val="tx1"/>
            </w14:solidFill>
          </w14:textFill>
        </w:rPr>
      </w:pPr>
    </w:p>
    <w:p w14:paraId="4E9BF2AC">
      <w:pPr>
        <w:pStyle w:val="3"/>
        <w:numPr>
          <w:ilvl w:val="0"/>
          <w:numId w:val="3"/>
        </w:numPr>
        <w:ind w:left="0" w:firstLine="0"/>
        <w:rPr>
          <w:color w:val="000000" w:themeColor="text1"/>
          <w14:textFill>
            <w14:solidFill>
              <w14:schemeClr w14:val="tx1"/>
            </w14:solidFill>
          </w14:textFill>
        </w:rPr>
      </w:pPr>
      <w:bookmarkStart w:id="22" w:name="_Hlk24640273"/>
      <w:bookmarkEnd w:id="22"/>
      <w:bookmarkStart w:id="23" w:name="_Hlk167796974"/>
      <w:r>
        <w:rPr>
          <w:rFonts w:hint="eastAsia"/>
          <w:color w:val="000000" w:themeColor="text1"/>
          <w14:textFill>
            <w14:solidFill>
              <w14:schemeClr w14:val="tx1"/>
            </w14:solidFill>
          </w14:textFill>
        </w:rPr>
        <w:t>非经常性损益项目和金额</w:t>
      </w:r>
    </w:p>
    <w:sdt>
      <w:sdtPr>
        <w:rPr>
          <w:color w:val="000000" w:themeColor="text1"/>
          <w14:textFill>
            <w14:solidFill>
              <w14:schemeClr w14:val="tx1"/>
            </w14:solidFill>
          </w14:textFill>
        </w:rPr>
        <w:alias w:val="是否适用：扣除非经常性损益项目和金额[双击切换]"/>
        <w:tag w:val="_GBC_43f94504cb3d48cbbe81a75d50663c2d"/>
        <w:id w:val="-1668778444"/>
        <w:placeholder>
          <w:docPart w:val="GBC22222222222222222222222222222"/>
        </w:placeholder>
      </w:sdtPr>
      <w:sdtEndPr>
        <w:rPr>
          <w:color w:val="000000" w:themeColor="text1"/>
          <w14:textFill>
            <w14:solidFill>
              <w14:schemeClr w14:val="tx1"/>
            </w14:solidFill>
          </w14:textFill>
        </w:rPr>
      </w:sdtEndPr>
      <w:sdtContent>
        <w:p w14:paraId="4FB9963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DC56F44">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扣除非经常性损益项目和金额"/>
          <w:tag w:val="_GBC_f9e43a30b40946c08985f868a2ba3b74"/>
          <w:id w:val="-63650717"/>
          <w:placeholder>
            <w:docPart w:val="GBC22222222222222222222222222222"/>
          </w:placeholder>
          <w:dataBinding w:prefixMappings="xmlns:clcid-ci-ar='clcid-ci-ar'" w:xpath="/*/clcid-ci-ar:DanWeiKouChuFeiJingChangXingSunYiXiangMuHeJinE[not(@periodRef)]" w:storeItemID="{89EBAB94-44A0-46A2-B712-30D997D04A6D}"/>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扣除非经常性损益项目和金额"/>
          <w:tag w:val="_GBC_81dc93f6f5e14511b89edb8661fa84fd"/>
          <w:id w:val="2033998675"/>
          <w:placeholder>
            <w:docPart w:val="GBC22222222222222222222222222222"/>
          </w:placeholder>
          <w:dataBinding w:prefixMappings="xmlns:clcid-ci-ar='clcid-ci-ar'" w:xpath="/*/clcid-ci-ar:BiZhongKouChuFeiJingChangXingSunYiXiangMuHeJinE[not(@periodRef)]" w:storeItemID="{89EBAB94-44A0-46A2-B712-30D997D04A6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9"/>
        <w:gridCol w:w="2135"/>
        <w:gridCol w:w="2319"/>
      </w:tblGrid>
      <w:tr w14:paraId="7CA3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sdt>
          <w:sdtPr>
            <w:tag w:val="_PLD_75c3787071e446ebb752a5626cdbd723"/>
            <w:id w:val="-600558606"/>
          </w:sdtPr>
          <w:sdtContent>
            <w:tc>
              <w:tcPr>
                <w:tcW w:w="2474" w:type="pct"/>
                <w:vAlign w:val="center"/>
              </w:tcPr>
              <w:p w14:paraId="3A4A33A8">
                <w:pPr>
                  <w:pStyle w:val="55"/>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非经常性损益项目</w:t>
                </w:r>
              </w:p>
            </w:tc>
          </w:sdtContent>
        </w:sdt>
        <w:sdt>
          <w:sdtPr>
            <w:tag w:val="_PLD_819237cfe12b4f9b95d296101869571d"/>
            <w:id w:val="425162578"/>
          </w:sdtPr>
          <w:sdtContent>
            <w:tc>
              <w:tcPr>
                <w:tcW w:w="1209" w:type="pct"/>
                <w:vAlign w:val="center"/>
              </w:tcPr>
              <w:p w14:paraId="4BAC9776">
                <w:pPr>
                  <w:pStyle w:val="55"/>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金额</w:t>
                </w:r>
              </w:p>
            </w:tc>
          </w:sdtContent>
        </w:sdt>
        <w:sdt>
          <w:sdtPr>
            <w:tag w:val="_PLD_271c1520daad4f06be80c7ac930ea658"/>
            <w:id w:val="-583079016"/>
          </w:sdtPr>
          <w:sdtContent>
            <w:tc>
              <w:tcPr>
                <w:tcW w:w="1313" w:type="pct"/>
                <w:vAlign w:val="center"/>
              </w:tcPr>
              <w:p w14:paraId="373B6521">
                <w:pPr>
                  <w:pStyle w:val="55"/>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附注（如适用）</w:t>
                </w:r>
              </w:p>
            </w:tc>
          </w:sdtContent>
        </w:sdt>
      </w:tr>
      <w:tr w14:paraId="362D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285752E9">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非流动</w:t>
            </w:r>
            <w:r>
              <w:rPr>
                <w:rFonts w:hint="eastAsia"/>
                <w:color w:val="000000" w:themeColor="text1"/>
                <w14:textFill>
                  <w14:solidFill>
                    <w14:schemeClr w14:val="tx1"/>
                  </w14:solidFill>
                </w14:textFill>
              </w:rPr>
              <w:t>性</w:t>
            </w:r>
            <w:r>
              <w:rPr>
                <w:color w:val="000000" w:themeColor="text1"/>
                <w14:textFill>
                  <w14:solidFill>
                    <w14:schemeClr w14:val="tx1"/>
                  </w14:solidFill>
                </w14:textFill>
              </w:rPr>
              <w:t>资产处置损益</w:t>
            </w:r>
            <w:r>
              <w:rPr>
                <w:rFonts w:hint="eastAsia"/>
                <w:color w:val="000000" w:themeColor="text1"/>
                <w14:textFill>
                  <w14:solidFill>
                    <w14:schemeClr w14:val="tx1"/>
                  </w14:solidFill>
                </w14:textFill>
              </w:rPr>
              <w:t>，包括已计提资产减值准备的冲销部分</w:t>
            </w:r>
          </w:p>
        </w:tc>
        <w:tc>
          <w:tcPr>
            <w:tcW w:w="1209" w:type="pct"/>
            <w:vAlign w:val="center"/>
          </w:tcPr>
          <w:p w14:paraId="391489FD">
            <w:pPr>
              <w:widowControl w:val="0"/>
              <w:jc w:val="right"/>
              <w:rPr>
                <w:color w:val="000000" w:themeColor="text1"/>
                <w14:textFill>
                  <w14:solidFill>
                    <w14:schemeClr w14:val="tx1"/>
                  </w14:solidFill>
                </w14:textFill>
              </w:rPr>
            </w:pPr>
          </w:p>
        </w:tc>
        <w:tc>
          <w:tcPr>
            <w:tcW w:w="1313" w:type="pct"/>
            <w:vAlign w:val="center"/>
          </w:tcPr>
          <w:p w14:paraId="63FE847A">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702B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7D3617DA">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计入当期损益的政府补助</w:t>
            </w:r>
            <w:r>
              <w:rPr>
                <w:rFonts w:hint="eastAsia"/>
                <w:color w:val="000000" w:themeColor="text1"/>
                <w14:textFill>
                  <w14:solidFill>
                    <w14:schemeClr w14:val="tx1"/>
                  </w14:solidFill>
                </w14:textFill>
              </w:rPr>
              <w:t>，但与公司正常经营业务密切相关、符合国家政策规定、按照确定的标准享有、对公司损益产生持续影响的政府补助除外</w:t>
            </w:r>
          </w:p>
        </w:tc>
        <w:tc>
          <w:tcPr>
            <w:tcW w:w="1209" w:type="pct"/>
            <w:vAlign w:val="center"/>
          </w:tcPr>
          <w:p w14:paraId="1F3E0BCB">
            <w:pPr>
              <w:widowControl w:val="0"/>
              <w:jc w:val="right"/>
              <w:rPr>
                <w:color w:val="000000" w:themeColor="text1"/>
                <w14:textFill>
                  <w14:solidFill>
                    <w14:schemeClr w14:val="tx1"/>
                  </w14:solidFill>
                </w14:textFill>
              </w:rPr>
            </w:pPr>
            <w:r>
              <w:rPr>
                <w:color w:val="000000" w:themeColor="text1"/>
                <w14:textFill>
                  <w14:solidFill>
                    <w14:schemeClr w14:val="tx1"/>
                  </w14:solidFill>
                </w14:textFill>
              </w:rPr>
              <w:t>21,121,233.18</w:t>
            </w:r>
            <w:r>
              <w:rPr>
                <w:rFonts w:hint="eastAsia"/>
                <w:color w:val="000000" w:themeColor="text1"/>
                <w14:textFill>
                  <w14:solidFill>
                    <w14:schemeClr w14:val="tx1"/>
                  </w14:solidFill>
                </w14:textFill>
              </w:rPr>
              <w:t>　</w:t>
            </w:r>
          </w:p>
        </w:tc>
        <w:tc>
          <w:tcPr>
            <w:tcW w:w="1313" w:type="pct"/>
            <w:vAlign w:val="center"/>
          </w:tcPr>
          <w:p w14:paraId="2A573F7E">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0D95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51320415">
            <w:pPr>
              <w:pStyle w:val="55"/>
              <w:ind w:firstLine="0"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除同公司正常经营业务相关的有效套期保值业务外，</w:t>
            </w:r>
            <w:r>
              <w:rPr>
                <w:color w:val="000000" w:themeColor="text1"/>
                <w14:textFill>
                  <w14:solidFill>
                    <w14:schemeClr w14:val="tx1"/>
                  </w14:solidFill>
                </w14:textFill>
              </w:rPr>
              <w:t>非金融企业持有金融资产和金融负债产生的公允价值变动损益以及处置金融资产和金融负债产生的损益</w:t>
            </w:r>
          </w:p>
        </w:tc>
        <w:tc>
          <w:tcPr>
            <w:tcW w:w="1209" w:type="pct"/>
            <w:vAlign w:val="center"/>
          </w:tcPr>
          <w:p w14:paraId="06D374D2">
            <w:pPr>
              <w:widowControl w:val="0"/>
              <w:jc w:val="right"/>
              <w:rPr>
                <w:color w:val="000000" w:themeColor="text1"/>
                <w14:textFill>
                  <w14:solidFill>
                    <w14:schemeClr w14:val="tx1"/>
                  </w14:solidFill>
                </w14:textFill>
              </w:rPr>
            </w:pPr>
          </w:p>
        </w:tc>
        <w:tc>
          <w:tcPr>
            <w:tcW w:w="1313" w:type="pct"/>
            <w:vAlign w:val="center"/>
          </w:tcPr>
          <w:p w14:paraId="793551EF">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6C64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31C9E0AB">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计入当期损益的对非金融企业收取的资金占用费</w:t>
            </w:r>
          </w:p>
        </w:tc>
        <w:tc>
          <w:tcPr>
            <w:tcW w:w="1209" w:type="pct"/>
            <w:vAlign w:val="center"/>
          </w:tcPr>
          <w:p w14:paraId="28BCE02E">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70F1194D">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322D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6BA5AE3B">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委托他人投资或管理资产的损益</w:t>
            </w:r>
          </w:p>
        </w:tc>
        <w:tc>
          <w:tcPr>
            <w:tcW w:w="1209" w:type="pct"/>
            <w:vAlign w:val="center"/>
          </w:tcPr>
          <w:p w14:paraId="4E1A0E3C">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58A0F6ED">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122E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2158C34C">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对外委托贷款取得的损益</w:t>
            </w:r>
          </w:p>
        </w:tc>
        <w:tc>
          <w:tcPr>
            <w:tcW w:w="1209" w:type="pct"/>
            <w:vAlign w:val="center"/>
          </w:tcPr>
          <w:p w14:paraId="654910ED">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3F1B3787">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1B83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0C5AC052">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因不可抗力因</w:t>
            </w:r>
            <w:r>
              <w:rPr>
                <w:rFonts w:hint="eastAsia"/>
                <w:color w:val="000000" w:themeColor="text1"/>
                <w14:textFill>
                  <w14:solidFill>
                    <w14:schemeClr w14:val="tx1"/>
                  </w14:solidFill>
                </w14:textFill>
              </w:rPr>
              <w:t>素，如遭受自然灾害而产生的各项资产损失</w:t>
            </w:r>
          </w:p>
        </w:tc>
        <w:tc>
          <w:tcPr>
            <w:tcW w:w="1209" w:type="pct"/>
            <w:vAlign w:val="center"/>
          </w:tcPr>
          <w:p w14:paraId="1090BB3F">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1B6C0EDF">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6CE0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12DD9875">
            <w:pPr>
              <w:pStyle w:val="55"/>
              <w:ind w:firstLine="0"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单独进行减值测试的应收款项减值准备转回</w:t>
            </w:r>
          </w:p>
        </w:tc>
        <w:tc>
          <w:tcPr>
            <w:tcW w:w="1209" w:type="pct"/>
            <w:vAlign w:val="center"/>
          </w:tcPr>
          <w:p w14:paraId="5A2E7840">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43C80E7C">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53E7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7B90730F">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企业取得子公司、联营企业及合营企业的投资成本小于取得投资时应享有被投资单位可辨认净资产公允价值产生的收益</w:t>
            </w:r>
          </w:p>
        </w:tc>
        <w:tc>
          <w:tcPr>
            <w:tcW w:w="1209" w:type="pct"/>
            <w:vAlign w:val="center"/>
          </w:tcPr>
          <w:p w14:paraId="6F9AEFB9">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25EB6DFE">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405D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6E1D4093">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同一控制下企业合并产生的子公司期初至合并日的当期净损益</w:t>
            </w:r>
          </w:p>
        </w:tc>
        <w:tc>
          <w:tcPr>
            <w:tcW w:w="1209" w:type="pct"/>
            <w:vAlign w:val="center"/>
          </w:tcPr>
          <w:p w14:paraId="73433937">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74F6EFE2">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51DD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643CDC88">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非货币性资产交换损益</w:t>
            </w:r>
          </w:p>
        </w:tc>
        <w:tc>
          <w:tcPr>
            <w:tcW w:w="1209" w:type="pct"/>
            <w:vAlign w:val="center"/>
          </w:tcPr>
          <w:p w14:paraId="0DE5345C">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2D1676EE">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7201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30680B51">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债务重组损益</w:t>
            </w:r>
          </w:p>
        </w:tc>
        <w:tc>
          <w:tcPr>
            <w:tcW w:w="1209" w:type="pct"/>
            <w:vAlign w:val="center"/>
          </w:tcPr>
          <w:p w14:paraId="2286EBB5">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2D0D4AF5">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24A9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3B100C1E">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企业</w:t>
            </w:r>
            <w:r>
              <w:rPr>
                <w:rFonts w:hint="eastAsia"/>
                <w:color w:val="000000" w:themeColor="text1"/>
                <w14:textFill>
                  <w14:solidFill>
                    <w14:schemeClr w14:val="tx1"/>
                  </w14:solidFill>
                </w14:textFill>
              </w:rPr>
              <w:t>因相关经营活动不再持续而发生的一次性费用，如安置职工的支出等</w:t>
            </w:r>
          </w:p>
        </w:tc>
        <w:tc>
          <w:tcPr>
            <w:tcW w:w="1209" w:type="pct"/>
            <w:vAlign w:val="center"/>
          </w:tcPr>
          <w:p w14:paraId="71ADB1BD">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2F888D82">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3CD7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13A5A2ED">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因税收、会计等法律、法规</w:t>
            </w:r>
            <w:r>
              <w:rPr>
                <w:rFonts w:hint="eastAsia"/>
                <w:color w:val="000000" w:themeColor="text1"/>
                <w14:textFill>
                  <w14:solidFill>
                    <w14:schemeClr w14:val="tx1"/>
                  </w14:solidFill>
                </w14:textFill>
              </w:rPr>
              <w:t>的调整对当期损益产生的一次性影响</w:t>
            </w:r>
          </w:p>
        </w:tc>
        <w:tc>
          <w:tcPr>
            <w:tcW w:w="1209" w:type="pct"/>
            <w:vAlign w:val="center"/>
          </w:tcPr>
          <w:p w14:paraId="54681505">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37FB4020">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5B5D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41CFD4CC">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因取消、修改股权激励计划一次性确认的股份支付费用</w:t>
            </w:r>
          </w:p>
        </w:tc>
        <w:tc>
          <w:tcPr>
            <w:tcW w:w="1209" w:type="pct"/>
            <w:vAlign w:val="center"/>
          </w:tcPr>
          <w:p w14:paraId="5D237FAF">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35E633CB">
            <w:pPr>
              <w:widowControl w:val="0"/>
              <w:jc w:val="both"/>
            </w:pPr>
          </w:p>
        </w:tc>
      </w:tr>
      <w:tr w14:paraId="5383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35370DEE">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对于现金结算的股份支付，在可行权日之后，应付职工薪酬的公允价值变动产生的损益</w:t>
            </w:r>
          </w:p>
        </w:tc>
        <w:tc>
          <w:tcPr>
            <w:tcW w:w="1209" w:type="pct"/>
            <w:vAlign w:val="center"/>
          </w:tcPr>
          <w:p w14:paraId="1C1E2493">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4B6DEF52">
            <w:pPr>
              <w:widowControl w:val="0"/>
              <w:jc w:val="both"/>
            </w:pPr>
          </w:p>
        </w:tc>
      </w:tr>
      <w:tr w14:paraId="08D6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64C03330">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采用公允价值模式进行后续计量的投资性房地产公允价值变动产生的损益</w:t>
            </w:r>
          </w:p>
        </w:tc>
        <w:tc>
          <w:tcPr>
            <w:tcW w:w="1209" w:type="pct"/>
            <w:vAlign w:val="center"/>
          </w:tcPr>
          <w:p w14:paraId="3C78B5CB">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7DE30229">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050E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36A10F2D">
            <w:pPr>
              <w:pStyle w:val="55"/>
              <w:ind w:firstLine="0"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交易价格显失公允的交易产生的收益</w:t>
            </w:r>
          </w:p>
        </w:tc>
        <w:tc>
          <w:tcPr>
            <w:tcW w:w="1209" w:type="pct"/>
            <w:vAlign w:val="center"/>
          </w:tcPr>
          <w:p w14:paraId="5BCFF070">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5347D047">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183B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091F1B27">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与公司正常经营业务无关的或有事项产生的损益</w:t>
            </w:r>
          </w:p>
        </w:tc>
        <w:tc>
          <w:tcPr>
            <w:tcW w:w="1209" w:type="pct"/>
            <w:vAlign w:val="center"/>
          </w:tcPr>
          <w:p w14:paraId="09616A28">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793242D7">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497B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3098C2CC">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受托经营取得的托管费收入</w:t>
            </w:r>
          </w:p>
        </w:tc>
        <w:tc>
          <w:tcPr>
            <w:tcW w:w="1209" w:type="pct"/>
            <w:vAlign w:val="center"/>
          </w:tcPr>
          <w:p w14:paraId="6F75D7C9">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16E42565">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1CB9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1B153AE6">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除上述各项之外的其他营业外收入和支出</w:t>
            </w:r>
          </w:p>
        </w:tc>
        <w:tc>
          <w:tcPr>
            <w:tcW w:w="1209" w:type="pct"/>
            <w:vAlign w:val="center"/>
          </w:tcPr>
          <w:p w14:paraId="1881383D">
            <w:pPr>
              <w:widowControl w:val="0"/>
              <w:jc w:val="right"/>
              <w:rPr>
                <w:color w:val="000000" w:themeColor="text1"/>
                <w14:textFill>
                  <w14:solidFill>
                    <w14:schemeClr w14:val="tx1"/>
                  </w14:solidFill>
                </w14:textFill>
              </w:rPr>
            </w:pPr>
            <w:r>
              <w:rPr>
                <w:color w:val="000000" w:themeColor="text1"/>
                <w14:textFill>
                  <w14:solidFill>
                    <w14:schemeClr w14:val="tx1"/>
                  </w14:solidFill>
                </w14:textFill>
              </w:rPr>
              <w:t>-4,064,025.81</w:t>
            </w:r>
          </w:p>
        </w:tc>
        <w:tc>
          <w:tcPr>
            <w:tcW w:w="1313" w:type="pct"/>
            <w:vAlign w:val="center"/>
          </w:tcPr>
          <w:p w14:paraId="305735DB">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6200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22E59FC8">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其他符合非经常性损益定义的损益项目</w:t>
            </w:r>
          </w:p>
        </w:tc>
        <w:tc>
          <w:tcPr>
            <w:tcW w:w="1209" w:type="pct"/>
            <w:vAlign w:val="center"/>
          </w:tcPr>
          <w:p w14:paraId="5E2F829D">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5FB29B66">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3E7D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46746BFC">
            <w:pPr>
              <w:pStyle w:val="55"/>
              <w:ind w:firstLine="0"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减：</w:t>
            </w:r>
            <w:r>
              <w:rPr>
                <w:color w:val="000000" w:themeColor="text1"/>
                <w14:textFill>
                  <w14:solidFill>
                    <w14:schemeClr w14:val="tx1"/>
                  </w14:solidFill>
                </w14:textFill>
              </w:rPr>
              <w:t>所得税影响额</w:t>
            </w:r>
          </w:p>
        </w:tc>
        <w:tc>
          <w:tcPr>
            <w:tcW w:w="1209" w:type="pct"/>
            <w:vAlign w:val="center"/>
          </w:tcPr>
          <w:p w14:paraId="7B5F7364">
            <w:pPr>
              <w:widowControl w:val="0"/>
              <w:jc w:val="right"/>
              <w:rPr>
                <w:color w:val="000000" w:themeColor="text1"/>
                <w14:textFill>
                  <w14:solidFill>
                    <w14:schemeClr w14:val="tx1"/>
                  </w14:solidFill>
                </w14:textFill>
              </w:rPr>
            </w:pPr>
            <w:r>
              <w:rPr>
                <w:color w:val="000000" w:themeColor="text1"/>
                <w14:textFill>
                  <w14:solidFill>
                    <w14:schemeClr w14:val="tx1"/>
                  </w14:solidFill>
                </w14:textFill>
              </w:rPr>
              <w:t>4,264,301.84</w:t>
            </w:r>
          </w:p>
        </w:tc>
        <w:tc>
          <w:tcPr>
            <w:tcW w:w="1313" w:type="pct"/>
            <w:vAlign w:val="center"/>
          </w:tcPr>
          <w:p w14:paraId="17DAC329">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2C30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761128F1">
            <w:pPr>
              <w:pStyle w:val="55"/>
              <w:jc w:val="left"/>
              <w:rPr>
                <w:color w:val="000000" w:themeColor="text1"/>
                <w14:textFill>
                  <w14:solidFill>
                    <w14:schemeClr w14:val="tx1"/>
                  </w14:solidFill>
                </w14:textFill>
              </w:rPr>
            </w:pPr>
            <w:r>
              <w:rPr>
                <w:color w:val="000000" w:themeColor="text1"/>
                <w14:textFill>
                  <w14:solidFill>
                    <w14:schemeClr w14:val="tx1"/>
                  </w14:solidFill>
                </w14:textFill>
              </w:rPr>
              <w:t>少数股东权益影响额</w:t>
            </w:r>
            <w:r>
              <w:rPr>
                <w:rFonts w:hint="eastAsia"/>
                <w:color w:val="000000" w:themeColor="text1"/>
                <w14:textFill>
                  <w14:solidFill>
                    <w14:schemeClr w14:val="tx1"/>
                  </w14:solidFill>
                </w14:textFill>
              </w:rPr>
              <w:t>（税后）</w:t>
            </w:r>
          </w:p>
        </w:tc>
        <w:tc>
          <w:tcPr>
            <w:tcW w:w="1209" w:type="pct"/>
            <w:vAlign w:val="center"/>
          </w:tcPr>
          <w:p w14:paraId="0B5C9007">
            <w:pPr>
              <w:widowControl w:val="0"/>
              <w:jc w:val="right"/>
              <w:rPr>
                <w:color w:val="000000" w:themeColor="text1"/>
                <w14:textFill>
                  <w14:solidFill>
                    <w14:schemeClr w14:val="tx1"/>
                  </w14:solidFill>
                </w14:textFill>
              </w:rPr>
            </w:pPr>
          </w:p>
        </w:tc>
        <w:tc>
          <w:tcPr>
            <w:tcW w:w="1313" w:type="pct"/>
            <w:vAlign w:val="center"/>
          </w:tcPr>
          <w:p w14:paraId="790E145D">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52B5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vAlign w:val="center"/>
          </w:tcPr>
          <w:p w14:paraId="4C61CF75">
            <w:pPr>
              <w:pStyle w:val="55"/>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合计</w:t>
            </w:r>
          </w:p>
        </w:tc>
        <w:tc>
          <w:tcPr>
            <w:tcW w:w="1209" w:type="pct"/>
            <w:vAlign w:val="center"/>
          </w:tcPr>
          <w:p w14:paraId="5F609F75">
            <w:pPr>
              <w:widowControl w:val="0"/>
              <w:jc w:val="right"/>
              <w:rPr>
                <w:color w:val="000000" w:themeColor="text1"/>
                <w14:textFill>
                  <w14:solidFill>
                    <w14:schemeClr w14:val="tx1"/>
                  </w14:solidFill>
                </w14:textFill>
              </w:rPr>
            </w:pPr>
            <w:r>
              <w:rPr>
                <w:color w:val="000000" w:themeColor="text1"/>
                <w14:textFill>
                  <w14:solidFill>
                    <w14:schemeClr w14:val="tx1"/>
                  </w14:solidFill>
                </w14:textFill>
              </w:rPr>
              <w:t>12,792,905.53</w:t>
            </w:r>
          </w:p>
        </w:tc>
        <w:tc>
          <w:tcPr>
            <w:tcW w:w="1313" w:type="pct"/>
            <w:vAlign w:val="center"/>
          </w:tcPr>
          <w:p w14:paraId="18D2312F">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bl>
    <w:p w14:paraId="1C8331B2">
      <w:pPr>
        <w:rPr>
          <w:color w:val="000000" w:themeColor="text1"/>
          <w14:textFill>
            <w14:solidFill>
              <w14:schemeClr w14:val="tx1"/>
            </w14:solidFill>
          </w14:textFill>
        </w:rPr>
      </w:pPr>
    </w:p>
    <w:bookmarkEnd w:id="23"/>
    <w:p w14:paraId="7016365A">
      <w:pPr>
        <w:pStyle w:val="20"/>
        <w:adjustRightInd w:val="0"/>
        <w:snapToGrid w:val="0"/>
        <w:spacing w:line="200" w:lineRule="atLeast"/>
        <w:rPr>
          <w:rFonts w:hint="eastAsia" w:hAnsi="宋体"/>
          <w:color w:val="000000" w:themeColor="text1"/>
          <w:kern w:val="0"/>
          <w:szCs w:val="21"/>
          <w14:textFill>
            <w14:solidFill>
              <w14:schemeClr w14:val="tx1"/>
            </w14:solidFill>
          </w14:textFill>
        </w:rPr>
      </w:pPr>
      <w:bookmarkStart w:id="24" w:name="_Hlk89096484"/>
      <w:bookmarkStart w:id="25" w:name="_Hlk137045432"/>
      <w:bookmarkStart w:id="26" w:name="_Hlk41379873"/>
      <w:bookmarkStart w:id="27" w:name="_Hlk105685044"/>
      <w:r>
        <w:rPr>
          <w:rFonts w:hint="eastAsia" w:hAnsi="宋体" w:cs="宋体"/>
          <w:color w:val="000000" w:themeColor="text1"/>
          <w:kern w:val="0"/>
          <w:szCs w:val="21"/>
          <w14:textFill>
            <w14:solidFill>
              <w14:schemeClr w14:val="tx1"/>
            </w14:solidFill>
          </w14:textFill>
        </w:rPr>
        <w:t>对公司将《公开发行证券的公司信息披露解释性公告第</w:t>
      </w:r>
      <w:r>
        <w:rPr>
          <w:rFonts w:hAnsi="宋体" w:cs="宋体"/>
          <w:color w:val="000000" w:themeColor="text1"/>
          <w:kern w:val="0"/>
          <w:szCs w:val="21"/>
          <w14:textFill>
            <w14:solidFill>
              <w14:schemeClr w14:val="tx1"/>
            </w14:solidFill>
          </w14:textFill>
        </w:rPr>
        <w:t>1号——非经常性损益》未列举的项目认定为非经常性损益项目且金额重大的，以及将《公开发行证券的公司信息披露解释性公告第1号——非经常性损益》中列举的非经常性损益项目界定为经常性损益的项目，应说明原因</w:t>
      </w:r>
      <w:r>
        <w:rPr>
          <w:rFonts w:hint="eastAsia" w:hAnsi="宋体" w:cs="宋体"/>
          <w:color w:val="000000" w:themeColor="text1"/>
          <w:kern w:val="0"/>
          <w:szCs w:val="21"/>
          <w14:textFill>
            <w14:solidFill>
              <w14:schemeClr w14:val="tx1"/>
            </w14:solidFill>
          </w14:textFill>
        </w:rPr>
        <w:t>。</w:t>
      </w:r>
    </w:p>
    <w:sdt>
      <w:sdtPr>
        <w:rPr>
          <w:color w:val="000000" w:themeColor="text1"/>
          <w14:textFill>
            <w14:solidFill>
              <w14:schemeClr w14:val="tx1"/>
            </w14:solidFill>
          </w14:textFill>
        </w:rPr>
        <w:alias w:val="是否适用：将非经常性损益项目界定为经常性损益项目[双击切换]"/>
        <w:tag w:val="_GBC_2fced4d4c7b049209a471cd2040fe574"/>
        <w:id w:val="-1591228021"/>
        <w:placeholder>
          <w:docPart w:val="GBC22222222222222222222222222222"/>
        </w:placeholder>
      </w:sdtPr>
      <w:sdtEndPr>
        <w:rPr>
          <w:color w:val="000000" w:themeColor="text1"/>
          <w14:textFill>
            <w14:solidFill>
              <w14:schemeClr w14:val="tx1"/>
            </w14:solidFill>
          </w14:textFill>
        </w:rPr>
      </w:sdtEndPr>
      <w:sdtContent>
        <w:p w14:paraId="1F301FD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44272C5">
      <w:pPr>
        <w:rPr>
          <w:color w:val="000000" w:themeColor="text1"/>
          <w14:textFill>
            <w14:solidFill>
              <w14:schemeClr w14:val="tx1"/>
            </w14:solidFill>
          </w14:textFill>
        </w:rPr>
      </w:pPr>
    </w:p>
    <w:bookmarkEnd w:id="24"/>
    <w:bookmarkEnd w:id="25"/>
    <w:bookmarkEnd w:id="26"/>
    <w:p w14:paraId="5439A61D">
      <w:pPr>
        <w:pStyle w:val="3"/>
        <w:numPr>
          <w:ilvl w:val="0"/>
          <w:numId w:val="3"/>
        </w:numPr>
        <w:ind w:left="0" w:firstLine="0"/>
        <w:rPr>
          <w:color w:val="000000"/>
        </w:rPr>
      </w:pPr>
      <w:bookmarkStart w:id="28" w:name="_Hlk199506011"/>
      <w:bookmarkStart w:id="29" w:name="_Hlk200097037"/>
      <w:r>
        <w:rPr>
          <w:rFonts w:hint="eastAsia"/>
          <w:color w:val="000000"/>
        </w:rPr>
        <w:t>存在股权激励、员工持股计划的公司可选择披露扣除股份支付影响后的净利润</w:t>
      </w:r>
    </w:p>
    <w:sdt>
      <w:sdtPr>
        <w:rPr>
          <w:rFonts w:hint="eastAsia"/>
        </w:rPr>
        <w:alias w:val="是否适用：扣除股份支付影响后的净利润[双击切换]"/>
        <w:tag w:val="_GBC_0800bd28016b47e5b3f7d0b40ad325dc"/>
        <w:id w:val="-364604065"/>
        <w:placeholder>
          <w:docPart w:val="GBC22222222222222222222222222222"/>
        </w:placeholder>
      </w:sdtPr>
      <w:sdtEndPr>
        <w:rPr>
          <w:rFonts w:hint="eastAsia"/>
        </w:rPr>
      </w:sdtEndPr>
      <w:sdtContent>
        <w:p w14:paraId="42A6895E">
          <w:r>
            <w:rPr>
              <w:rFonts w:hint="eastAsia" w:ascii="宋体" w:hAnsi="宋体"/>
            </w:rPr>
            <w:fldChar w:fldCharType="begin"/>
          </w:r>
          <w:r>
            <w:rPr>
              <w:rFonts w:hint="eastAsia" w:ascii="宋体" w:hAnsi="宋体"/>
            </w:rPr>
            <w:instrText xml:space="preserve"> MACROBUTTON  SnrToggleCheckbox □适用 </w:instrText>
          </w:r>
          <w:r>
            <w:rPr>
              <w:rFonts w:hint="eastAsia" w:ascii="宋体" w:hAnsi="宋体"/>
            </w:rPr>
            <w:fldChar w:fldCharType="end"/>
          </w:r>
          <w:r>
            <w:rPr>
              <w:rFonts w:hint="eastAsia" w:ascii="宋体" w:hAnsi="宋体"/>
            </w:rPr>
            <w:fldChar w:fldCharType="begin"/>
          </w:r>
          <w:r>
            <w:rPr>
              <w:rFonts w:hint="eastAsia" w:ascii="宋体" w:hAnsi="宋体"/>
            </w:rPr>
            <w:instrText xml:space="preserve"> MACROBUTTON  SnrToggleCheckbox √不适用 </w:instrText>
          </w:r>
          <w:r>
            <w:rPr>
              <w:rFonts w:hint="eastAsia" w:ascii="宋体" w:hAnsi="宋体"/>
            </w:rPr>
            <w:fldChar w:fldCharType="end"/>
          </w:r>
        </w:p>
      </w:sdtContent>
    </w:sdt>
    <w:bookmarkEnd w:id="28"/>
    <w:p w14:paraId="09F0A508"/>
    <w:bookmarkEnd w:id="27"/>
    <w:bookmarkEnd w:id="29"/>
    <w:p w14:paraId="6FF7DB20">
      <w:pPr>
        <w:pStyle w:val="3"/>
        <w:numPr>
          <w:ilvl w:val="0"/>
          <w:numId w:val="3"/>
        </w:numPr>
        <w:ind w:left="0"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sdt>
      <w:sdtPr>
        <w:rPr>
          <w:color w:val="000000" w:themeColor="text1"/>
          <w14:textFill>
            <w14:solidFill>
              <w14:schemeClr w14:val="tx1"/>
            </w14:solidFill>
          </w14:textFill>
        </w:rPr>
        <w:alias w:val="是否适用：公司简介和主要财务指标其他说明[双击切换]"/>
        <w:tag w:val="_GBC_5b4104dc5c2c4501bc2420c70be30c2a"/>
        <w:id w:val="-1267543398"/>
        <w:placeholder>
          <w:docPart w:val="GBC22222222222222222222222222222"/>
        </w:placeholder>
      </w:sdtPr>
      <w:sdtEndPr>
        <w:rPr>
          <w:color w:val="000000" w:themeColor="text1"/>
          <w14:textFill>
            <w14:solidFill>
              <w14:schemeClr w14:val="tx1"/>
            </w14:solidFill>
          </w14:textFill>
        </w:rPr>
      </w:sdtEndPr>
      <w:sdtContent>
        <w:p w14:paraId="129E55C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F4EB15A">
      <w:pPr>
        <w:kinsoku w:val="0"/>
        <w:overflowPunct w:val="0"/>
        <w:autoSpaceDE w:val="0"/>
        <w:autoSpaceDN w:val="0"/>
        <w:adjustRightInd w:val="0"/>
        <w:snapToGrid w:val="0"/>
        <w:rPr>
          <w:color w:val="000000" w:themeColor="text1"/>
          <w14:textFill>
            <w14:solidFill>
              <w14:schemeClr w14:val="tx1"/>
            </w14:solidFill>
          </w14:textFill>
        </w:rPr>
      </w:pPr>
    </w:p>
    <w:p w14:paraId="68F6AAA6">
      <w:pPr>
        <w:pStyle w:val="2"/>
        <w:numPr>
          <w:ilvl w:val="0"/>
          <w:numId w:val="2"/>
        </w:numPr>
        <w:rPr>
          <w:rFonts w:hint="eastAsia" w:ascii="黑体" w:hAnsi="黑体"/>
          <w:color w:val="000000" w:themeColor="text1"/>
          <w:szCs w:val="21"/>
          <w14:textFill>
            <w14:solidFill>
              <w14:schemeClr w14:val="tx1"/>
            </w14:solidFill>
          </w14:textFill>
        </w:rPr>
      </w:pPr>
      <w:bookmarkStart w:id="30" w:name="_Toc236303307"/>
      <w:bookmarkStart w:id="31" w:name="_Toc76114274"/>
      <w:r>
        <w:rPr>
          <w:rFonts w:hint="eastAsia" w:ascii="黑体" w:hAnsi="黑体"/>
          <w:color w:val="000000" w:themeColor="text1"/>
          <w:szCs w:val="21"/>
          <w14:textFill>
            <w14:solidFill>
              <w14:schemeClr w14:val="tx1"/>
            </w14:solidFill>
          </w14:textFill>
        </w:rPr>
        <w:t>管理层讨论与分析</w:t>
      </w:r>
      <w:bookmarkEnd w:id="30"/>
    </w:p>
    <w:bookmarkEnd w:id="31"/>
    <w:p w14:paraId="59FDA427">
      <w:pPr>
        <w:pStyle w:val="3"/>
        <w:numPr>
          <w:ilvl w:val="0"/>
          <w:numId w:val="5"/>
        </w:numPr>
        <w:tabs>
          <w:tab w:val="left" w:pos="426"/>
        </w:tabs>
        <w:ind w:left="0" w:firstLine="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报告期内公司所属行业及主营业务情况说明</w:t>
      </w:r>
    </w:p>
    <w:sdt>
      <w:sdtPr>
        <w:rPr>
          <w:rFonts w:hint="eastAsia"/>
          <w:color w:val="000000" w:themeColor="text1"/>
          <w14:textFill>
            <w14:solidFill>
              <w14:schemeClr w14:val="tx1"/>
            </w14:solidFill>
          </w14:textFill>
        </w:rPr>
        <w:alias w:val="报告期内公司所从事的主要业务、经营模式及行业情况说明"/>
        <w:tag w:val="_GBC_5c28d6f46eea48f892bed0c5fc99ab60"/>
        <w:id w:val="640999832"/>
        <w:placeholder>
          <w:docPart w:val="GBC22222222222222222222222222222"/>
        </w:placeholder>
      </w:sdtPr>
      <w:sdtEndPr>
        <w:rPr>
          <w:rFonts w:hint="eastAsia"/>
          <w:color w:val="000000" w:themeColor="text1"/>
          <w14:textFill>
            <w14:solidFill>
              <w14:schemeClr w14:val="tx1"/>
            </w14:solidFill>
          </w14:textFill>
        </w:rPr>
      </w:sdtEndPr>
      <w:sdtContent>
        <w:sdt>
          <w:sdtPr>
            <w:rPr>
              <w:color w:val="000000" w:themeColor="text1"/>
              <w14:textFill>
                <w14:solidFill>
                  <w14:schemeClr w14:val="tx1"/>
                </w14:solidFill>
              </w14:textFill>
            </w:rPr>
            <w:alias w:val="报告期内公司所从事的主要业务、经营模式及行业情况说明"/>
            <w:tag w:val="_GBC_5c28d6f46eea48f892bed0c5fc99ab60"/>
            <w:id w:val="-411155798"/>
          </w:sdtPr>
          <w:sdtEndPr>
            <w:rPr>
              <w:color w:val="000000" w:themeColor="text1"/>
              <w14:textFill>
                <w14:solidFill>
                  <w14:schemeClr w14:val="tx1"/>
                </w14:solidFill>
              </w14:textFill>
            </w:rPr>
          </w:sdtEndPr>
          <w:sdtContent>
            <w:p w14:paraId="728F640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（一）公司所属行业情况</w:t>
              </w:r>
            </w:p>
            <w:p w14:paraId="27EB1B59">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2026 年，在政策引领、技术革新、消费需求升级多重因素协同驱动下，我国水产行业迈入高质量发展全新阶段，产业发展格局持续重塑。行业在产业体量扩容、智能技术落地、自主品牌培育、消费细分迭代等各维度实现变革突破；与此同时，水产品消费呈现多元细分特征，行业市场竞争日趋白热化。</w:t>
              </w:r>
            </w:p>
            <w:p w14:paraId="10CBDCA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（二）公司主营业务情况说明</w:t>
              </w:r>
            </w:p>
            <w:p w14:paraId="0C8E25D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报告期内，公司董事会深刻把握经济发展新形势新要求，坚持以科技创新赋能产业转型升级，以品牌提质夯实市场根基，以市场需求牵引产品研发供给，以市场布局拓宽品牌影响力，多措并举、稳中求进，持续推动企业高质量健康发展。</w:t>
              </w:r>
            </w:p>
            <w:p w14:paraId="444DB93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公司主营海水养殖、海洋捕捞、食品加工、海洋医药保健四大板块，产业协同联动、一体布局。养殖端主营海参、海带、贝类等海珍品；加工端深耕多元产品线，涵盖速冻调理制品（肉制品、蔬制品、面制品）、精深加工水产品，推出盐渍海参、即食鲜海参、淡干海参、海参原浆、刺参软胶囊、海参口服液等一系列高附加值、高技术含量的功能性海洋食品、海洋保健品及海洋医药产品。</w:t>
              </w:r>
            </w:p>
            <w:p w14:paraId="74C82BB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公司始终以 “推进中国式现代化必须推动海洋经济高质量发展，走出一条具有中国特色的向海图强之路” 重要论述为根本遵循，牢固树立人海和谐发展理念，高度重视海洋生态保护。自主培育微生物菌群开展生态循环养殖，有效削减养殖活动对近海海域环境的扰动，持续走好海洋产业绿色低碳可持续发展路径。</w:t>
              </w:r>
            </w:p>
            <w:p w14:paraId="3E42853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报告期内，公司聚力打造有机海参全产业链闭环，覆盖良种人工育苗、生态围堰养殖全环节，构建 “育苗 — 海上放养 — 合规捕捞 — 安全检测 — 精深加工 — 终端销售” 一体化运营体系，实现全流程标准化管控、产品全程溯源可查。依托完整产业布局，公司积淀形成资源、品牌、全产业链、特色产品、核心技术、沿海区位六大核心竞争优势。截至目前，公司已连续十七年保有有机产品认证，主导及参与制定八项国家、行业标准，凭借过硬产品实力与深厚品牌价值，收获行业及社会各界广泛认可。</w:t>
              </w:r>
            </w:p>
            <w:p w14:paraId="19C3D8E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公司认真执行《沪市公司“提质增效重回报”专项行动》：</w:t>
              </w:r>
            </w:p>
            <w:p w14:paraId="0964770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1、经营情况</w:t>
              </w:r>
            </w:p>
            <w:p w14:paraId="6E37E77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参源育苗厂房已陆续完工，相关智能配套设施已陆续引进海参育苗车间，为降低成本提高产量打下坚实基础。    </w:t>
              </w:r>
            </w:p>
            <w:p w14:paraId="71B8A85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依据海参苗生长习性推广养殖新模式，同时加大推行微生物改善水质，保持海水生态系统健康，为养殖有机海参保驾护航。    </w:t>
              </w:r>
            </w:p>
            <w:p w14:paraId="3B4D8A7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2、回购执行情况    </w:t>
              </w:r>
            </w:p>
            <w:p w14:paraId="28C50CF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2024年6月27日至2024年12月26日期间，唐传勤先生通过上海证券交易所交易系统以集中竞价的交易方式合计增持公司股份5,000,000股，占公司总股本的0.34%，合计增持金额为人民币7,104,714.00 （不含交易费用），详见（公告编号：临2024-035）。    </w:t>
              </w:r>
            </w:p>
            <w:p w14:paraId="2A8FE3A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3、现金分红情况    </w:t>
              </w:r>
            </w:p>
            <w:p w14:paraId="6D1D822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公司以截止2025年12月31日的股本1,460,994</w:t>
              </w:r>
              <w:bookmarkStart w:id="32" w:name="OLE_LINK1"/>
              <w:r>
                <w:rPr>
                  <w:rFonts w:hint="eastAsia"/>
                  <w:color w:val="000000" w:themeColor="text1"/>
                  <w14:textFill>
                    <w14:solidFill>
                      <w14:schemeClr w14:val="tx1"/>
                    </w14:solidFill>
                  </w14:textFill>
                </w:rPr>
                <w:t>,</w:t>
              </w:r>
              <w:bookmarkEnd w:id="32"/>
              <w:r>
                <w:rPr>
                  <w:rFonts w:hint="eastAsia"/>
                  <w:color w:val="000000" w:themeColor="text1"/>
                  <w14:textFill>
                    <w14:solidFill>
                      <w14:schemeClr w14:val="tx1"/>
                    </w14:solidFill>
                  </w14:textFill>
                </w:rPr>
                <w:t xml:space="preserve">304 股为基数，向全体股东按每10股派发现金红利0.0614元（含税），共计派发现金8,970,505.03元，占净利润30.03%。详见（公告编号：临2026-024）。    </w:t>
              </w:r>
            </w:p>
            <w:p w14:paraId="20167E5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4、投资者关系管理</w:t>
              </w:r>
            </w:p>
            <w:p w14:paraId="19F897C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公司高度重视投资者关系管理，严格按照《公司法》《证券法》等相关法律法规和监管要求，履行信息披露义务，确保披露文件内容真实、准确、完整、及时、公平，以便投资者及时了解公司重要信息，切实保护投资者合法权益。2026年5月18日上午9：30在公司5楼2号会议室招开2025年度股东会。公司还通过组织业绩说明会、回复上E 互动和公共邮箱问题、接听投资者热线、接待现场调研、机构反路演等多种方式，与广大投资者保持积极沟通。</w:t>
              </w:r>
            </w:p>
          </w:sdtContent>
        </w:sdt>
        <w:p w14:paraId="70E4A462">
          <w:pPr>
            <w:spacing w:line="360" w:lineRule="auto"/>
            <w:ind w:firstLine="420" w:firstLineChars="200"/>
            <w:rPr>
              <w:color w:val="000000" w:themeColor="text1"/>
              <w14:textFill>
                <w14:solidFill>
                  <w14:schemeClr w14:val="tx1"/>
                </w14:solidFill>
              </w14:textFill>
            </w:rPr>
          </w:pPr>
        </w:p>
      </w:sdtContent>
    </w:sdt>
    <w:p w14:paraId="0E8328AF">
      <w:pPr>
        <w:rPr>
          <w:color w:val="000000" w:themeColor="text1"/>
          <w14:textFill>
            <w14:solidFill>
              <w14:schemeClr w14:val="tx1"/>
            </w14:solidFill>
          </w14:textFill>
        </w:rPr>
      </w:pPr>
    </w:p>
    <w:p w14:paraId="58BC7666">
      <w:pPr>
        <w:rPr>
          <w:rFonts w:ascii="Calibri" w:hAnsi="Calibri" w:cs="Times New Roman"/>
          <w:bCs w:val="0"/>
          <w:kern w:val="2"/>
        </w:rPr>
      </w:pPr>
      <w:bookmarkStart w:id="33" w:name="_Hlk199506625"/>
      <w:bookmarkStart w:id="34" w:name="_Hlk188285089"/>
      <w:r>
        <w:rPr>
          <w:rFonts w:hint="eastAsia" w:ascii="Calibri" w:hAnsi="Calibri" w:cs="Times New Roman"/>
          <w:kern w:val="2"/>
        </w:rPr>
        <w:t>报告期内公司新增重要非主营业务的说明</w:t>
      </w:r>
    </w:p>
    <w:sdt>
      <w:sdtPr>
        <w:rPr>
          <w:rFonts w:hint="eastAsia"/>
        </w:rPr>
        <w:alias w:val="是否适用：报告期内公司新增重要非主营业务的说明[双击切换]"/>
        <w:tag w:val="_GBC_c777ca3f625d446a99f6adbd4267c48a"/>
        <w:id w:val="-441075194"/>
        <w:placeholder>
          <w:docPart w:val="GBC22222222222222222222222222222"/>
        </w:placeholder>
      </w:sdtPr>
      <w:sdtEndPr>
        <w:rPr>
          <w:rFonts w:hint="eastAsia"/>
        </w:rPr>
      </w:sdtEndPr>
      <w:sdtContent>
        <w:p w14:paraId="51170311">
          <w:r>
            <w:rPr>
              <w:rFonts w:hint="eastAsia" w:ascii="宋体" w:hAnsi="宋体"/>
            </w:rPr>
            <w:fldChar w:fldCharType="begin"/>
          </w:r>
          <w:r>
            <w:rPr>
              <w:rFonts w:hint="eastAsia" w:ascii="宋体" w:hAnsi="宋体"/>
            </w:rPr>
            <w:instrText xml:space="preserve"> MACROBUTTON  SnrToggleCheckbox □适用 </w:instrText>
          </w:r>
          <w:r>
            <w:rPr>
              <w:rFonts w:hint="eastAsia" w:ascii="宋体" w:hAnsi="宋体"/>
            </w:rPr>
            <w:fldChar w:fldCharType="end"/>
          </w:r>
          <w:r>
            <w:rPr>
              <w:rFonts w:hint="eastAsia" w:ascii="宋体" w:hAnsi="宋体"/>
            </w:rPr>
            <w:fldChar w:fldCharType="begin"/>
          </w:r>
          <w:r>
            <w:rPr>
              <w:rFonts w:hint="eastAsia" w:ascii="宋体" w:hAnsi="宋体"/>
            </w:rPr>
            <w:instrText xml:space="preserve"> MACROBUTTON  SnrToggleCheckbox √不适用 </w:instrText>
          </w:r>
          <w:r>
            <w:rPr>
              <w:rFonts w:hint="eastAsia" w:ascii="宋体" w:hAnsi="宋体"/>
            </w:rPr>
            <w:fldChar w:fldCharType="end"/>
          </w:r>
        </w:p>
      </w:sdtContent>
    </w:sdt>
    <w:p w14:paraId="7ADD7F1C"/>
    <w:bookmarkEnd w:id="33"/>
    <w:bookmarkEnd w:id="34"/>
    <w:p w14:paraId="1E625082">
      <w:pPr>
        <w:pStyle w:val="3"/>
        <w:numPr>
          <w:ilvl w:val="0"/>
          <w:numId w:val="5"/>
        </w:numPr>
        <w:tabs>
          <w:tab w:val="left" w:pos="426"/>
        </w:tabs>
        <w:jc w:val="left"/>
        <w:rPr>
          <w:rFonts w:hint="eastAsia"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经营情况的讨论与分析</w:t>
      </w:r>
    </w:p>
    <w:sdt>
      <w:sdtPr>
        <w:rPr>
          <w:rFonts w:hint="eastAsia"/>
          <w:color w:val="000000" w:themeColor="text1"/>
          <w14:textFill>
            <w14:solidFill>
              <w14:schemeClr w14:val="tx1"/>
            </w14:solidFill>
          </w14:textFill>
        </w:rPr>
        <w:alias w:val="管理层讨论与分析"/>
        <w:tag w:val="_GBC_886258ec69e240da99b57ac102afbda6"/>
        <w:id w:val="-1537741441"/>
        <w:placeholder>
          <w:docPart w:val="GBC22222222222222222222222222222"/>
        </w:placeholder>
      </w:sdtPr>
      <w:sdtEndPr>
        <w:rPr>
          <w:rFonts w:hint="eastAsia"/>
          <w:color w:val="000000" w:themeColor="text1"/>
          <w14:textFill>
            <w14:solidFill>
              <w14:schemeClr w14:val="tx1"/>
            </w14:solidFill>
          </w14:textFill>
        </w:rPr>
      </w:sdtEndPr>
      <w:sdtContent>
        <w:sdt>
          <w:sdtPr>
            <w:rPr>
              <w:color w:val="000000" w:themeColor="text1"/>
              <w14:textFill>
                <w14:solidFill>
                  <w14:schemeClr w14:val="tx1"/>
                </w14:solidFill>
              </w14:textFill>
            </w:rPr>
            <w:alias w:val="管理层讨论与分析"/>
            <w:tag w:val="_GBC_886258ec69e240da99b57ac102afbda6"/>
            <w:id w:val="59454601"/>
          </w:sdtPr>
          <w:sdtEndPr>
            <w:rPr>
              <w:color w:val="000000" w:themeColor="text1"/>
              <w14:textFill>
                <w14:solidFill>
                  <w14:schemeClr w14:val="tx1"/>
                </w14:solidFill>
              </w14:textFill>
            </w:rPr>
          </w:sdtEndPr>
          <w:sdtContent>
            <w:p w14:paraId="6FAE3A4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2026 年，公司党委在上级党委坚强领导下，坚守初心使命、强化政治引领，始终以习近平新时代中国特色社会主义思想为根本遵循，深入学习贯彻习近平总书记《推动海洋经济高质量发展》重要文章精神，锚定向海图强战略目标，推动党建工作与海洋产业发展深度融合。公司各党支部严格落实 “三会一课”、主题党日制度，常态化组织党员集中学习，带动全体干部职工深学细悟党的各项会议精神，统一思想、凝聚发展合力。公司持续传承弘扬 “艰苦奋斗、诚信创业、科学发展、凭海逐梦” 企业精神，统筹推进产业绿色转型与节能降碳布局，加快构建绿色低碳新型产业发展体系，以生态化养殖模式助力海洋经济可持续高质量发展。 </w:t>
              </w:r>
            </w:p>
            <w:p w14:paraId="638B769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报告期内，公司坚持全员协同的目标管理机制，鼓励广大员工全过程参与经营目标研讨制定。该模式既有效强化员工归属感、责任意识与主人翁精神，也让各层级目标更加贴合企业经营实际、契合产业发展需求；同步统筹母子公司战略协同，确保各子公司经营目标与母公司整体发展规划同频同步，引导全体员工清晰把握岗位工作与企业总体战略的内在关联，凝聚全员干事创业合力。 </w:t>
              </w:r>
            </w:p>
            <w:p w14:paraId="274F0A9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公司牢固树立人才是第一资源、创新是第一动力的发展理念，明确高素质专业人才是夯实企业核心竞争力的内在支撑。2026 年，公司结合各业务板块、各工作团队差异化发展需求，分层分类开展多场次精准化专业技能培训，持续迭代提升全员专业素养与综合履职能力，为企业长远创新发展、深耕海洋产业筑牢人才根基、提供坚实保障。</w:t>
              </w:r>
            </w:p>
            <w:p w14:paraId="32B7937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1、海水养殖业：</w:t>
              </w:r>
            </w:p>
            <w:p w14:paraId="3F68B1A6">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近年来，公司持续加大科研研发投入力度，逐步搭建起覆盖全主导产业的科研创新体系，建成海洋生命科学院、水产研究所、食品检测中心等专业化科研平台，形成产业配套完善、功能齐全的自主研发格局。同时，公司深耕产学研协同创新，与中国水产科学研究院黄海水产研究所、中国海洋大学、山东省科学院生物研究所、江南大学等多家知名科研院校建立长期稳定的战略合作关系，持续整合前沿技术资源，为公司绿色生态养殖、产业可持续高质量发展筑牢技术根基。</w:t>
              </w:r>
            </w:p>
            <w:p w14:paraId="2E73F28A">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报告期内，公司坚持以产业链布局创新链，推动海参产业向集约化、集成化、机械化、自动化、信息化、智能化的现代化方向转型升级。公司从养殖源头严控品质，坚守无公害、零药残、有机化养殖标准，构建“育苗、养殖、加工、销售、终端餐桌”全链条闭环体系，实现好当家有机刺参全流程质量管控、全程溯源可查，全面保障产品品质安全。</w:t>
              </w:r>
            </w:p>
            <w:p w14:paraId="312C6BAE">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产业硬件升级方面，公司130余万平方米现代化海参育苗车间已全面投产运营，规模化、标准化育苗产能持续释放。市场终端层面，公司创新搭建多元化营销体系，整合直营门店、加盟渠道、电视购物及天猫、淘宝、抖音等线上电商平台，多维落地品牌发展战略。依托繁育养殖理论迭代、核心养殖技术升级，公司产业提质增效成果显著，经营发展态势稳健向好。2025年12月，公司海参产品顺利通过有机食品认证，实现</w:t>
              </w:r>
              <w:r>
                <w:rPr>
                  <w:bCs w:val="0"/>
                  <w:color w:val="000000" w:themeColor="text1"/>
                  <w14:textFill>
                    <w14:solidFill>
                      <w14:schemeClr w14:val="tx1"/>
                    </w14:solidFill>
                  </w14:textFill>
                </w:rPr>
                <w:t>连续17年获评有机产品认证，</w:t>
              </w:r>
              <w:r>
                <w:rPr>
                  <w:color w:val="000000" w:themeColor="text1"/>
                  <w14:textFill>
                    <w14:solidFill>
                      <w14:schemeClr w14:val="tx1"/>
                    </w14:solidFill>
                  </w14:textFill>
                </w:rPr>
                <w:t>核心产品品质与品牌公信力持续领跑行业。</w:t>
              </w:r>
            </w:p>
            <w:p w14:paraId="36D476C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2、海洋捕捞业：</w:t>
              </w:r>
            </w:p>
            <w:p w14:paraId="4425050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报告期内，公司持续深耕海洋捕捞及配套产业，稳步扩大产业规模，已构建起“捕捞、加工、销售”一体化经营体系。受海洋渔业资源过度开发、捕捞结构不尽合理、海域自然环境变化、气候异常波动、渔船保有量增加、生产运营成本攀升等多重因素叠加影响，公司海洋捕捞板块整体经济效益不及预期。立足行业发展新形势，公司主动对标渔业资源养护与产业高质量发展要求，严格规范捕捞作业品类，从严管控捕捞作业强度，持续优化渔业生产结构，推动捕捞产业向规范化、可持续化方向转型升级。</w:t>
              </w:r>
            </w:p>
            <w:p w14:paraId="4EB06EC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3、冷冻食品业：</w:t>
              </w:r>
            </w:p>
            <w:p w14:paraId="0A8209E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报告期内，全球政治经济环境复杂严峻、不确定性显著上升，叠加贸易关税抬升、汇率大幅波动、原材料与人工成本持续走高、海运运价波动剧烈等多重压力，海外市场竞争进一步加剧。</w:t>
              </w:r>
            </w:p>
            <w:p w14:paraId="17DFFD8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面对外部经营挑战，公司管理层在董事长统筹带领下，深入开展国内外冷冻食品市场调研，精准研判行业发展态势。围绕原材料采购、产品生产、终端销售全链条实施精细化优化升级，全方位压降经营损耗、提升运营效率。</w:t>
              </w:r>
            </w:p>
            <w:p w14:paraId="6E3A6DE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采购端推行大宗原料集中集采模式，直连上游生产厂商，压缩中间流通环节，有效控制采购成本；生产端推进原材料集中精深加工，依据产品规格分级分档处理，提升原料出成率与综合利用率，持续摊薄单位直接生产成本，最大化产品盈利空间。排产环节按照工艺流程、订单交期统筹整合生产计划，科学精简生产线在岗人员；同步推进设备迭代升级，以半自动化设备替代传统人工、全自动化装备升级置换半自动化产线，持续释放生产效能，降低人工支出。市场拓展方面，公司积极参与国内外专业展会，实时掌握行业前沿趋势，坚持新品迭代研发，在稳固存量合作客户的基础上，持续吸引海内外新客户洽谈合作。</w:t>
              </w:r>
            </w:p>
            <w:p w14:paraId="0A98C6E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同时，公司持续加码科研投入、引育创新专业人才，恪守 “以质量立企、以信誉兴业” 经营理念，深耕新品研发赛道，稳步提升产品市场占有率，强化公司在食品产业领域的自主创新水平与核心竞争优势。公司坚定不移实施 “科技兴企” 发展战略，统筹整合各类创新资源，布局更深层次、更高水平的技术攻关，以科创赋能食品产业转型升级。</w:t>
              </w:r>
            </w:p>
            <w:p w14:paraId="36EBE16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4、医药保健：</w:t>
              </w:r>
            </w:p>
            <w:p w14:paraId="36B1261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报告期内，在董事会带领下，全体员工恪守 “秉持科学审慎态度、实行严谨生产管理、提供周到贴心服务” 经营理念，专注研发适配大众需求的海洋营养保健品，助力国民健康产业发展。公司坚持创新研发引领发展，紧跟市场消费趋势，持续优化业务布局，同步升级售前营销与售后配套服务，持续稳固市场基本盘。 </w:t>
              </w:r>
            </w:p>
            <w:p w14:paraId="04589B9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下一步，公司持续夯实经营管控水平，完善适配全产业链的研产销一体化管控体系，全面增强医药保健板块综合核心竞争力；细化各层级业绩考核指标，优化内部运营架构，构建长效激励约束机制；深耕企业文化培育，凝聚全员发展合力，保障公司整体战略落地，实现企业综合价值最大化。同时，持续强化组织建设能力，优化顶层战略规划、管控权责与部门职能划分，搭建科学高效的组织管理体系，为中长期战略目标落地实施提供坚实保障。</w:t>
              </w:r>
            </w:p>
            <w:p w14:paraId="66503960">
              <w:pPr>
                <w:spacing w:line="360" w:lineRule="auto"/>
                <w:ind w:firstLine="420" w:firstLineChars="200"/>
                <w:rPr>
                  <w:color w:val="000000" w:themeColor="text1"/>
                  <w14:textFill>
                    <w14:solidFill>
                      <w14:schemeClr w14:val="tx1"/>
                    </w14:solidFill>
                  </w14:textFill>
                </w:rPr>
              </w:pPr>
              <w:bookmarkStart w:id="35" w:name="OLE_LINK23"/>
              <w:r>
                <w:rPr>
                  <w:rFonts w:hint="eastAsia"/>
                  <w:color w:val="000000" w:themeColor="text1"/>
                  <w14:textFill>
                    <w14:solidFill>
                      <w14:schemeClr w14:val="tx1"/>
                    </w14:solidFill>
                  </w14:textFill>
                </w:rPr>
                <w:t>5、报告期内，市场环境超出预期，受此影响，公司实现营业收入803,063,529.11元，实现归属上市公司股东净利润29,978,804.61元，分别比去年同期增长12.99%、增长21.74％。报告期内，鲜海参累计捕捞3,114.78吨，比去年同期降低13.11％，其中：对外销售2,636.62吨，较去年同期降低7.05％；对内转库存478.16吨。面对不利的市场环境，公司积极应对市场挑战，采取多项措施，降本增效稳经营。</w:t>
              </w:r>
            </w:p>
          </w:sdtContent>
        </w:sdt>
      </w:sdtContent>
    </w:sdt>
    <w:bookmarkEnd w:id="35"/>
    <w:p w14:paraId="2EB60040">
      <w:pPr>
        <w:rPr>
          <w:color w:val="000000" w:themeColor="text1"/>
          <w14:textFill>
            <w14:solidFill>
              <w14:schemeClr w14:val="tx1"/>
            </w14:solidFill>
          </w14:textFill>
        </w:rPr>
      </w:pPr>
    </w:p>
    <w:p w14:paraId="17347211">
      <w:pPr>
        <w:rPr>
          <w:b/>
          <w:bCs w:val="0"/>
          <w:color w:val="000000" w:themeColor="text1"/>
          <w14:textFill>
            <w14:solidFill>
              <w14:schemeClr w14:val="tx1"/>
            </w14:solidFill>
          </w14:textFill>
        </w:rPr>
      </w:pPr>
      <w:r>
        <w:rPr>
          <w:rFonts w:hint="eastAsia"/>
          <w:b/>
          <w:color w:val="000000" w:themeColor="text1"/>
          <w14:textFill>
            <w14:solidFill>
              <w14:schemeClr w14:val="tx1"/>
            </w14:solidFill>
          </w14:textFill>
        </w:rPr>
        <w:t>报告期内公司经营情况的重大变化，以及报告期内发生的对公司经营情况有重大影响和预计未来会有重大影响的事项</w:t>
      </w:r>
    </w:p>
    <w:sdt>
      <w:sdtPr>
        <w:rPr>
          <w:rFonts w:hint="eastAsia"/>
          <w:color w:val="000000" w:themeColor="text1"/>
          <w14:textFill>
            <w14:solidFill>
              <w14:schemeClr w14:val="tx1"/>
            </w14:solidFill>
          </w14:textFill>
        </w:rPr>
        <w:alias w:val="是否适用：报告期内公司经营情况的重大变化，以及报告期内发生的对公司经营情况有重大影响和预计未来会有重大影响的事项[双击切换]"/>
        <w:tag w:val="_GBC_0f91ff55b5a9406ea662149119d7e23c"/>
        <w:id w:val="-2108029071"/>
        <w:placeholder>
          <w:docPart w:val="GBC22222222222222222222222222222"/>
        </w:placeholder>
      </w:sdtPr>
      <w:sdtEndPr>
        <w:rPr>
          <w:rFonts w:hint="eastAsia"/>
          <w:color w:val="000000" w:themeColor="text1"/>
          <w14:textFill>
            <w14:solidFill>
              <w14:schemeClr w14:val="tx1"/>
            </w14:solidFill>
          </w14:textFill>
        </w:rPr>
      </w:sdtEndPr>
      <w:sdtContent>
        <w:p w14:paraId="5208AF5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23BB383">
      <w:pPr>
        <w:rPr>
          <w:color w:val="000000" w:themeColor="text1"/>
          <w14:textFill>
            <w14:solidFill>
              <w14:schemeClr w14:val="tx1"/>
            </w14:solidFill>
          </w14:textFill>
        </w:rPr>
      </w:pPr>
    </w:p>
    <w:p w14:paraId="37627BB0">
      <w:pPr>
        <w:pStyle w:val="3"/>
        <w:numPr>
          <w:ilvl w:val="0"/>
          <w:numId w:val="5"/>
        </w:numPr>
        <w:tabs>
          <w:tab w:val="left" w:pos="426"/>
        </w:tabs>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报告期内核心竞争力分析</w:t>
      </w:r>
    </w:p>
    <w:sdt>
      <w:sdtPr>
        <w:rPr>
          <w:color w:val="000000" w:themeColor="text1"/>
          <w14:textFill>
            <w14:solidFill>
              <w14:schemeClr w14:val="tx1"/>
            </w14:solidFill>
          </w14:textFill>
        </w:rPr>
        <w:alias w:val="是否适用：报告期内核心竞争力分析[双击切换]"/>
        <w:tag w:val="_GBC_f5e4beedb06c4dedb1da9c7f429d840e"/>
        <w:id w:val="-1951691901"/>
        <w:placeholder>
          <w:docPart w:val="GBC22222222222222222222222222222"/>
        </w:placeholder>
      </w:sdtPr>
      <w:sdtEndPr>
        <w:rPr>
          <w:color w:val="000000" w:themeColor="text1"/>
          <w14:textFill>
            <w14:solidFill>
              <w14:schemeClr w14:val="tx1"/>
            </w14:solidFill>
          </w14:textFill>
        </w:rPr>
      </w:sdtEndPr>
      <w:sdtContent>
        <w:p w14:paraId="582FD34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rFonts w:hint="eastAsia" w:ascii="Calibri" w:hAnsi="Calibri" w:cs="Times New Roman"/>
          <w:color w:val="000000" w:themeColor="text1"/>
          <w:kern w:val="2"/>
          <w:szCs w:val="22"/>
          <w14:textFill>
            <w14:solidFill>
              <w14:schemeClr w14:val="tx1"/>
            </w14:solidFill>
          </w14:textFill>
        </w:rPr>
        <w:alias w:val="报告期内核心竞争力分析"/>
        <w:tag w:val="_GBC_2aded0644185447a9ec788ba0b35ac4f"/>
        <w:id w:val="-2039263825"/>
        <w:placeholder>
          <w:docPart w:val="GBC22222222222222222222222222222"/>
        </w:placeholder>
      </w:sdtPr>
      <w:sdtEndPr>
        <w:rPr>
          <w:rFonts w:hint="eastAsia" w:ascii="Times New Roman" w:hAnsi="Times New Roman" w:cs="宋体"/>
          <w:color w:val="000000" w:themeColor="text1"/>
          <w:kern w:val="0"/>
          <w:szCs w:val="21"/>
          <w14:textFill>
            <w14:solidFill>
              <w14:schemeClr w14:val="tx1"/>
            </w14:solidFill>
          </w14:textFill>
        </w:rPr>
      </w:sdtEndPr>
      <w:sdtContent>
        <w:p w14:paraId="30AC1EF6">
          <w:pPr>
            <w:spacing w:line="360" w:lineRule="auto"/>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1、优质海域资源优势</w:t>
          </w:r>
        </w:p>
        <w:p w14:paraId="64ABB8EB">
          <w:pPr>
            <w:spacing w:line="360" w:lineRule="auto"/>
            <w:ind w:firstLine="420" w:firstLineChars="200"/>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优质海域资源是海珍品养殖提质增效、稳健经营发展的核心基础。公司养殖基地地处黄渤海核心优质海域，海域水质肥沃、水文条件稳定，水温、盐度、洋流及营养盐等自然生态条件优越，高度适配高端刺参等海珍品的生长繁育，具备发展高品质海水养殖得天独厚的自然区位禀赋。作为农业产业化国家重点龙头企业，公司养殖水域为全国水产养殖标准化示范区。</w:t>
          </w:r>
        </w:p>
        <w:p w14:paraId="562C8AD9">
          <w:pPr>
            <w:spacing w:line="360" w:lineRule="auto"/>
            <w:ind w:firstLine="420" w:firstLineChars="200"/>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目前，公司拥有围堰精养海域面积5万亩，配套建成总规模130万平方米的现代化海参育苗车间，形成国内规模领先、标准化程度高的有机刺参专业化育苗及养殖基地，资源储备充足、产能基础扎实，为公司主营业务持续稳定发展提供坚实保障。</w:t>
          </w:r>
        </w:p>
        <w:p w14:paraId="05D78B9D">
          <w:pPr>
            <w:spacing w:line="360" w:lineRule="auto"/>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 xml:space="preserve"> 2、行业标杆品牌优势</w:t>
          </w:r>
        </w:p>
        <w:p w14:paraId="735B64F3">
          <w:pPr>
            <w:spacing w:line="360" w:lineRule="auto"/>
            <w:ind w:firstLine="420" w:firstLineChars="200"/>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公司于2004年在上交所挂牌上市，是国内首家以海洋水产为主营业务的上市公司，行业品牌先发优势显著。公司先后荣获国家级水产健康养殖示范场、国家级刺参养殖与加工标准化示范区、省级刺参良种场、无公害养殖基地、省级非物质文化遗产等多项重要资质荣誉。</w:t>
          </w:r>
        </w:p>
        <w:p w14:paraId="3913C546">
          <w:pPr>
            <w:spacing w:line="360" w:lineRule="auto"/>
            <w:ind w:firstLine="420" w:firstLineChars="200"/>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公司核心海参产品连续十七年通过国家有机产品认证，是国内有机海参全产业链标准化发展的先行者与标杆企业。长期规范经营、持续稳定的品质输出，使公司在行业内积累了良好的品牌口碑与市场公信力，品牌壁垒优势突出。</w:t>
          </w:r>
        </w:p>
        <w:p w14:paraId="4683F3F5">
          <w:pPr>
            <w:spacing w:line="360" w:lineRule="auto"/>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 xml:space="preserve"> 3、完整全产业链优势</w:t>
          </w:r>
        </w:p>
        <w:p w14:paraId="037E0915">
          <w:pPr>
            <w:spacing w:line="360" w:lineRule="auto"/>
            <w:ind w:firstLine="420"/>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公司已构建起良种育种、人工育苗、生态养殖、精深加工、终端销售一体化的完整海参全产业链经营体系，各业务环节深度协同。公司全生产流程严格遵循绿色生态养殖标准，建立全程可追溯的品质管控体系，实现从苗种培育到终端产品的全链条质量可控、标准可依。</w:t>
          </w:r>
        </w:p>
        <w:p w14:paraId="4F32DC90">
          <w:pPr>
            <w:spacing w:line="360" w:lineRule="auto"/>
            <w:ind w:firstLine="420"/>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依托成熟的规模化养殖管理模式，公司有效控制生产运营成本，形成显著的产业链协同优势与较强的行业风险抵御能力。报告期内，公司持续推进高端海参制品研发创新、加工产能升级改造、品牌渠道深耕拓展，产业链综合运营能力持续提升。</w:t>
          </w:r>
        </w:p>
        <w:p w14:paraId="6D4462FE">
          <w:pPr>
            <w:spacing w:line="360" w:lineRule="auto"/>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 xml:space="preserve"> 4、多层次产品矩阵优势</w:t>
          </w:r>
        </w:p>
        <w:p w14:paraId="38EEB5F1">
          <w:pPr>
            <w:spacing w:line="360" w:lineRule="auto"/>
            <w:ind w:firstLine="420" w:firstLineChars="200"/>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 xml:space="preserve">公司聚焦高端海珍品赛道，核心产品品质优良、营养价值突出，形成品类齐全、层级清晰的海参产品体系，涵盖淡干、冷冻、即食、冻干四大基础海参系列，全面满足传统消费场景需求。  在基础产品之上，公司持续延伸食品加工产业链，丰富高端预制菜产品矩阵，成功推出小米海参、佛跳墙、酱烧海参、金汤海参、鲍汁海参等即食类高端预制产品，适配现代便捷消费趋势。  </w:t>
          </w:r>
        </w:p>
        <w:p w14:paraId="73968C94">
          <w:pPr>
            <w:spacing w:line="360" w:lineRule="auto"/>
            <w:ind w:firstLine="420" w:firstLineChars="200"/>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同时，依托生物萃取技术，有效提取海参多糖、海参多肽等活性营养成分，开发海参口服液、海参原浆、刺参软胶囊、海参西洋参口服液等海洋健康保健食品，顺利布局大健康、保健食品领域，打开全新业绩增长空间。多元化、梯度化的产品布局能够精准匹配不同层级、不同场景的消费需求，有效提升公司市场抗风险能力与综合经营竞争力。</w:t>
          </w:r>
        </w:p>
        <w:p w14:paraId="719BEF97">
          <w:pPr>
            <w:spacing w:line="360" w:lineRule="auto"/>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5、持续迭代的技术研发优势</w:t>
          </w:r>
        </w:p>
        <w:p w14:paraId="27A7020B">
          <w:pPr>
            <w:spacing w:line="360" w:lineRule="auto"/>
            <w:ind w:firstLine="420" w:firstLineChars="200"/>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公司高度重视科技创新赋能产业升级，持续稳定加大研发投入，搭建了覆盖养殖、育苗、加工、检测全链条的科研创新平台，拥有海洋生命科学院、水产研究所、食品检测中心等专业科研载体，构建体系化、专业化的内部科研体系。同时，公司与中国海洋大学、中国水产科学研究院黄海水产研究所、山东省科学院生物研究所、江南大学等多家知名高校及科研院所建立长期、稳定的产学研合作机制，实现前沿科研成果与产业实践深度融合。</w:t>
          </w:r>
        </w:p>
        <w:p w14:paraId="06436E5E">
          <w:pPr>
            <w:spacing w:line="360" w:lineRule="auto"/>
            <w:ind w:firstLine="420" w:firstLineChars="200"/>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公司依托技术创新持续优化养殖模式，创新应用良种改良、生态混养、底播增养、标准化集约养殖、智能化管控等先进技术，不断提升种苗成活率、养殖产出效率与产品品质，持续巩固公司技术领先优势。</w:t>
          </w:r>
        </w:p>
        <w:p w14:paraId="63EDBF06">
          <w:pPr>
            <w:spacing w:line="360" w:lineRule="auto"/>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6、便捷立体的区位交通优势</w:t>
          </w:r>
        </w:p>
        <w:p w14:paraId="75653EFD">
          <w:pPr>
            <w:spacing w:line="360" w:lineRule="auto"/>
            <w:ind w:firstLine="420" w:firstLineChars="200"/>
            <w:rPr>
              <w:rFonts w:ascii="Calibri" w:hAnsi="Calibri" w:cs="Times New Roman"/>
              <w:color w:val="000000" w:themeColor="text1"/>
              <w:kern w:val="2"/>
              <w:szCs w:val="22"/>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公司生产基地区位优势显著，海陆空立体交通体系完善、物流通达性强。基地距威海机场30公里、烟台机场120公里、青荣城际高铁站35公里，紧邻青威、烟威主干高速公路，陆路交通高效便捷。</w:t>
          </w:r>
        </w:p>
        <w:p w14:paraId="5619E30E">
          <w:pPr>
            <w:spacing w:line="360" w:lineRule="auto"/>
            <w:ind w:firstLine="420" w:firstLineChars="200"/>
            <w:rPr>
              <w:color w:val="000000" w:themeColor="text1"/>
              <w14:textFill>
                <w14:solidFill>
                  <w14:schemeClr w14:val="tx1"/>
                </w14:solidFill>
              </w14:textFill>
            </w:rPr>
          </w:pPr>
          <w:r>
            <w:rPr>
              <w:rFonts w:hint="eastAsia" w:ascii="Calibri" w:hAnsi="Calibri" w:cs="Times New Roman"/>
              <w:color w:val="000000" w:themeColor="text1"/>
              <w:kern w:val="2"/>
              <w:szCs w:val="22"/>
              <w14:textFill>
                <w14:solidFill>
                  <w14:schemeClr w14:val="tx1"/>
                </w14:solidFill>
              </w14:textFill>
            </w:rPr>
            <w:t>同时，基地毗邻石岛港、龙眼港两大国家级一类对外开放口岸，通往日韩、东南亚等地区海运航线成熟畅通，进出口物流成本可控、通关效率较高，为公司水产品出口贸易、原料采购、产品外运提供了优越的区位物流条件，有效支撑公司国内外市场业务稳健拓展。</w:t>
          </w:r>
        </w:p>
      </w:sdtContent>
    </w:sdt>
    <w:p w14:paraId="31601ACB">
      <w:pPr>
        <w:rPr>
          <w:color w:val="000000" w:themeColor="text1"/>
          <w14:textFill>
            <w14:solidFill>
              <w14:schemeClr w14:val="tx1"/>
            </w14:solidFill>
          </w14:textFill>
        </w:rPr>
      </w:pPr>
    </w:p>
    <w:p w14:paraId="4EF0B20A">
      <w:pPr>
        <w:pStyle w:val="3"/>
        <w:numPr>
          <w:ilvl w:val="0"/>
          <w:numId w:val="5"/>
        </w:numPr>
        <w:tabs>
          <w:tab w:val="left" w:pos="426"/>
        </w:tabs>
        <w:ind w:left="422" w:hanging="422"/>
        <w:jc w:val="left"/>
        <w:rPr>
          <w:rFonts w:hint="eastAsia"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报告期内主要经营情况</w:t>
      </w:r>
    </w:p>
    <w:p w14:paraId="02EB10BD">
      <w:pPr>
        <w:pStyle w:val="4"/>
        <w:numPr>
          <w:ilvl w:val="0"/>
          <w:numId w:val="6"/>
        </w:numPr>
        <w:rPr>
          <w:rFonts w:hint="eastAsia" w:ascii="宋体" w:hAnsi="宋体"/>
          <w:color w:val="000000" w:themeColor="text1"/>
          <w14:textFill>
            <w14:solidFill>
              <w14:schemeClr w14:val="tx1"/>
            </w14:solidFill>
          </w14:textFill>
        </w:rPr>
      </w:pPr>
      <w:bookmarkStart w:id="36" w:name="_Toc342559738"/>
      <w:bookmarkStart w:id="37" w:name="_Toc342565895"/>
      <w:r>
        <w:rPr>
          <w:rFonts w:hint="eastAsia" w:ascii="宋体" w:hAnsi="宋体"/>
          <w:color w:val="000000" w:themeColor="text1"/>
          <w14:textFill>
            <w14:solidFill>
              <w14:schemeClr w14:val="tx1"/>
            </w14:solidFill>
          </w14:textFill>
        </w:rPr>
        <w:t>主营业务分析</w:t>
      </w:r>
      <w:bookmarkEnd w:id="36"/>
      <w:bookmarkEnd w:id="37"/>
    </w:p>
    <w:p w14:paraId="0EEDD3BE">
      <w:pPr>
        <w:pStyle w:val="5"/>
        <w:numPr>
          <w:ilvl w:val="0"/>
          <w:numId w:val="7"/>
        </w:numPr>
        <w:rPr>
          <w:rFonts w:hint="eastAsia" w:ascii="宋体" w:hAnsi="宋体"/>
          <w:color w:val="000000" w:themeColor="text1"/>
          <w14:textFill>
            <w14:solidFill>
              <w14:schemeClr w14:val="tx1"/>
            </w14:solidFill>
          </w14:textFill>
        </w:rPr>
      </w:pPr>
      <w:bookmarkStart w:id="38" w:name="_Toc342559739"/>
      <w:bookmarkStart w:id="39" w:name="_Toc342565896"/>
      <w:r>
        <w:rPr>
          <w:rFonts w:hint="eastAsia" w:ascii="宋体" w:hAnsi="宋体"/>
          <w:color w:val="000000" w:themeColor="text1"/>
          <w14:textFill>
            <w14:solidFill>
              <w14:schemeClr w14:val="tx1"/>
            </w14:solidFill>
          </w14:textFill>
        </w:rPr>
        <w:t>财务报表相关科目变动分析表</w:t>
      </w:r>
      <w:bookmarkEnd w:id="38"/>
      <w:bookmarkEnd w:id="39"/>
    </w:p>
    <w:p w14:paraId="54E0D287">
      <w:pPr>
        <w:pStyle w:val="55"/>
        <w:ind w:left="360" w:firstLine="0" w:firstLineChars="0"/>
        <w:jc w:val="right"/>
        <w:rPr>
          <w:rFonts w:hint="eastAsia" w:ascii="宋体" w:hAnsi="宋体"/>
          <w:color w:val="000000" w:themeColor="text1"/>
          <w14:textFill>
            <w14:solidFill>
              <w14:schemeClr w14:val="tx1"/>
            </w14:solidFill>
          </w14:textFill>
        </w:rPr>
      </w:pPr>
      <w:bookmarkStart w:id="40" w:name="_Hlk10208083"/>
      <w:r>
        <w:rPr>
          <w:rFonts w:hint="eastAsia" w:ascii="宋体" w:hAnsi="宋体"/>
          <w:color w:val="000000" w:themeColor="text1"/>
          <w:szCs w:val="21"/>
          <w14:textFill>
            <w14:solidFill>
              <w14:schemeClr w14:val="tx1"/>
            </w14:solidFill>
          </w14:textFill>
        </w:rPr>
        <w:t>单位</w:t>
      </w:r>
      <w:r>
        <w:rPr>
          <w:rFonts w:ascii="宋体" w:hAnsi="宋体"/>
          <w:color w:val="000000" w:themeColor="text1"/>
          <w:szCs w:val="21"/>
          <w14:textFill>
            <w14:solidFill>
              <w14:schemeClr w14:val="tx1"/>
            </w14:solidFill>
          </w14:textFill>
        </w:rPr>
        <w:t>：</w:t>
      </w:r>
      <w:sdt>
        <w:sdtPr>
          <w:rPr>
            <w:rFonts w:ascii="宋体" w:hAnsi="宋体"/>
            <w:color w:val="000000" w:themeColor="text1"/>
            <w:szCs w:val="21"/>
            <w14:textFill>
              <w14:solidFill>
                <w14:schemeClr w14:val="tx1"/>
              </w14:solidFill>
            </w14:textFill>
          </w:rPr>
          <w:alias w:val="单位：利润表及现金流量表相关科目变动分析表"/>
          <w:tag w:val="_GBC_ece1a77905b94e6db0c76206578fe2db"/>
          <w:id w:val="20111040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ascii="宋体" w:hAnsi="宋体"/>
            <w:color w:val="000000" w:themeColor="text1"/>
            <w:szCs w:val="21"/>
            <w14:textFill>
              <w14:solidFill>
                <w14:schemeClr w14:val="tx1"/>
              </w14:solidFill>
            </w14:textFill>
          </w:rPr>
        </w:sdtEndPr>
        <w:sdtContent>
          <w:r>
            <w:rPr>
              <w:rFonts w:ascii="宋体" w:hAnsi="宋体"/>
              <w:color w:val="000000" w:themeColor="text1"/>
              <w:szCs w:val="21"/>
              <w14:textFill>
                <w14:solidFill>
                  <w14:schemeClr w14:val="tx1"/>
                </w14:solidFill>
              </w14:textFill>
            </w:rPr>
            <w:t>元</w:t>
          </w:r>
        </w:sdtContent>
      </w:sdt>
      <w:r>
        <w:rPr>
          <w:rFonts w:hint="eastAsia" w:ascii="宋体" w:hAnsi="宋体"/>
          <w:color w:val="000000" w:themeColor="text1"/>
          <w:szCs w:val="21"/>
          <w14:textFill>
            <w14:solidFill>
              <w14:schemeClr w14:val="tx1"/>
            </w14:solidFill>
          </w14:textFill>
        </w:rPr>
        <w:t xml:space="preserve">  币种：</w:t>
      </w:r>
      <w:sdt>
        <w:sdtPr>
          <w:rPr>
            <w:rFonts w:ascii="宋体" w:hAnsi="宋体"/>
            <w:color w:val="000000" w:themeColor="text1"/>
            <w:szCs w:val="21"/>
            <w14:textFill>
              <w14:solidFill>
                <w14:schemeClr w14:val="tx1"/>
              </w14:solidFill>
            </w14:textFill>
          </w:rPr>
          <w:alias w:val="币种：利润表及现金流量表相关科目变动分析表"/>
          <w:tag w:val="_GBC_6c86f79f9e2349b09f37ad908cd43f73"/>
          <w:id w:val="-1943095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ascii="宋体" w:hAnsi="宋体"/>
            <w:color w:val="000000" w:themeColor="text1"/>
            <w:szCs w:val="21"/>
            <w14:textFill>
              <w14:solidFill>
                <w14:schemeClr w14:val="tx1"/>
              </w14:solidFill>
            </w14:textFill>
          </w:rPr>
        </w:sdtEndPr>
        <w:sdtContent>
          <w:r>
            <w:rPr>
              <w:rFonts w:ascii="宋体" w:hAnsi="宋体"/>
              <w:color w:val="000000" w:themeColor="text1"/>
              <w:szCs w:val="21"/>
              <w14:textFill>
                <w14:solidFill>
                  <w14:schemeClr w14:val="tx1"/>
                </w14:solidFill>
              </w14:textFill>
            </w:rPr>
            <w:t>人民币</w:t>
          </w:r>
        </w:sdtContent>
      </w:sdt>
    </w:p>
    <w:tbl>
      <w:tblPr>
        <w:tblStyle w:val="38"/>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8"/>
        <w:gridCol w:w="2073"/>
        <w:gridCol w:w="1935"/>
        <w:gridCol w:w="1796"/>
      </w:tblGrid>
      <w:tr w14:paraId="1382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2e2e0d1bb8d44a278061305ea6808979"/>
            <w:id w:val="-1473509214"/>
          </w:sdtPr>
          <w:sdtContent>
            <w:tc>
              <w:tcPr>
                <w:tcW w:w="1707" w:type="pct"/>
                <w:vAlign w:val="center"/>
              </w:tcPr>
              <w:p w14:paraId="4FF95FDB">
                <w:pPr>
                  <w:pStyle w:val="55"/>
                  <w:ind w:firstLine="0" w:firstLineChars="0"/>
                  <w:jc w:val="center"/>
                  <w:rPr>
                    <w:rFonts w:hint="eastAsia" w:ascii="宋体" w:hAnsi="宋体"/>
                    <w:color w:val="000000" w:themeColor="text1"/>
                    <w:szCs w:val="21"/>
                    <w14:textFill>
                      <w14:solidFill>
                        <w14:schemeClr w14:val="tx1"/>
                      </w14:solidFill>
                    </w14:textFill>
                  </w:rPr>
                </w:pPr>
                <w:bookmarkStart w:id="41" w:name="_Hlk10208057"/>
                <w:r>
                  <w:rPr>
                    <w:rFonts w:hint="eastAsia" w:ascii="宋体" w:hAnsi="宋体"/>
                    <w:color w:val="000000" w:themeColor="text1"/>
                    <w:szCs w:val="21"/>
                    <w14:textFill>
                      <w14:solidFill>
                        <w14:schemeClr w14:val="tx1"/>
                      </w14:solidFill>
                    </w14:textFill>
                  </w:rPr>
                  <w:t>科目</w:t>
                </w:r>
              </w:p>
            </w:tc>
          </w:sdtContent>
        </w:sdt>
        <w:sdt>
          <w:sdtPr>
            <w:tag w:val="_PLD_37391874ab08430b841a55f53c4d20e6"/>
            <w:id w:val="2000150521"/>
          </w:sdtPr>
          <w:sdtContent>
            <w:tc>
              <w:tcPr>
                <w:tcW w:w="1176" w:type="pct"/>
                <w:vAlign w:val="center"/>
              </w:tcPr>
              <w:p w14:paraId="2CDF3418">
                <w:pPr>
                  <w:pStyle w:val="55"/>
                  <w:ind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本期数</w:t>
                </w:r>
              </w:p>
            </w:tc>
          </w:sdtContent>
        </w:sdt>
        <w:sdt>
          <w:sdtPr>
            <w:tag w:val="_PLD_d061bf6d7e824e93a5540d2e36feb15d"/>
            <w:id w:val="-1023097212"/>
          </w:sdtPr>
          <w:sdtContent>
            <w:tc>
              <w:tcPr>
                <w:tcW w:w="1098" w:type="pct"/>
                <w:vAlign w:val="center"/>
              </w:tcPr>
              <w:p w14:paraId="09DE46E7">
                <w:pPr>
                  <w:pStyle w:val="55"/>
                  <w:ind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上年同期数</w:t>
                </w:r>
              </w:p>
            </w:tc>
          </w:sdtContent>
        </w:sdt>
        <w:sdt>
          <w:sdtPr>
            <w:tag w:val="_PLD_1792b71106c34c75af22292391c96e49"/>
            <w:id w:val="388300186"/>
          </w:sdtPr>
          <w:sdtContent>
            <w:tc>
              <w:tcPr>
                <w:tcW w:w="1019" w:type="pct"/>
                <w:vAlign w:val="center"/>
              </w:tcPr>
              <w:p w14:paraId="2F52B8A7">
                <w:pPr>
                  <w:pStyle w:val="55"/>
                  <w:ind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变动比例（%）</w:t>
                </w:r>
              </w:p>
            </w:tc>
          </w:sdtContent>
        </w:sdt>
      </w:tr>
      <w:tr w14:paraId="2C97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15B42A05">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营业收入</w:t>
            </w:r>
          </w:p>
        </w:tc>
        <w:tc>
          <w:tcPr>
            <w:tcW w:w="1176" w:type="pct"/>
          </w:tcPr>
          <w:p w14:paraId="3BBCAE53">
            <w:pPr>
              <w:pStyle w:val="55"/>
              <w:ind w:firstLine="0" w:firstLineChars="0"/>
              <w:jc w:val="right"/>
              <w:rPr>
                <w:rFonts w:ascii="Times New Roman" w:hAnsi="Times New Roman"/>
                <w:szCs w:val="21"/>
              </w:rPr>
            </w:pPr>
            <w:r>
              <w:rPr>
                <w:rFonts w:ascii="Times New Roman" w:hAnsi="Times New Roman"/>
                <w:szCs w:val="21"/>
              </w:rPr>
              <w:t>803,063,529.11</w:t>
            </w:r>
          </w:p>
        </w:tc>
        <w:tc>
          <w:tcPr>
            <w:tcW w:w="1098" w:type="pct"/>
          </w:tcPr>
          <w:p w14:paraId="50787BF2">
            <w:pPr>
              <w:pStyle w:val="55"/>
              <w:ind w:firstLine="0" w:firstLineChars="0"/>
              <w:jc w:val="right"/>
              <w:rPr>
                <w:rFonts w:ascii="Times New Roman" w:hAnsi="Times New Roman"/>
                <w:szCs w:val="21"/>
              </w:rPr>
            </w:pPr>
            <w:r>
              <w:rPr>
                <w:rFonts w:ascii="Times New Roman" w:hAnsi="Times New Roman"/>
              </w:rPr>
              <w:t>710,720,795.47</w:t>
            </w:r>
          </w:p>
        </w:tc>
        <w:tc>
          <w:tcPr>
            <w:tcW w:w="1019" w:type="pct"/>
          </w:tcPr>
          <w:p w14:paraId="3937CBEE">
            <w:pPr>
              <w:pStyle w:val="55"/>
              <w:ind w:firstLine="0" w:firstLineChars="0"/>
              <w:jc w:val="right"/>
              <w:rPr>
                <w:rFonts w:ascii="Times New Roman" w:hAnsi="Times New Roman"/>
                <w:szCs w:val="21"/>
              </w:rPr>
            </w:pPr>
            <w:r>
              <w:rPr>
                <w:rFonts w:hint="eastAsia" w:ascii="Times New Roman" w:hAnsi="Times New Roman"/>
                <w:szCs w:val="21"/>
              </w:rPr>
              <w:t>12.99</w:t>
            </w:r>
          </w:p>
        </w:tc>
      </w:tr>
      <w:tr w14:paraId="7B03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40C7409D">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营业成本</w:t>
            </w:r>
          </w:p>
        </w:tc>
        <w:tc>
          <w:tcPr>
            <w:tcW w:w="1176" w:type="pct"/>
          </w:tcPr>
          <w:p w14:paraId="37069124">
            <w:pPr>
              <w:pStyle w:val="55"/>
              <w:ind w:firstLine="0" w:firstLineChars="0"/>
              <w:jc w:val="right"/>
              <w:rPr>
                <w:rFonts w:ascii="Times New Roman" w:hAnsi="Times New Roman"/>
                <w:szCs w:val="21"/>
              </w:rPr>
            </w:pPr>
            <w:r>
              <w:rPr>
                <w:rFonts w:ascii="Times New Roman" w:hAnsi="Times New Roman"/>
                <w:szCs w:val="21"/>
              </w:rPr>
              <w:t>665,129,874.40</w:t>
            </w:r>
          </w:p>
        </w:tc>
        <w:tc>
          <w:tcPr>
            <w:tcW w:w="1098" w:type="pct"/>
          </w:tcPr>
          <w:p w14:paraId="11FADE35">
            <w:pPr>
              <w:pStyle w:val="55"/>
              <w:ind w:firstLine="0" w:firstLineChars="0"/>
              <w:jc w:val="right"/>
              <w:rPr>
                <w:rFonts w:ascii="Times New Roman" w:hAnsi="Times New Roman"/>
                <w:szCs w:val="21"/>
              </w:rPr>
            </w:pPr>
            <w:r>
              <w:rPr>
                <w:rFonts w:ascii="Times New Roman" w:hAnsi="Times New Roman"/>
              </w:rPr>
              <w:t>567,684,096.64</w:t>
            </w:r>
          </w:p>
        </w:tc>
        <w:tc>
          <w:tcPr>
            <w:tcW w:w="1019" w:type="pct"/>
          </w:tcPr>
          <w:p w14:paraId="602B5FB5">
            <w:pPr>
              <w:pStyle w:val="55"/>
              <w:ind w:firstLine="0" w:firstLineChars="0"/>
              <w:jc w:val="right"/>
              <w:rPr>
                <w:rFonts w:ascii="Times New Roman" w:hAnsi="Times New Roman"/>
                <w:szCs w:val="21"/>
              </w:rPr>
            </w:pPr>
            <w:r>
              <w:rPr>
                <w:rFonts w:hint="eastAsia" w:ascii="Times New Roman" w:hAnsi="Times New Roman"/>
                <w:szCs w:val="21"/>
              </w:rPr>
              <w:t>17.17</w:t>
            </w:r>
          </w:p>
        </w:tc>
      </w:tr>
      <w:tr w14:paraId="35EA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53871A15">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营业税金及附加</w:t>
            </w:r>
          </w:p>
        </w:tc>
        <w:tc>
          <w:tcPr>
            <w:tcW w:w="1176" w:type="pct"/>
          </w:tcPr>
          <w:p w14:paraId="0100821B">
            <w:pPr>
              <w:pStyle w:val="55"/>
              <w:ind w:firstLine="0" w:firstLineChars="0"/>
              <w:jc w:val="right"/>
              <w:rPr>
                <w:rFonts w:ascii="Times New Roman" w:hAnsi="Times New Roman"/>
                <w:szCs w:val="21"/>
              </w:rPr>
            </w:pPr>
            <w:r>
              <w:rPr>
                <w:rFonts w:ascii="Times New Roman" w:hAnsi="Times New Roman"/>
                <w:szCs w:val="21"/>
              </w:rPr>
              <w:t>2,830,102.20</w:t>
            </w:r>
          </w:p>
        </w:tc>
        <w:tc>
          <w:tcPr>
            <w:tcW w:w="1098" w:type="pct"/>
          </w:tcPr>
          <w:p w14:paraId="0B8BFD8F">
            <w:pPr>
              <w:pStyle w:val="55"/>
              <w:ind w:firstLine="0" w:firstLineChars="0"/>
              <w:jc w:val="right"/>
              <w:rPr>
                <w:rFonts w:ascii="Times New Roman" w:hAnsi="Times New Roman"/>
                <w:szCs w:val="21"/>
              </w:rPr>
            </w:pPr>
            <w:r>
              <w:rPr>
                <w:rFonts w:ascii="Times New Roman" w:hAnsi="Times New Roman"/>
              </w:rPr>
              <w:t>3,103,642.35</w:t>
            </w:r>
          </w:p>
        </w:tc>
        <w:tc>
          <w:tcPr>
            <w:tcW w:w="1019" w:type="pct"/>
          </w:tcPr>
          <w:p w14:paraId="148B0FD3">
            <w:pPr>
              <w:pStyle w:val="55"/>
              <w:ind w:firstLine="0" w:firstLineChars="0"/>
              <w:jc w:val="right"/>
              <w:rPr>
                <w:rFonts w:ascii="Times New Roman" w:hAnsi="Times New Roman"/>
                <w:szCs w:val="21"/>
              </w:rPr>
            </w:pPr>
            <w:r>
              <w:rPr>
                <w:rFonts w:hint="eastAsia" w:ascii="Times New Roman" w:hAnsi="Times New Roman"/>
                <w:szCs w:val="21"/>
              </w:rPr>
              <w:t>-8.81</w:t>
            </w:r>
          </w:p>
        </w:tc>
      </w:tr>
      <w:tr w14:paraId="354D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0B8C39BC">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销售费用</w:t>
            </w:r>
          </w:p>
        </w:tc>
        <w:tc>
          <w:tcPr>
            <w:tcW w:w="1176" w:type="pct"/>
          </w:tcPr>
          <w:p w14:paraId="1D8FA496">
            <w:pPr>
              <w:pStyle w:val="55"/>
              <w:ind w:firstLine="0" w:firstLineChars="0"/>
              <w:jc w:val="right"/>
              <w:rPr>
                <w:rFonts w:ascii="Times New Roman" w:hAnsi="Times New Roman"/>
                <w:szCs w:val="21"/>
              </w:rPr>
            </w:pPr>
            <w:r>
              <w:rPr>
                <w:rFonts w:ascii="Times New Roman" w:hAnsi="Times New Roman"/>
                <w:szCs w:val="21"/>
              </w:rPr>
              <w:t>14,744,840.83</w:t>
            </w:r>
          </w:p>
        </w:tc>
        <w:tc>
          <w:tcPr>
            <w:tcW w:w="1098" w:type="pct"/>
          </w:tcPr>
          <w:p w14:paraId="2AA9C651">
            <w:pPr>
              <w:pStyle w:val="55"/>
              <w:ind w:firstLine="0" w:firstLineChars="0"/>
              <w:jc w:val="right"/>
              <w:rPr>
                <w:rFonts w:ascii="Times New Roman" w:hAnsi="Times New Roman"/>
                <w:szCs w:val="21"/>
              </w:rPr>
            </w:pPr>
            <w:r>
              <w:rPr>
                <w:rFonts w:ascii="Times New Roman" w:hAnsi="Times New Roman"/>
              </w:rPr>
              <w:t>16,769,832.02</w:t>
            </w:r>
          </w:p>
        </w:tc>
        <w:tc>
          <w:tcPr>
            <w:tcW w:w="1019" w:type="pct"/>
          </w:tcPr>
          <w:p w14:paraId="4E29D144">
            <w:pPr>
              <w:pStyle w:val="55"/>
              <w:ind w:firstLine="0" w:firstLineChars="0"/>
              <w:jc w:val="right"/>
              <w:rPr>
                <w:rFonts w:ascii="Times New Roman" w:hAnsi="Times New Roman"/>
                <w:szCs w:val="21"/>
              </w:rPr>
            </w:pPr>
            <w:r>
              <w:rPr>
                <w:rFonts w:hint="eastAsia" w:ascii="Times New Roman" w:hAnsi="Times New Roman"/>
                <w:szCs w:val="21"/>
              </w:rPr>
              <w:t>-12.08</w:t>
            </w:r>
          </w:p>
        </w:tc>
      </w:tr>
      <w:tr w14:paraId="7245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09B9F135">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管理费用</w:t>
            </w:r>
          </w:p>
        </w:tc>
        <w:tc>
          <w:tcPr>
            <w:tcW w:w="1176" w:type="pct"/>
          </w:tcPr>
          <w:p w14:paraId="3D673D92">
            <w:pPr>
              <w:pStyle w:val="55"/>
              <w:ind w:firstLine="0" w:firstLineChars="0"/>
              <w:jc w:val="right"/>
              <w:rPr>
                <w:rFonts w:ascii="Times New Roman" w:hAnsi="Times New Roman"/>
                <w:szCs w:val="21"/>
              </w:rPr>
            </w:pPr>
            <w:r>
              <w:rPr>
                <w:rFonts w:ascii="Times New Roman" w:hAnsi="Times New Roman"/>
                <w:szCs w:val="21"/>
              </w:rPr>
              <w:t>35,227,071.07</w:t>
            </w:r>
          </w:p>
        </w:tc>
        <w:tc>
          <w:tcPr>
            <w:tcW w:w="1098" w:type="pct"/>
          </w:tcPr>
          <w:p w14:paraId="3CB1D02C">
            <w:pPr>
              <w:pStyle w:val="55"/>
              <w:ind w:firstLine="0" w:firstLineChars="0"/>
              <w:jc w:val="right"/>
              <w:rPr>
                <w:rFonts w:ascii="Times New Roman" w:hAnsi="Times New Roman"/>
                <w:szCs w:val="21"/>
              </w:rPr>
            </w:pPr>
            <w:r>
              <w:rPr>
                <w:rFonts w:ascii="Times New Roman" w:hAnsi="Times New Roman"/>
              </w:rPr>
              <w:t>33,020,803.41</w:t>
            </w:r>
          </w:p>
        </w:tc>
        <w:tc>
          <w:tcPr>
            <w:tcW w:w="1019" w:type="pct"/>
          </w:tcPr>
          <w:p w14:paraId="0C8C026D">
            <w:pPr>
              <w:pStyle w:val="55"/>
              <w:ind w:firstLine="0" w:firstLineChars="0"/>
              <w:jc w:val="right"/>
              <w:rPr>
                <w:rFonts w:ascii="Times New Roman" w:hAnsi="Times New Roman"/>
                <w:szCs w:val="21"/>
              </w:rPr>
            </w:pPr>
            <w:r>
              <w:rPr>
                <w:rFonts w:hint="eastAsia" w:ascii="Times New Roman" w:hAnsi="Times New Roman"/>
                <w:szCs w:val="21"/>
              </w:rPr>
              <w:t>6.68</w:t>
            </w:r>
          </w:p>
        </w:tc>
      </w:tr>
      <w:tr w14:paraId="07D5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7ABB11AA">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财务费用</w:t>
            </w:r>
          </w:p>
        </w:tc>
        <w:tc>
          <w:tcPr>
            <w:tcW w:w="1176" w:type="pct"/>
          </w:tcPr>
          <w:p w14:paraId="75A19E6A">
            <w:pPr>
              <w:pStyle w:val="55"/>
              <w:ind w:firstLine="0" w:firstLineChars="0"/>
              <w:jc w:val="right"/>
              <w:rPr>
                <w:rFonts w:ascii="Times New Roman" w:hAnsi="Times New Roman"/>
                <w:szCs w:val="21"/>
              </w:rPr>
            </w:pPr>
            <w:r>
              <w:rPr>
                <w:rFonts w:ascii="Times New Roman" w:hAnsi="Times New Roman"/>
                <w:szCs w:val="21"/>
              </w:rPr>
              <w:t>72,762,889.46</w:t>
            </w:r>
          </w:p>
        </w:tc>
        <w:tc>
          <w:tcPr>
            <w:tcW w:w="1098" w:type="pct"/>
          </w:tcPr>
          <w:p w14:paraId="54474BDB">
            <w:pPr>
              <w:pStyle w:val="55"/>
              <w:ind w:firstLine="0" w:firstLineChars="0"/>
              <w:jc w:val="right"/>
              <w:rPr>
                <w:rFonts w:ascii="Times New Roman" w:hAnsi="Times New Roman"/>
                <w:szCs w:val="21"/>
              </w:rPr>
            </w:pPr>
            <w:r>
              <w:rPr>
                <w:rFonts w:ascii="Times New Roman" w:hAnsi="Times New Roman"/>
              </w:rPr>
              <w:t>76,125,648.45</w:t>
            </w:r>
          </w:p>
        </w:tc>
        <w:tc>
          <w:tcPr>
            <w:tcW w:w="1019" w:type="pct"/>
          </w:tcPr>
          <w:p w14:paraId="4E35FA6F">
            <w:pPr>
              <w:pStyle w:val="55"/>
              <w:ind w:firstLine="0" w:firstLineChars="0"/>
              <w:jc w:val="right"/>
              <w:rPr>
                <w:rFonts w:ascii="Times New Roman" w:hAnsi="Times New Roman"/>
                <w:szCs w:val="21"/>
              </w:rPr>
            </w:pPr>
            <w:r>
              <w:rPr>
                <w:rFonts w:hint="eastAsia" w:ascii="Times New Roman" w:hAnsi="Times New Roman"/>
                <w:szCs w:val="21"/>
              </w:rPr>
              <w:t>-4.42</w:t>
            </w:r>
          </w:p>
        </w:tc>
      </w:tr>
      <w:tr w14:paraId="0FE0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1B2D6990">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研发费用</w:t>
            </w:r>
          </w:p>
        </w:tc>
        <w:tc>
          <w:tcPr>
            <w:tcW w:w="1176" w:type="pct"/>
          </w:tcPr>
          <w:p w14:paraId="38378AFC">
            <w:pPr>
              <w:pStyle w:val="55"/>
              <w:ind w:firstLine="0" w:firstLineChars="0"/>
              <w:jc w:val="right"/>
              <w:rPr>
                <w:rFonts w:ascii="Times New Roman" w:hAnsi="Times New Roman"/>
                <w:szCs w:val="21"/>
              </w:rPr>
            </w:pPr>
            <w:r>
              <w:rPr>
                <w:rFonts w:ascii="Times New Roman" w:hAnsi="Times New Roman"/>
                <w:szCs w:val="21"/>
              </w:rPr>
              <w:t>3,452,265.44</w:t>
            </w:r>
          </w:p>
        </w:tc>
        <w:tc>
          <w:tcPr>
            <w:tcW w:w="1098" w:type="pct"/>
          </w:tcPr>
          <w:p w14:paraId="45DBBEF0">
            <w:pPr>
              <w:pStyle w:val="55"/>
              <w:ind w:firstLine="0" w:firstLineChars="0"/>
              <w:jc w:val="right"/>
              <w:rPr>
                <w:rFonts w:ascii="Times New Roman" w:hAnsi="Times New Roman"/>
                <w:szCs w:val="21"/>
              </w:rPr>
            </w:pPr>
            <w:r>
              <w:rPr>
                <w:rFonts w:ascii="Times New Roman" w:hAnsi="Times New Roman"/>
              </w:rPr>
              <w:t>4,014,236.89</w:t>
            </w:r>
          </w:p>
        </w:tc>
        <w:tc>
          <w:tcPr>
            <w:tcW w:w="1019" w:type="pct"/>
          </w:tcPr>
          <w:p w14:paraId="1A38CB6A">
            <w:pPr>
              <w:pStyle w:val="55"/>
              <w:ind w:firstLine="0" w:firstLineChars="0"/>
              <w:jc w:val="right"/>
              <w:rPr>
                <w:rFonts w:ascii="Times New Roman" w:hAnsi="Times New Roman"/>
                <w:szCs w:val="21"/>
              </w:rPr>
            </w:pPr>
            <w:r>
              <w:rPr>
                <w:rFonts w:hint="eastAsia" w:ascii="Times New Roman" w:hAnsi="Times New Roman"/>
                <w:szCs w:val="21"/>
              </w:rPr>
              <w:t>-14.00</w:t>
            </w:r>
          </w:p>
        </w:tc>
      </w:tr>
      <w:tr w14:paraId="2F28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2FCC6F52">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资产减值损失</w:t>
            </w:r>
          </w:p>
        </w:tc>
        <w:tc>
          <w:tcPr>
            <w:tcW w:w="1176" w:type="pct"/>
          </w:tcPr>
          <w:p w14:paraId="50D7574F">
            <w:pPr>
              <w:pStyle w:val="55"/>
              <w:ind w:firstLine="0" w:firstLineChars="0"/>
              <w:jc w:val="right"/>
              <w:rPr>
                <w:rFonts w:ascii="Times New Roman" w:hAnsi="Times New Roman"/>
                <w:szCs w:val="21"/>
              </w:rPr>
            </w:pPr>
            <w:r>
              <w:rPr>
                <w:rFonts w:hint="eastAsia" w:ascii="Times New Roman" w:hAnsi="Times New Roman"/>
                <w:szCs w:val="21"/>
              </w:rPr>
              <w:t>-</w:t>
            </w:r>
            <w:r>
              <w:rPr>
                <w:rFonts w:ascii="Times New Roman" w:hAnsi="Times New Roman"/>
                <w:szCs w:val="21"/>
              </w:rPr>
              <w:t>4,345,928.60</w:t>
            </w:r>
          </w:p>
        </w:tc>
        <w:tc>
          <w:tcPr>
            <w:tcW w:w="1098" w:type="pct"/>
          </w:tcPr>
          <w:p w14:paraId="703D4637">
            <w:pPr>
              <w:pStyle w:val="55"/>
              <w:ind w:firstLine="0" w:firstLineChars="0"/>
              <w:jc w:val="right"/>
              <w:rPr>
                <w:rFonts w:ascii="Times New Roman" w:hAnsi="Times New Roman"/>
                <w:szCs w:val="21"/>
              </w:rPr>
            </w:pPr>
            <w:r>
              <w:rPr>
                <w:rFonts w:hint="eastAsia" w:ascii="Times New Roman" w:hAnsi="Times New Roman"/>
              </w:rPr>
              <w:t>-</w:t>
            </w:r>
            <w:r>
              <w:rPr>
                <w:rFonts w:ascii="Times New Roman" w:hAnsi="Times New Roman"/>
              </w:rPr>
              <w:t>732,363.74</w:t>
            </w:r>
          </w:p>
        </w:tc>
        <w:tc>
          <w:tcPr>
            <w:tcW w:w="1019" w:type="pct"/>
          </w:tcPr>
          <w:p w14:paraId="79BBA7FC">
            <w:pPr>
              <w:pStyle w:val="55"/>
              <w:ind w:firstLine="0" w:firstLineChars="0"/>
              <w:jc w:val="right"/>
              <w:rPr>
                <w:rFonts w:ascii="Times New Roman" w:hAnsi="Times New Roman"/>
                <w:szCs w:val="21"/>
              </w:rPr>
            </w:pPr>
            <w:r>
              <w:rPr>
                <w:rFonts w:hint="eastAsia" w:ascii="Times New Roman" w:hAnsi="Times New Roman"/>
                <w:szCs w:val="21"/>
              </w:rPr>
              <w:t>-493.41</w:t>
            </w:r>
          </w:p>
        </w:tc>
      </w:tr>
      <w:tr w14:paraId="55F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3AFA26D8">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投资收益</w:t>
            </w:r>
          </w:p>
        </w:tc>
        <w:tc>
          <w:tcPr>
            <w:tcW w:w="1176" w:type="pct"/>
          </w:tcPr>
          <w:p w14:paraId="29B10EED">
            <w:pPr>
              <w:pStyle w:val="55"/>
              <w:ind w:firstLine="0" w:firstLineChars="0"/>
              <w:jc w:val="right"/>
              <w:rPr>
                <w:rFonts w:ascii="Times New Roman" w:hAnsi="Times New Roman"/>
                <w:szCs w:val="21"/>
              </w:rPr>
            </w:pPr>
            <w:r>
              <w:rPr>
                <w:rFonts w:ascii="Times New Roman" w:hAnsi="Times New Roman"/>
                <w:szCs w:val="21"/>
              </w:rPr>
              <w:t>9,053,165.78</w:t>
            </w:r>
          </w:p>
        </w:tc>
        <w:tc>
          <w:tcPr>
            <w:tcW w:w="1098" w:type="pct"/>
          </w:tcPr>
          <w:p w14:paraId="08966781">
            <w:pPr>
              <w:pStyle w:val="55"/>
              <w:ind w:firstLine="0" w:firstLineChars="0"/>
              <w:jc w:val="right"/>
              <w:rPr>
                <w:rFonts w:ascii="Times New Roman" w:hAnsi="Times New Roman"/>
                <w:szCs w:val="21"/>
              </w:rPr>
            </w:pPr>
            <w:r>
              <w:rPr>
                <w:rFonts w:ascii="Times New Roman" w:hAnsi="Times New Roman"/>
              </w:rPr>
              <w:t>9,433,523.76</w:t>
            </w:r>
          </w:p>
        </w:tc>
        <w:tc>
          <w:tcPr>
            <w:tcW w:w="1019" w:type="pct"/>
          </w:tcPr>
          <w:p w14:paraId="0D0D6555">
            <w:pPr>
              <w:pStyle w:val="55"/>
              <w:ind w:firstLine="0" w:firstLineChars="0"/>
              <w:jc w:val="right"/>
              <w:rPr>
                <w:rFonts w:ascii="Times New Roman" w:hAnsi="Times New Roman"/>
                <w:szCs w:val="21"/>
              </w:rPr>
            </w:pPr>
            <w:r>
              <w:rPr>
                <w:rFonts w:hint="eastAsia" w:ascii="Times New Roman" w:hAnsi="Times New Roman"/>
                <w:szCs w:val="21"/>
              </w:rPr>
              <w:t>-4.03</w:t>
            </w:r>
          </w:p>
        </w:tc>
      </w:tr>
      <w:tr w14:paraId="37E4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3704FDA1">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资产处置收益</w:t>
            </w:r>
          </w:p>
        </w:tc>
        <w:tc>
          <w:tcPr>
            <w:tcW w:w="1176" w:type="pct"/>
          </w:tcPr>
          <w:p w14:paraId="5582DE62">
            <w:pPr>
              <w:pStyle w:val="55"/>
              <w:ind w:firstLine="0" w:firstLineChars="0"/>
              <w:jc w:val="right"/>
              <w:rPr>
                <w:rFonts w:ascii="Times New Roman" w:hAnsi="Times New Roman"/>
                <w:szCs w:val="21"/>
              </w:rPr>
            </w:pPr>
            <w:r>
              <w:rPr>
                <w:rFonts w:hint="eastAsia" w:ascii="Times New Roman" w:hAnsi="Times New Roman"/>
                <w:szCs w:val="21"/>
              </w:rPr>
              <w:t>-</w:t>
            </w:r>
            <w:r>
              <w:rPr>
                <w:rFonts w:ascii="Times New Roman" w:hAnsi="Times New Roman"/>
                <w:szCs w:val="21"/>
              </w:rPr>
              <w:t>2,882.31</w:t>
            </w:r>
          </w:p>
        </w:tc>
        <w:tc>
          <w:tcPr>
            <w:tcW w:w="1098" w:type="pct"/>
          </w:tcPr>
          <w:p w14:paraId="189A27BA">
            <w:pPr>
              <w:pStyle w:val="55"/>
              <w:ind w:firstLine="0" w:firstLineChars="0"/>
              <w:jc w:val="right"/>
              <w:rPr>
                <w:rFonts w:ascii="Times New Roman" w:hAnsi="Times New Roman"/>
                <w:szCs w:val="21"/>
              </w:rPr>
            </w:pPr>
          </w:p>
        </w:tc>
        <w:tc>
          <w:tcPr>
            <w:tcW w:w="1019" w:type="pct"/>
          </w:tcPr>
          <w:p w14:paraId="6CF2C10A">
            <w:pPr>
              <w:pStyle w:val="55"/>
              <w:ind w:firstLine="0" w:firstLineChars="0"/>
              <w:jc w:val="right"/>
              <w:rPr>
                <w:rFonts w:ascii="Times New Roman" w:hAnsi="Times New Roman"/>
                <w:szCs w:val="21"/>
              </w:rPr>
            </w:pPr>
          </w:p>
        </w:tc>
      </w:tr>
      <w:tr w14:paraId="1EAD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58AF2C12">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其他收益</w:t>
            </w:r>
          </w:p>
        </w:tc>
        <w:tc>
          <w:tcPr>
            <w:tcW w:w="1176" w:type="pct"/>
          </w:tcPr>
          <w:p w14:paraId="533A99B0">
            <w:pPr>
              <w:pStyle w:val="55"/>
              <w:ind w:firstLine="0" w:firstLineChars="0"/>
              <w:jc w:val="right"/>
              <w:rPr>
                <w:rFonts w:ascii="Times New Roman" w:hAnsi="Times New Roman"/>
                <w:szCs w:val="21"/>
              </w:rPr>
            </w:pPr>
            <w:r>
              <w:rPr>
                <w:rFonts w:ascii="Times New Roman" w:hAnsi="Times New Roman"/>
                <w:szCs w:val="21"/>
              </w:rPr>
              <w:t>21,121,233.18</w:t>
            </w:r>
          </w:p>
        </w:tc>
        <w:tc>
          <w:tcPr>
            <w:tcW w:w="1098" w:type="pct"/>
          </w:tcPr>
          <w:p w14:paraId="0A26C50A">
            <w:pPr>
              <w:pStyle w:val="55"/>
              <w:ind w:firstLine="0" w:firstLineChars="0"/>
              <w:jc w:val="right"/>
              <w:rPr>
                <w:rFonts w:ascii="Times New Roman" w:hAnsi="Times New Roman"/>
                <w:szCs w:val="21"/>
              </w:rPr>
            </w:pPr>
            <w:r>
              <w:rPr>
                <w:rFonts w:ascii="Times New Roman" w:hAnsi="Times New Roman"/>
              </w:rPr>
              <w:t>7,367,823.37</w:t>
            </w:r>
          </w:p>
        </w:tc>
        <w:tc>
          <w:tcPr>
            <w:tcW w:w="1019" w:type="pct"/>
          </w:tcPr>
          <w:p w14:paraId="0C61CAC8">
            <w:pPr>
              <w:pStyle w:val="55"/>
              <w:ind w:firstLine="0" w:firstLineChars="0"/>
              <w:jc w:val="right"/>
              <w:rPr>
                <w:rFonts w:ascii="Times New Roman" w:hAnsi="Times New Roman"/>
                <w:szCs w:val="21"/>
              </w:rPr>
            </w:pPr>
            <w:r>
              <w:rPr>
                <w:rFonts w:hint="eastAsia" w:ascii="Times New Roman" w:hAnsi="Times New Roman"/>
                <w:szCs w:val="21"/>
              </w:rPr>
              <w:t>186.67</w:t>
            </w:r>
          </w:p>
        </w:tc>
      </w:tr>
      <w:tr w14:paraId="3BBF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6FBF0320">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营业外收入</w:t>
            </w:r>
          </w:p>
        </w:tc>
        <w:tc>
          <w:tcPr>
            <w:tcW w:w="1176" w:type="pct"/>
          </w:tcPr>
          <w:p w14:paraId="0DE7D232">
            <w:pPr>
              <w:pStyle w:val="55"/>
              <w:ind w:firstLine="0" w:firstLineChars="0"/>
              <w:jc w:val="right"/>
              <w:rPr>
                <w:rFonts w:ascii="Times New Roman" w:hAnsi="Times New Roman"/>
                <w:szCs w:val="21"/>
              </w:rPr>
            </w:pPr>
            <w:r>
              <w:rPr>
                <w:rFonts w:ascii="Times New Roman" w:hAnsi="Times New Roman"/>
                <w:szCs w:val="21"/>
              </w:rPr>
              <w:t>1,090,272.59</w:t>
            </w:r>
          </w:p>
        </w:tc>
        <w:tc>
          <w:tcPr>
            <w:tcW w:w="1098" w:type="pct"/>
          </w:tcPr>
          <w:p w14:paraId="11778D7A">
            <w:pPr>
              <w:pStyle w:val="55"/>
              <w:ind w:firstLine="0" w:firstLineChars="0"/>
              <w:jc w:val="right"/>
              <w:rPr>
                <w:rFonts w:ascii="Times New Roman" w:hAnsi="Times New Roman"/>
                <w:szCs w:val="21"/>
              </w:rPr>
            </w:pPr>
            <w:r>
              <w:rPr>
                <w:rFonts w:ascii="Times New Roman" w:hAnsi="Times New Roman"/>
              </w:rPr>
              <w:t>934,169.22</w:t>
            </w:r>
          </w:p>
        </w:tc>
        <w:tc>
          <w:tcPr>
            <w:tcW w:w="1019" w:type="pct"/>
          </w:tcPr>
          <w:p w14:paraId="327B3579">
            <w:pPr>
              <w:pStyle w:val="55"/>
              <w:ind w:firstLine="0" w:firstLineChars="0"/>
              <w:jc w:val="right"/>
              <w:rPr>
                <w:rFonts w:ascii="Times New Roman" w:hAnsi="Times New Roman"/>
                <w:szCs w:val="21"/>
              </w:rPr>
            </w:pPr>
            <w:r>
              <w:rPr>
                <w:rFonts w:hint="eastAsia" w:ascii="Times New Roman" w:hAnsi="Times New Roman"/>
                <w:szCs w:val="21"/>
              </w:rPr>
              <w:t>16.71</w:t>
            </w:r>
          </w:p>
        </w:tc>
      </w:tr>
      <w:tr w14:paraId="0677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2F395610">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营业外支出</w:t>
            </w:r>
          </w:p>
        </w:tc>
        <w:tc>
          <w:tcPr>
            <w:tcW w:w="1176" w:type="pct"/>
          </w:tcPr>
          <w:p w14:paraId="45A77569">
            <w:pPr>
              <w:pStyle w:val="55"/>
              <w:ind w:firstLine="0" w:firstLineChars="0"/>
              <w:jc w:val="right"/>
              <w:rPr>
                <w:rFonts w:ascii="Times New Roman" w:hAnsi="Times New Roman"/>
                <w:szCs w:val="21"/>
              </w:rPr>
            </w:pPr>
            <w:r>
              <w:rPr>
                <w:rFonts w:ascii="Times New Roman" w:hAnsi="Times New Roman"/>
                <w:szCs w:val="21"/>
              </w:rPr>
              <w:t>5,154,298.40</w:t>
            </w:r>
          </w:p>
        </w:tc>
        <w:tc>
          <w:tcPr>
            <w:tcW w:w="1098" w:type="pct"/>
          </w:tcPr>
          <w:p w14:paraId="44500F91">
            <w:pPr>
              <w:pStyle w:val="55"/>
              <w:ind w:firstLine="0" w:firstLineChars="0"/>
              <w:jc w:val="right"/>
              <w:rPr>
                <w:rFonts w:ascii="Times New Roman" w:hAnsi="Times New Roman"/>
                <w:szCs w:val="21"/>
              </w:rPr>
            </w:pPr>
            <w:r>
              <w:rPr>
                <w:rFonts w:ascii="Times New Roman" w:hAnsi="Times New Roman"/>
              </w:rPr>
              <w:t>1,401,364.68</w:t>
            </w:r>
          </w:p>
        </w:tc>
        <w:tc>
          <w:tcPr>
            <w:tcW w:w="1019" w:type="pct"/>
          </w:tcPr>
          <w:p w14:paraId="4E720005">
            <w:pPr>
              <w:pStyle w:val="55"/>
              <w:ind w:firstLine="0" w:firstLineChars="0"/>
              <w:jc w:val="right"/>
              <w:rPr>
                <w:rFonts w:ascii="Times New Roman" w:hAnsi="Times New Roman"/>
                <w:szCs w:val="21"/>
              </w:rPr>
            </w:pPr>
            <w:r>
              <w:rPr>
                <w:rFonts w:hint="eastAsia" w:ascii="Times New Roman" w:hAnsi="Times New Roman"/>
                <w:szCs w:val="21"/>
              </w:rPr>
              <w:t>267.81</w:t>
            </w:r>
          </w:p>
        </w:tc>
      </w:tr>
      <w:tr w14:paraId="7E89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38E38A73">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所得税费用</w:t>
            </w:r>
          </w:p>
        </w:tc>
        <w:tc>
          <w:tcPr>
            <w:tcW w:w="1176" w:type="pct"/>
          </w:tcPr>
          <w:p w14:paraId="0C432CE8">
            <w:pPr>
              <w:pStyle w:val="55"/>
              <w:ind w:firstLine="0" w:firstLineChars="0"/>
              <w:jc w:val="right"/>
              <w:rPr>
                <w:rFonts w:ascii="Times New Roman" w:hAnsi="Times New Roman"/>
                <w:szCs w:val="21"/>
              </w:rPr>
            </w:pPr>
          </w:p>
        </w:tc>
        <w:tc>
          <w:tcPr>
            <w:tcW w:w="1098" w:type="pct"/>
          </w:tcPr>
          <w:p w14:paraId="081E6C91">
            <w:pPr>
              <w:pStyle w:val="55"/>
              <w:ind w:firstLine="0" w:firstLineChars="0"/>
              <w:jc w:val="right"/>
              <w:rPr>
                <w:rFonts w:ascii="Times New Roman" w:hAnsi="Times New Roman"/>
                <w:szCs w:val="21"/>
              </w:rPr>
            </w:pPr>
          </w:p>
        </w:tc>
        <w:tc>
          <w:tcPr>
            <w:tcW w:w="1019" w:type="pct"/>
          </w:tcPr>
          <w:p w14:paraId="1237B791">
            <w:pPr>
              <w:pStyle w:val="55"/>
              <w:ind w:firstLine="0" w:firstLineChars="0"/>
              <w:jc w:val="right"/>
              <w:rPr>
                <w:rFonts w:ascii="Times New Roman" w:hAnsi="Times New Roman"/>
                <w:szCs w:val="21"/>
              </w:rPr>
            </w:pPr>
          </w:p>
        </w:tc>
      </w:tr>
      <w:tr w14:paraId="3747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0D7CFAED">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归属于母公司所有者的净利润</w:t>
            </w:r>
          </w:p>
        </w:tc>
        <w:tc>
          <w:tcPr>
            <w:tcW w:w="1176" w:type="pct"/>
          </w:tcPr>
          <w:p w14:paraId="0EB31AA9">
            <w:pPr>
              <w:pStyle w:val="55"/>
              <w:ind w:firstLine="0" w:firstLineChars="0"/>
              <w:jc w:val="right"/>
              <w:rPr>
                <w:rFonts w:ascii="Times New Roman" w:hAnsi="Times New Roman"/>
                <w:szCs w:val="21"/>
              </w:rPr>
            </w:pPr>
            <w:r>
              <w:rPr>
                <w:rFonts w:ascii="Times New Roman" w:hAnsi="Times New Roman"/>
                <w:szCs w:val="21"/>
              </w:rPr>
              <w:t>29,978,804.61</w:t>
            </w:r>
          </w:p>
        </w:tc>
        <w:tc>
          <w:tcPr>
            <w:tcW w:w="1098" w:type="pct"/>
          </w:tcPr>
          <w:p w14:paraId="08128097">
            <w:pPr>
              <w:pStyle w:val="55"/>
              <w:ind w:firstLine="0" w:firstLineChars="0"/>
              <w:jc w:val="right"/>
              <w:rPr>
                <w:rFonts w:ascii="Times New Roman" w:hAnsi="Times New Roman"/>
                <w:szCs w:val="21"/>
              </w:rPr>
            </w:pPr>
            <w:r>
              <w:rPr>
                <w:rFonts w:ascii="Times New Roman" w:hAnsi="Times New Roman"/>
              </w:rPr>
              <w:t>24,624,735.65</w:t>
            </w:r>
          </w:p>
        </w:tc>
        <w:tc>
          <w:tcPr>
            <w:tcW w:w="1019" w:type="pct"/>
          </w:tcPr>
          <w:p w14:paraId="48DBE75D">
            <w:pPr>
              <w:pStyle w:val="55"/>
              <w:ind w:firstLine="0" w:firstLineChars="0"/>
              <w:jc w:val="right"/>
              <w:rPr>
                <w:rFonts w:ascii="Times New Roman" w:hAnsi="Times New Roman"/>
                <w:szCs w:val="21"/>
              </w:rPr>
            </w:pPr>
            <w:r>
              <w:rPr>
                <w:rFonts w:hint="eastAsia" w:ascii="Times New Roman" w:hAnsi="Times New Roman"/>
                <w:szCs w:val="21"/>
              </w:rPr>
              <w:t>21.74</w:t>
            </w:r>
          </w:p>
        </w:tc>
      </w:tr>
      <w:tr w14:paraId="108F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547914D7">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少数股东损益</w:t>
            </w:r>
          </w:p>
        </w:tc>
        <w:tc>
          <w:tcPr>
            <w:tcW w:w="1176" w:type="pct"/>
          </w:tcPr>
          <w:p w14:paraId="44215CC3">
            <w:pPr>
              <w:pStyle w:val="55"/>
              <w:ind w:firstLine="0" w:firstLineChars="0"/>
              <w:jc w:val="right"/>
              <w:rPr>
                <w:rFonts w:ascii="Times New Roman" w:hAnsi="Times New Roman"/>
                <w:szCs w:val="21"/>
              </w:rPr>
            </w:pPr>
            <w:r>
              <w:rPr>
                <w:rFonts w:ascii="Times New Roman" w:hAnsi="Times New Roman"/>
                <w:szCs w:val="21"/>
              </w:rPr>
              <w:t>699,243.34</w:t>
            </w:r>
          </w:p>
        </w:tc>
        <w:tc>
          <w:tcPr>
            <w:tcW w:w="1098" w:type="pct"/>
          </w:tcPr>
          <w:p w14:paraId="4EF08AD1">
            <w:pPr>
              <w:pStyle w:val="55"/>
              <w:ind w:firstLine="0" w:firstLineChars="0"/>
              <w:jc w:val="right"/>
              <w:rPr>
                <w:rFonts w:ascii="Times New Roman" w:hAnsi="Times New Roman"/>
                <w:szCs w:val="21"/>
              </w:rPr>
            </w:pPr>
            <w:r>
              <w:rPr>
                <w:rFonts w:ascii="Times New Roman" w:hAnsi="Times New Roman"/>
              </w:rPr>
              <w:t>979,587.99</w:t>
            </w:r>
          </w:p>
        </w:tc>
        <w:tc>
          <w:tcPr>
            <w:tcW w:w="1019" w:type="pct"/>
          </w:tcPr>
          <w:p w14:paraId="7D0A55EE">
            <w:pPr>
              <w:pStyle w:val="55"/>
              <w:ind w:firstLine="0" w:firstLineChars="0"/>
              <w:jc w:val="right"/>
              <w:rPr>
                <w:rFonts w:ascii="Times New Roman" w:hAnsi="Times New Roman"/>
                <w:szCs w:val="21"/>
              </w:rPr>
            </w:pPr>
            <w:r>
              <w:rPr>
                <w:rFonts w:hint="eastAsia" w:ascii="Times New Roman" w:hAnsi="Times New Roman"/>
                <w:szCs w:val="21"/>
              </w:rPr>
              <w:t>-28.62</w:t>
            </w:r>
          </w:p>
        </w:tc>
      </w:tr>
      <w:tr w14:paraId="22DB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6B8C65EB">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经营活动产生的现金流量净额</w:t>
            </w:r>
          </w:p>
        </w:tc>
        <w:tc>
          <w:tcPr>
            <w:tcW w:w="1176" w:type="pct"/>
          </w:tcPr>
          <w:p w14:paraId="042EE668">
            <w:pPr>
              <w:pStyle w:val="55"/>
              <w:ind w:firstLine="0" w:firstLineChars="0"/>
              <w:jc w:val="right"/>
              <w:rPr>
                <w:rFonts w:ascii="Times New Roman" w:hAnsi="Times New Roman"/>
                <w:szCs w:val="21"/>
              </w:rPr>
            </w:pPr>
            <w:r>
              <w:rPr>
                <w:rFonts w:ascii="Times New Roman" w:hAnsi="Times New Roman"/>
                <w:szCs w:val="21"/>
              </w:rPr>
              <w:t>107,669,422.44</w:t>
            </w:r>
          </w:p>
        </w:tc>
        <w:tc>
          <w:tcPr>
            <w:tcW w:w="1098" w:type="pct"/>
          </w:tcPr>
          <w:p w14:paraId="1649C4FA">
            <w:pPr>
              <w:pStyle w:val="55"/>
              <w:ind w:firstLine="0" w:firstLineChars="0"/>
              <w:jc w:val="right"/>
              <w:rPr>
                <w:rFonts w:ascii="Times New Roman" w:hAnsi="Times New Roman"/>
                <w:szCs w:val="21"/>
              </w:rPr>
            </w:pPr>
            <w:r>
              <w:rPr>
                <w:rFonts w:ascii="Times New Roman" w:hAnsi="Times New Roman"/>
              </w:rPr>
              <w:t>59,253,631.42</w:t>
            </w:r>
          </w:p>
        </w:tc>
        <w:tc>
          <w:tcPr>
            <w:tcW w:w="1019" w:type="pct"/>
          </w:tcPr>
          <w:p w14:paraId="27167035">
            <w:pPr>
              <w:pStyle w:val="55"/>
              <w:ind w:firstLine="0" w:firstLineChars="0"/>
              <w:jc w:val="right"/>
              <w:rPr>
                <w:rFonts w:ascii="Times New Roman" w:hAnsi="Times New Roman"/>
                <w:szCs w:val="21"/>
              </w:rPr>
            </w:pPr>
            <w:r>
              <w:rPr>
                <w:rFonts w:hint="eastAsia" w:ascii="Times New Roman" w:hAnsi="Times New Roman"/>
                <w:szCs w:val="21"/>
              </w:rPr>
              <w:t>81.71</w:t>
            </w:r>
          </w:p>
        </w:tc>
      </w:tr>
      <w:tr w14:paraId="1F81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54738E6A">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投资活动产生的现金流量净额</w:t>
            </w:r>
          </w:p>
        </w:tc>
        <w:tc>
          <w:tcPr>
            <w:tcW w:w="1176" w:type="pct"/>
          </w:tcPr>
          <w:p w14:paraId="702B538B">
            <w:pPr>
              <w:pStyle w:val="55"/>
              <w:ind w:firstLine="0" w:firstLineChars="0"/>
              <w:jc w:val="right"/>
              <w:rPr>
                <w:rFonts w:ascii="Times New Roman" w:hAnsi="Times New Roman"/>
                <w:szCs w:val="21"/>
              </w:rPr>
            </w:pPr>
            <w:r>
              <w:rPr>
                <w:rFonts w:ascii="Times New Roman" w:hAnsi="Times New Roman"/>
                <w:szCs w:val="21"/>
              </w:rPr>
              <w:t>-90,408,953.34</w:t>
            </w:r>
          </w:p>
        </w:tc>
        <w:tc>
          <w:tcPr>
            <w:tcW w:w="1098" w:type="pct"/>
          </w:tcPr>
          <w:p w14:paraId="4930EFEF">
            <w:pPr>
              <w:pStyle w:val="55"/>
              <w:ind w:firstLine="0" w:firstLineChars="0"/>
              <w:jc w:val="right"/>
              <w:rPr>
                <w:rFonts w:ascii="Times New Roman" w:hAnsi="Times New Roman"/>
                <w:szCs w:val="21"/>
              </w:rPr>
            </w:pPr>
            <w:r>
              <w:rPr>
                <w:rFonts w:ascii="Times New Roman" w:hAnsi="Times New Roman"/>
              </w:rPr>
              <w:t>-176,160,119.09</w:t>
            </w:r>
          </w:p>
        </w:tc>
        <w:tc>
          <w:tcPr>
            <w:tcW w:w="1019" w:type="pct"/>
          </w:tcPr>
          <w:p w14:paraId="75718826">
            <w:pPr>
              <w:pStyle w:val="55"/>
              <w:ind w:firstLine="0" w:firstLineChars="0"/>
              <w:jc w:val="right"/>
              <w:rPr>
                <w:rFonts w:ascii="Times New Roman" w:hAnsi="Times New Roman"/>
                <w:szCs w:val="21"/>
              </w:rPr>
            </w:pPr>
            <w:r>
              <w:rPr>
                <w:rFonts w:hint="eastAsia" w:ascii="Times New Roman" w:hAnsi="Times New Roman"/>
                <w:szCs w:val="21"/>
              </w:rPr>
              <w:t>48.68</w:t>
            </w:r>
          </w:p>
        </w:tc>
      </w:tr>
      <w:tr w14:paraId="77EF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tcPr>
          <w:p w14:paraId="380EA232">
            <w:pPr>
              <w:pStyle w:val="55"/>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rPr>
              <w:t>筹资活动产生的现金流量净额</w:t>
            </w:r>
          </w:p>
        </w:tc>
        <w:tc>
          <w:tcPr>
            <w:tcW w:w="1176" w:type="pct"/>
          </w:tcPr>
          <w:p w14:paraId="24711C0D">
            <w:pPr>
              <w:pStyle w:val="55"/>
              <w:ind w:firstLine="0" w:firstLineChars="0"/>
              <w:jc w:val="right"/>
              <w:rPr>
                <w:rFonts w:ascii="Times New Roman" w:hAnsi="Times New Roman"/>
                <w:szCs w:val="21"/>
              </w:rPr>
            </w:pPr>
            <w:r>
              <w:rPr>
                <w:rFonts w:ascii="Times New Roman" w:hAnsi="Times New Roman"/>
                <w:szCs w:val="21"/>
              </w:rPr>
              <w:t>-11,057,370.37</w:t>
            </w:r>
          </w:p>
        </w:tc>
        <w:tc>
          <w:tcPr>
            <w:tcW w:w="1098" w:type="pct"/>
          </w:tcPr>
          <w:p w14:paraId="224DE7EE">
            <w:pPr>
              <w:pStyle w:val="55"/>
              <w:ind w:firstLine="0" w:firstLineChars="0"/>
              <w:jc w:val="right"/>
              <w:rPr>
                <w:rFonts w:ascii="Times New Roman" w:hAnsi="Times New Roman"/>
                <w:szCs w:val="21"/>
              </w:rPr>
            </w:pPr>
            <w:r>
              <w:rPr>
                <w:rFonts w:ascii="Times New Roman" w:hAnsi="Times New Roman"/>
              </w:rPr>
              <w:t>88,636,694.67</w:t>
            </w:r>
          </w:p>
        </w:tc>
        <w:tc>
          <w:tcPr>
            <w:tcW w:w="1019" w:type="pct"/>
          </w:tcPr>
          <w:p w14:paraId="21C75AB2">
            <w:pPr>
              <w:pStyle w:val="55"/>
              <w:ind w:firstLine="0" w:firstLineChars="0"/>
              <w:jc w:val="right"/>
              <w:rPr>
                <w:rFonts w:ascii="Times New Roman" w:hAnsi="Times New Roman"/>
                <w:szCs w:val="21"/>
              </w:rPr>
            </w:pPr>
            <w:r>
              <w:rPr>
                <w:rFonts w:hint="eastAsia" w:ascii="Times New Roman" w:hAnsi="Times New Roman"/>
                <w:szCs w:val="21"/>
              </w:rPr>
              <w:t>-112.47</w:t>
            </w:r>
          </w:p>
        </w:tc>
      </w:tr>
      <w:bookmarkEnd w:id="41"/>
    </w:tbl>
    <w:p w14:paraId="2E660966">
      <w:pPr>
        <w:pStyle w:val="55"/>
        <w:ind w:firstLine="0" w:firstLineChars="0"/>
        <w:jc w:val="left"/>
        <w:rPr>
          <w:rFonts w:ascii="Times New Roman" w:hAnsi="Times New Roman"/>
          <w:color w:val="000000" w:themeColor="text1"/>
          <w14:textFill>
            <w14:solidFill>
              <w14:schemeClr w14:val="tx1"/>
            </w14:solidFill>
          </w14:textFill>
        </w:rPr>
      </w:pPr>
    </w:p>
    <w:p w14:paraId="1B83687F">
      <w:pPr>
        <w:pStyle w:val="55"/>
        <w:spacing w:line="360" w:lineRule="auto"/>
        <w:ind w:firstLine="0" w:firstLineChars="0"/>
        <w:jc w:val="lef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资产减值损失变动原因说明：</w:t>
      </w:r>
      <w:sdt>
        <w:sdtPr>
          <w:rPr>
            <w:rFonts w:ascii="Times New Roman" w:hAnsi="Times New Roman"/>
            <w:color w:val="000000" w:themeColor="text1"/>
            <w:szCs w:val="21"/>
            <w14:textFill>
              <w14:solidFill>
                <w14:schemeClr w14:val="tx1"/>
              </w14:solidFill>
            </w14:textFill>
          </w:rPr>
          <w:alias w:val="营业收入变动原因说明"/>
          <w:tag w:val="_GBC_f42c61e6c2ef46fe886ea6ecdd4ea15b"/>
          <w:id w:val="1766033353"/>
          <w:placeholder>
            <w:docPart w:val="GBC22222222222222222222222222222"/>
          </w:placeholder>
        </w:sdtPr>
        <w:sdtEndPr>
          <w:rPr>
            <w:rFonts w:ascii="Times New Roman" w:hAnsi="Times New Roman"/>
            <w:color w:val="000000" w:themeColor="text1"/>
            <w:szCs w:val="21"/>
            <w14:textFill>
              <w14:solidFill>
                <w14:schemeClr w14:val="tx1"/>
              </w14:solidFill>
            </w14:textFill>
          </w:rPr>
        </w:sdtEndPr>
        <w:sdtContent>
          <w:r>
            <w:rPr>
              <w:rFonts w:hint="eastAsia"/>
              <w:color w:val="000000" w:themeColor="text1"/>
              <w14:textFill>
                <w14:solidFill>
                  <w14:schemeClr w14:val="tx1"/>
                </w14:solidFill>
              </w14:textFill>
            </w:rPr>
            <w:t>主要系报告期内公司计提各类应收款项坏帐准备金增加361.35万元所致；</w:t>
          </w:r>
          <w:r>
            <w:rPr>
              <w:color w:val="000000" w:themeColor="text1"/>
              <w14:textFill>
                <w14:solidFill>
                  <w14:schemeClr w14:val="tx1"/>
                </w14:solidFill>
              </w14:textFill>
            </w:rPr>
            <w:t xml:space="preserve"> </w:t>
          </w:r>
        </w:sdtContent>
      </w:sdt>
    </w:p>
    <w:p w14:paraId="1B4C8CD5">
      <w:pPr>
        <w:pStyle w:val="55"/>
        <w:spacing w:line="360" w:lineRule="auto"/>
        <w:ind w:firstLine="0" w:firstLineChars="0"/>
        <w:jc w:val="lef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其他收益变动原因说明：</w:t>
      </w:r>
      <w:sdt>
        <w:sdtPr>
          <w:rPr>
            <w:rFonts w:hint="eastAsia" w:ascii="Times New Roman" w:hAnsi="Times New Roman"/>
            <w:color w:val="000000" w:themeColor="text1"/>
            <w14:textFill>
              <w14:solidFill>
                <w14:schemeClr w14:val="tx1"/>
              </w14:solidFill>
            </w14:textFill>
          </w:rPr>
          <w:alias w:val="营业成本变动原因说明"/>
          <w:tag w:val="_GBC_4ab47071f9844da58abe164f6bd272aa"/>
          <w:id w:val="-1818955858"/>
          <w:placeholder>
            <w:docPart w:val="GBC22222222222222222222222222222"/>
          </w:placeholder>
        </w:sdtPr>
        <w:sdtEndPr>
          <w:rPr>
            <w:rFonts w:hint="eastAsia" w:ascii="Times New Roman" w:hAnsi="Times New Roman"/>
            <w:color w:val="000000" w:themeColor="text1"/>
            <w14:textFill>
              <w14:solidFill>
                <w14:schemeClr w14:val="tx1"/>
              </w14:solidFill>
            </w14:textFill>
          </w:rPr>
        </w:sdtEndPr>
        <w:sdtContent>
          <w:r>
            <w:rPr>
              <w:rFonts w:hint="eastAsia" w:ascii="Times New Roman" w:hAnsi="Times New Roman"/>
              <w:color w:val="000000" w:themeColor="text1"/>
              <w14:textFill>
                <w14:solidFill>
                  <w14:schemeClr w14:val="tx1"/>
                </w14:solidFill>
              </w14:textFill>
            </w:rPr>
            <w:t>主要系报告期内公司控股子公司-山东好当家海洋捕捞有限公司收到燃油补贴1,388.82万元所致；</w:t>
          </w:r>
        </w:sdtContent>
      </w:sdt>
    </w:p>
    <w:p w14:paraId="62C37FCC">
      <w:pPr>
        <w:pStyle w:val="55"/>
        <w:spacing w:line="360" w:lineRule="auto"/>
        <w:ind w:firstLine="0" w:firstLineChars="0"/>
        <w:jc w:val="lef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营业外支出变动原因说明：</w:t>
      </w:r>
      <w:sdt>
        <w:sdtPr>
          <w:rPr>
            <w:rFonts w:hint="eastAsia" w:ascii="Times New Roman" w:hAnsi="Times New Roman"/>
            <w:color w:val="000000" w:themeColor="text1"/>
            <w14:textFill>
              <w14:solidFill>
                <w14:schemeClr w14:val="tx1"/>
              </w14:solidFill>
            </w14:textFill>
          </w:rPr>
          <w:alias w:val="销售费用变动原因说明"/>
          <w:tag w:val="_GBC_d8f3d3236009445ca57b171f1c954fae"/>
          <w:id w:val="1300802704"/>
          <w:placeholder>
            <w:docPart w:val="GBC22222222222222222222222222222"/>
          </w:placeholder>
        </w:sdtPr>
        <w:sdtEndPr>
          <w:rPr>
            <w:rFonts w:hint="eastAsia" w:ascii="Times New Roman" w:hAnsi="Times New Roman"/>
            <w:color w:val="000000" w:themeColor="text1"/>
            <w14:textFill>
              <w14:solidFill>
                <w14:schemeClr w14:val="tx1"/>
              </w14:solidFill>
            </w14:textFill>
          </w:rPr>
        </w:sdtEndPr>
        <w:sdtContent>
          <w:r>
            <w:rPr>
              <w:rFonts w:hint="eastAsia" w:ascii="Times New Roman" w:hAnsi="Times New Roman"/>
              <w:color w:val="000000" w:themeColor="text1"/>
              <w14:textFill>
                <w14:solidFill>
                  <w14:schemeClr w14:val="tx1"/>
                </w14:solidFill>
              </w14:textFill>
            </w:rPr>
            <w:t>主要系报告期内公司控股子公司-山东好当家海洋捕捞有限公司资产处置损失495.07万元所致；</w:t>
          </w:r>
        </w:sdtContent>
      </w:sdt>
    </w:p>
    <w:p w14:paraId="6EB14A58">
      <w:pPr>
        <w:pStyle w:val="55"/>
        <w:spacing w:line="360" w:lineRule="auto"/>
        <w:ind w:firstLine="0" w:firstLineChars="0"/>
        <w:jc w:val="left"/>
        <w:rPr>
          <w:rFonts w:ascii="Times New Roman" w:hAnsi="Times New Roman"/>
          <w:color w:val="000000" w:themeColor="text1"/>
          <w14:textFill>
            <w14:solidFill>
              <w14:schemeClr w14:val="tx1"/>
            </w14:solidFill>
          </w14:textFill>
        </w:rPr>
      </w:pPr>
      <w:r>
        <w:rPr>
          <w:rFonts w:ascii="Times New Roman" w:hAnsi="Times New Roman"/>
          <w:color w:val="000000" w:themeColor="text1"/>
          <w:szCs w:val="21"/>
          <w14:textFill>
            <w14:solidFill>
              <w14:schemeClr w14:val="tx1"/>
            </w14:solidFill>
          </w14:textFill>
        </w:rPr>
        <w:t>经营活动产生的现金流量净额</w:t>
      </w:r>
      <w:r>
        <w:rPr>
          <w:rFonts w:hint="eastAsia" w:ascii="Times New Roman" w:hAnsi="Times New Roman"/>
          <w:color w:val="000000" w:themeColor="text1"/>
          <w:szCs w:val="21"/>
          <w14:textFill>
            <w14:solidFill>
              <w14:schemeClr w14:val="tx1"/>
            </w14:solidFill>
          </w14:textFill>
        </w:rPr>
        <w:t>变动原因说明：</w:t>
      </w:r>
      <w:sdt>
        <w:sdtPr>
          <w:rPr>
            <w:rFonts w:hint="eastAsia" w:ascii="Times New Roman" w:hAnsi="Times New Roman"/>
            <w:color w:val="000000" w:themeColor="text1"/>
            <w:szCs w:val="21"/>
            <w14:textFill>
              <w14:solidFill>
                <w14:schemeClr w14:val="tx1"/>
              </w14:solidFill>
            </w14:textFill>
          </w:rPr>
          <w:alias w:val="经营活动产生的现金流量净额变动原因说明"/>
          <w:tag w:val="_GBC_309323bb8b0046e9bb6afe0231994d50"/>
          <w:id w:val="-832217271"/>
          <w:placeholder>
            <w:docPart w:val="GBC22222222222222222222222222222"/>
          </w:placeholder>
        </w:sdtPr>
        <w:sdtEndPr>
          <w:rPr>
            <w:rFonts w:hint="eastAsia" w:ascii="Times New Roman" w:hAnsi="Times New Roman"/>
            <w:color w:val="000000" w:themeColor="text1"/>
            <w:szCs w:val="21"/>
            <w14:textFill>
              <w14:solidFill>
                <w14:schemeClr w14:val="tx1"/>
              </w14:solidFill>
            </w14:textFill>
          </w:rPr>
        </w:sdtEndPr>
        <w:sdtContent>
          <w:r>
            <w:rPr>
              <w:rFonts w:hint="eastAsia"/>
              <w:color w:val="000000" w:themeColor="text1"/>
              <w14:textFill>
                <w14:solidFill>
                  <w14:schemeClr w14:val="tx1"/>
                </w14:solidFill>
              </w14:textFill>
            </w:rPr>
            <w:t>主要系报告期内收到的其他与经营活动有关的现金：公司控股子公司-山东好当家海洋捕捞有限公司收到燃油补贴1,388.82万元所致；</w:t>
          </w:r>
          <w:r>
            <w:rPr>
              <w:color w:val="000000" w:themeColor="text1"/>
              <w14:textFill>
                <w14:solidFill>
                  <w14:schemeClr w14:val="tx1"/>
                </w14:solidFill>
              </w14:textFill>
            </w:rPr>
            <w:t xml:space="preserve"> </w:t>
          </w:r>
        </w:sdtContent>
      </w:sdt>
    </w:p>
    <w:p w14:paraId="227E01C4">
      <w:pPr>
        <w:pStyle w:val="55"/>
        <w:spacing w:line="360" w:lineRule="auto"/>
        <w:ind w:firstLine="0" w:firstLineChars="0"/>
        <w:jc w:val="left"/>
        <w:rPr>
          <w:rFonts w:ascii="Times New Roman" w:hAnsi="Times New Roman"/>
          <w:color w:val="000000" w:themeColor="text1"/>
          <w14:textFill>
            <w14:solidFill>
              <w14:schemeClr w14:val="tx1"/>
            </w14:solidFill>
          </w14:textFill>
        </w:rPr>
      </w:pPr>
      <w:r>
        <w:rPr>
          <w:rFonts w:ascii="Times New Roman" w:hAnsi="Times New Roman"/>
          <w:color w:val="000000" w:themeColor="text1"/>
          <w:szCs w:val="21"/>
          <w14:textFill>
            <w14:solidFill>
              <w14:schemeClr w14:val="tx1"/>
            </w14:solidFill>
          </w14:textFill>
        </w:rPr>
        <w:t>投资活动产生的现金流量净额</w:t>
      </w:r>
      <w:r>
        <w:rPr>
          <w:rFonts w:hint="eastAsia" w:ascii="Times New Roman" w:hAnsi="Times New Roman"/>
          <w:color w:val="000000" w:themeColor="text1"/>
          <w:szCs w:val="21"/>
          <w14:textFill>
            <w14:solidFill>
              <w14:schemeClr w14:val="tx1"/>
            </w14:solidFill>
          </w14:textFill>
        </w:rPr>
        <w:t>变动原因说明：</w:t>
      </w:r>
      <w:sdt>
        <w:sdtPr>
          <w:rPr>
            <w:rFonts w:hint="eastAsia" w:ascii="Times New Roman" w:hAnsi="Times New Roman"/>
            <w:color w:val="000000" w:themeColor="text1"/>
            <w:szCs w:val="21"/>
            <w14:textFill>
              <w14:solidFill>
                <w14:schemeClr w14:val="tx1"/>
              </w14:solidFill>
            </w14:textFill>
          </w:rPr>
          <w:alias w:val="投资活动产生的现金流量净额变动原因说明"/>
          <w:tag w:val="_GBC_981bcb9573814b8080b52fae435fb1b0"/>
          <w:id w:val="-573129772"/>
          <w:placeholder>
            <w:docPart w:val="GBC22222222222222222222222222222"/>
          </w:placeholder>
        </w:sdtPr>
        <w:sdtEndPr>
          <w:rPr>
            <w:rFonts w:hint="eastAsia" w:ascii="Times New Roman" w:hAnsi="Times New Roman"/>
            <w:color w:val="000000" w:themeColor="text1"/>
            <w:szCs w:val="21"/>
            <w14:textFill>
              <w14:solidFill>
                <w14:schemeClr w14:val="tx1"/>
              </w14:solidFill>
            </w14:textFill>
          </w:rPr>
        </w:sdtEndPr>
        <w:sdtContent>
          <w:r>
            <w:rPr>
              <w:rFonts w:hint="eastAsia"/>
              <w:color w:val="000000" w:themeColor="text1"/>
              <w14:textFill>
                <w14:solidFill>
                  <w14:schemeClr w14:val="tx1"/>
                </w14:solidFill>
              </w14:textFill>
            </w:rPr>
            <w:t>主要系报告期内购建固定资产和无形资产较去年同期减少8,575.11万元所致；</w:t>
          </w:r>
          <w:r>
            <w:rPr>
              <w:color w:val="000000" w:themeColor="text1"/>
              <w14:textFill>
                <w14:solidFill>
                  <w14:schemeClr w14:val="tx1"/>
                </w14:solidFill>
              </w14:textFill>
            </w:rPr>
            <w:t xml:space="preserve"> </w:t>
          </w:r>
        </w:sdtContent>
      </w:sdt>
    </w:p>
    <w:p w14:paraId="57166FFA">
      <w:pPr>
        <w:pStyle w:val="55"/>
        <w:spacing w:line="360" w:lineRule="auto"/>
        <w:ind w:firstLine="0" w:firstLineChars="0"/>
        <w:jc w:val="left"/>
        <w:rPr>
          <w:rFonts w:ascii="Times New Roman" w:hAnsi="Times New Roman"/>
          <w:color w:val="000000" w:themeColor="text1"/>
          <w14:textFill>
            <w14:solidFill>
              <w14:schemeClr w14:val="tx1"/>
            </w14:solidFill>
          </w14:textFill>
        </w:rPr>
      </w:pPr>
      <w:r>
        <w:rPr>
          <w:rFonts w:ascii="Times New Roman" w:hAnsi="Times New Roman"/>
          <w:color w:val="000000" w:themeColor="text1"/>
          <w:szCs w:val="21"/>
          <w14:textFill>
            <w14:solidFill>
              <w14:schemeClr w14:val="tx1"/>
            </w14:solidFill>
          </w14:textFill>
        </w:rPr>
        <w:t>筹资活动产生的现金流量净额</w:t>
      </w:r>
      <w:r>
        <w:rPr>
          <w:rFonts w:hint="eastAsia" w:ascii="Times New Roman" w:hAnsi="Times New Roman"/>
          <w:color w:val="000000" w:themeColor="text1"/>
          <w:szCs w:val="21"/>
          <w14:textFill>
            <w14:solidFill>
              <w14:schemeClr w14:val="tx1"/>
            </w14:solidFill>
          </w14:textFill>
        </w:rPr>
        <w:t>变动原因说明：</w:t>
      </w:r>
      <w:sdt>
        <w:sdtPr>
          <w:rPr>
            <w:rFonts w:hint="eastAsia" w:ascii="Times New Roman" w:hAnsi="Times New Roman"/>
            <w:color w:val="000000" w:themeColor="text1"/>
            <w:szCs w:val="21"/>
            <w14:textFill>
              <w14:solidFill>
                <w14:schemeClr w14:val="tx1"/>
              </w14:solidFill>
            </w14:textFill>
          </w:rPr>
          <w:alias w:val="筹资活动产生的现金流量净额变动原因说明"/>
          <w:tag w:val="_GBC_900a9d8acfac4ec18a35c4034161c13e"/>
          <w:id w:val="220033000"/>
          <w:placeholder>
            <w:docPart w:val="GBC22222222222222222222222222222"/>
          </w:placeholder>
        </w:sdtPr>
        <w:sdtEndPr>
          <w:rPr>
            <w:rFonts w:hint="eastAsia" w:ascii="Times New Roman" w:hAnsi="Times New Roman"/>
            <w:color w:val="000000" w:themeColor="text1"/>
            <w:szCs w:val="21"/>
            <w14:textFill>
              <w14:solidFill>
                <w14:schemeClr w14:val="tx1"/>
              </w14:solidFill>
            </w14:textFill>
          </w:rPr>
        </w:sdtEndPr>
        <w:sdtContent>
          <w:r>
            <w:rPr>
              <w:rFonts w:hint="eastAsia"/>
              <w:color w:val="000000" w:themeColor="text1"/>
              <w14:textFill>
                <w14:solidFill>
                  <w14:schemeClr w14:val="tx1"/>
                </w14:solidFill>
              </w14:textFill>
            </w:rPr>
            <w:t>主要系报告期内公司从各金融机构融资及保证金类业务到期现金流入金额较同期减少39,662.40万元，归还各金融机构到期贷款和转入保证金类业务现金流出金额较同期减少29,762.99万元所致；</w:t>
          </w:r>
          <w:r>
            <w:rPr>
              <w:color w:val="000000" w:themeColor="text1"/>
              <w14:textFill>
                <w14:solidFill>
                  <w14:schemeClr w14:val="tx1"/>
                </w14:solidFill>
              </w14:textFill>
            </w:rPr>
            <w:t xml:space="preserve"> </w:t>
          </w:r>
        </w:sdtContent>
      </w:sdt>
    </w:p>
    <w:sdt>
      <w:sdtPr>
        <w:rPr>
          <w:rFonts w:hint="eastAsia" w:ascii="Times New Roman" w:hAnsi="Times New Roman"/>
          <w:color w:val="000000" w:themeColor="text1"/>
          <w:szCs w:val="21"/>
          <w14:textFill>
            <w14:solidFill>
              <w14:schemeClr w14:val="tx1"/>
            </w14:solidFill>
          </w14:textFill>
        </w:rPr>
        <w:alias w:val="利润表及现金流量表相关科目变动分析"/>
        <w:tag w:val="_GBC_94f5ff32e4ce4847911acff5a0adb36c"/>
        <w:id w:val="1383368162"/>
        <w:placeholder>
          <w:docPart w:val="GBC22222222222222222222222222222"/>
        </w:placeholder>
      </w:sdtPr>
      <w:sdtEndPr>
        <w:rPr>
          <w:rFonts w:hint="eastAsia" w:ascii="Times New Roman" w:hAnsi="Times New Roman"/>
          <w:color w:val="000000" w:themeColor="text1"/>
          <w:szCs w:val="21"/>
          <w14:textFill>
            <w14:solidFill>
              <w14:schemeClr w14:val="tx1"/>
            </w14:solidFill>
          </w14:textFill>
        </w:rPr>
      </w:sdtEndPr>
      <w:sdtContent>
        <w:p w14:paraId="12D2B75E">
          <w:pPr>
            <w:pStyle w:val="55"/>
            <w:spacing w:line="360" w:lineRule="auto"/>
            <w:ind w:firstLine="0" w:firstLineChars="0"/>
            <w:jc w:val="left"/>
            <w:rPr>
              <w:rFonts w:ascii="Times New Roman" w:hAnsi="Times New Roman"/>
              <w:color w:val="000000" w:themeColor="text1"/>
              <w14:textFill>
                <w14:solidFill>
                  <w14:schemeClr w14:val="tx1"/>
                </w14:solidFill>
              </w14:textFill>
            </w:rPr>
          </w:pPr>
          <w:sdt>
            <w:sdtPr>
              <w:rPr>
                <w:rFonts w:hint="eastAsia" w:ascii="Times New Roman" w:hAnsi="Times New Roman"/>
                <w:color w:val="000000" w:themeColor="text1"/>
                <w:szCs w:val="21"/>
                <w14:textFill>
                  <w14:solidFill>
                    <w14:schemeClr w14:val="tx1"/>
                  </w14:solidFill>
                </w14:textFill>
              </w:rPr>
              <w:alias w:val="利润表及现金流量表相关科目变动分析-科目名称"/>
              <w:tag w:val="_GBC_764a55650aaf4240a584071ddd35a587"/>
              <w:id w:val="2084569813"/>
              <w:placeholder>
                <w:docPart w:val="GBC22222222222222222222222222222"/>
              </w:placeholder>
            </w:sdtPr>
            <w:sdtEndPr>
              <w:rPr>
                <w:rFonts w:hint="eastAsia" w:ascii="Times New Roman" w:hAnsi="Times New Roman"/>
                <w:color w:val="000000" w:themeColor="text1"/>
                <w:szCs w:val="21"/>
                <w14:textFill>
                  <w14:solidFill>
                    <w14:schemeClr w14:val="tx1"/>
                  </w14:solidFill>
                </w14:textFill>
              </w:rPr>
            </w:sdtEndPr>
            <w:sdtContent>
              <w:r>
                <w:rPr>
                  <w:rFonts w:hint="eastAsia" w:ascii="Times New Roman" w:hAnsi="Times New Roman"/>
                  <w:color w:val="000000" w:themeColor="text1"/>
                  <w:szCs w:val="21"/>
                  <w14:textFill>
                    <w14:solidFill>
                      <w14:schemeClr w14:val="tx1"/>
                    </w14:solidFill>
                  </w14:textFill>
                </w:rPr>
                <w:t>少数股东损益</w:t>
              </w:r>
            </w:sdtContent>
          </w:sdt>
          <w:r>
            <w:rPr>
              <w:rFonts w:hint="eastAsia" w:ascii="Times New Roman" w:hAnsi="Times New Roman"/>
              <w:color w:val="000000" w:themeColor="text1"/>
              <w:szCs w:val="21"/>
              <w14:textFill>
                <w14:solidFill>
                  <w14:schemeClr w14:val="tx1"/>
                </w14:solidFill>
              </w14:textFill>
            </w:rPr>
            <w:t>变动原因说明：</w:t>
          </w:r>
          <w:sdt>
            <w:sdtPr>
              <w:rPr>
                <w:rFonts w:hint="eastAsia" w:ascii="Times New Roman" w:hAnsi="Times New Roman"/>
                <w:color w:val="000000" w:themeColor="text1"/>
                <w:szCs w:val="21"/>
                <w14:textFill>
                  <w14:solidFill>
                    <w14:schemeClr w14:val="tx1"/>
                  </w14:solidFill>
                </w14:textFill>
              </w:rPr>
              <w:alias w:val="利润表及现金流量表相关科目变动分析-变动原因说明"/>
              <w:tag w:val="_GBC_1f225b75164341838c2f2de40a1ee736"/>
              <w:id w:val="-376089223"/>
              <w:placeholder>
                <w:docPart w:val="GBC22222222222222222222222222222"/>
              </w:placeholder>
            </w:sdtPr>
            <w:sdtEndPr>
              <w:rPr>
                <w:rFonts w:hint="eastAsia" w:ascii="Times New Roman" w:hAnsi="Times New Roman"/>
                <w:color w:val="000000" w:themeColor="text1"/>
                <w:szCs w:val="21"/>
                <w14:textFill>
                  <w14:solidFill>
                    <w14:schemeClr w14:val="tx1"/>
                  </w14:solidFill>
                </w14:textFill>
              </w:rPr>
            </w:sdtEndPr>
            <w:sdtContent>
              <w:r>
                <w:rPr>
                  <w:rFonts w:hint="eastAsia" w:ascii="Times New Roman" w:hAnsi="Times New Roman"/>
                  <w:color w:val="000000" w:themeColor="text1"/>
                  <w:szCs w:val="21"/>
                  <w14:textFill>
                    <w14:solidFill>
                      <w14:schemeClr w14:val="tx1"/>
                    </w14:solidFill>
                  </w14:textFill>
                </w:rPr>
                <w:t>主要系公司下属存在少数股东的控股子公司本期实现净利润同比有所减少，按照少数股东持股比例确认的损益相应下降。</w:t>
              </w:r>
            </w:sdtContent>
          </w:sdt>
        </w:p>
      </w:sdtContent>
    </w:sdt>
    <w:bookmarkEnd w:id="40"/>
    <w:p w14:paraId="77D7DB3A">
      <w:pPr>
        <w:pStyle w:val="55"/>
        <w:ind w:firstLine="0" w:firstLineChars="0"/>
        <w:jc w:val="left"/>
        <w:rPr>
          <w:rFonts w:hint="eastAsia" w:ascii="宋体" w:hAnsi="宋体"/>
          <w:color w:val="000000" w:themeColor="text1"/>
          <w14:textFill>
            <w14:solidFill>
              <w14:schemeClr w14:val="tx1"/>
            </w14:solidFill>
          </w14:textFill>
        </w:rPr>
      </w:pPr>
      <w:bookmarkStart w:id="42" w:name="_Toc342565903"/>
      <w:bookmarkStart w:id="43" w:name="_Toc342559755"/>
    </w:p>
    <w:p w14:paraId="2F022CB8">
      <w:pPr>
        <w:pStyle w:val="5"/>
        <w:numPr>
          <w:ilvl w:val="0"/>
          <w:numId w:val="7"/>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本期</w:t>
      </w:r>
      <w:r>
        <w:rPr>
          <w:rFonts w:ascii="宋体" w:hAnsi="宋体"/>
          <w:color w:val="000000" w:themeColor="text1"/>
          <w14:textFill>
            <w14:solidFill>
              <w14:schemeClr w14:val="tx1"/>
            </w14:solidFill>
          </w14:textFill>
        </w:rPr>
        <w:t>公司</w:t>
      </w:r>
      <w:r>
        <w:rPr>
          <w:rFonts w:hint="eastAsia" w:ascii="宋体" w:hAnsi="宋体"/>
          <w:color w:val="000000" w:themeColor="text1"/>
          <w14:textFill>
            <w14:solidFill>
              <w14:schemeClr w14:val="tx1"/>
            </w14:solidFill>
          </w14:textFill>
        </w:rPr>
        <w:t>业务类型、</w:t>
      </w:r>
      <w:r>
        <w:rPr>
          <w:rFonts w:ascii="宋体" w:hAnsi="宋体"/>
          <w:color w:val="000000" w:themeColor="text1"/>
          <w14:textFill>
            <w14:solidFill>
              <w14:schemeClr w14:val="tx1"/>
            </w14:solidFill>
          </w14:textFill>
        </w:rPr>
        <w:t>利润构成或利润来源发生重大变动的详细说明</w:t>
      </w:r>
    </w:p>
    <w:sdt>
      <w:sdtPr>
        <w:rPr>
          <w:color w:val="000000" w:themeColor="text1"/>
          <w14:textFill>
            <w14:solidFill>
              <w14:schemeClr w14:val="tx1"/>
            </w14:solidFill>
          </w14:textFill>
        </w:rPr>
        <w:alias w:val="是否适用：公司利润构成或利润来源发生重大变动的详细说明[双击切换]"/>
        <w:tag w:val="_GBC_cf62b49cb7b54052a77aa6c4ec7218c8"/>
        <w:id w:val="1957744631"/>
        <w:placeholder>
          <w:docPart w:val="GBC22222222222222222222222222222"/>
        </w:placeholder>
      </w:sdtPr>
      <w:sdtEndPr>
        <w:rPr>
          <w:color w:val="000000" w:themeColor="text1"/>
          <w14:textFill>
            <w14:solidFill>
              <w14:schemeClr w14:val="tx1"/>
            </w14:solidFill>
          </w14:textFill>
        </w:rPr>
      </w:sdtEndPr>
      <w:sdtContent>
        <w:p w14:paraId="017A510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C827C1D">
      <w:pPr>
        <w:rPr>
          <w:color w:val="000000" w:themeColor="text1"/>
          <w14:textFill>
            <w14:solidFill>
              <w14:schemeClr w14:val="tx1"/>
            </w14:solidFill>
          </w14:textFill>
        </w:rPr>
      </w:pPr>
    </w:p>
    <w:p w14:paraId="44E03BD4">
      <w:pPr>
        <w:pStyle w:val="4"/>
        <w:numPr>
          <w:ilvl w:val="0"/>
          <w:numId w:val="6"/>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非主营业务导致利润重大变化的说明</w:t>
      </w:r>
    </w:p>
    <w:sdt>
      <w:sdtPr>
        <w:rPr>
          <w:rFonts w:hint="eastAsia"/>
          <w:color w:val="000000" w:themeColor="text1"/>
          <w14:textFill>
            <w14:solidFill>
              <w14:schemeClr w14:val="tx1"/>
            </w14:solidFill>
          </w14:textFill>
        </w:rPr>
        <w:alias w:val="是否适用：非主营业务来源分析[双击切换]"/>
        <w:tag w:val="_GBC_45f0580c6f114551af0270412b25ccd0"/>
        <w:id w:val="1458994828"/>
        <w:placeholder>
          <w:docPart w:val="GBC22222222222222222222222222222"/>
        </w:placeholder>
      </w:sdtPr>
      <w:sdtEndPr>
        <w:rPr>
          <w:rFonts w:hint="eastAsia"/>
          <w:color w:val="000000" w:themeColor="text1"/>
          <w14:textFill>
            <w14:solidFill>
              <w14:schemeClr w14:val="tx1"/>
            </w14:solidFill>
          </w14:textFill>
        </w:rPr>
      </w:sdtEndPr>
      <w:sdtContent>
        <w:p w14:paraId="69640A6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DF0222E">
      <w:pPr>
        <w:rPr>
          <w:color w:val="000000" w:themeColor="text1"/>
          <w14:textFill>
            <w14:solidFill>
              <w14:schemeClr w14:val="tx1"/>
            </w14:solidFill>
          </w14:textFill>
        </w:rPr>
      </w:pPr>
    </w:p>
    <w:p w14:paraId="405C15DA">
      <w:pPr>
        <w:pStyle w:val="4"/>
        <w:numPr>
          <w:ilvl w:val="0"/>
          <w:numId w:val="6"/>
        </w:num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资产、负债情况分析</w:t>
      </w:r>
    </w:p>
    <w:p w14:paraId="27BF2F8D">
      <w:pPr>
        <w:rPr>
          <w:color w:val="000000" w:themeColor="text1"/>
          <w14:textFill>
            <w14:solidFill>
              <w14:schemeClr w14:val="tx1"/>
            </w14:solidFill>
          </w14:textFill>
        </w:rPr>
      </w:pPr>
      <w:sdt>
        <w:sdtPr>
          <w:rPr>
            <w:rFonts w:hint="eastAsia"/>
            <w:color w:val="000000" w:themeColor="text1"/>
            <w14:textFill>
              <w14:solidFill>
                <w14:schemeClr w14:val="tx1"/>
              </w14:solidFill>
            </w14:textFill>
          </w:rPr>
          <w:alias w:val="是否适用：资产、负债情况分析[双击切换]"/>
          <w:tag w:val="_GBC_7e768f46f428417e8696bff3cfaf9902"/>
          <w:id w:val="323637526"/>
          <w:lock w:val="contentLocked"/>
          <w:placeholder>
            <w:docPart w:val="GBC22222222222222222222222222222"/>
          </w:placeholder>
        </w:sdtPr>
        <w:sdtEndPr>
          <w:rPr>
            <w:rFonts w:hint="eastAsia"/>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p w14:paraId="6C900884">
      <w:pPr>
        <w:pStyle w:val="5"/>
        <w:numPr>
          <w:ilvl w:val="0"/>
          <w:numId w:val="8"/>
        </w:numPr>
        <w:rPr>
          <w:rFonts w:hint="eastAsia" w:ascii="宋体" w:hAnsi="宋体"/>
          <w:b w:val="0"/>
          <w:color w:val="000000" w:themeColor="text1"/>
          <w14:textFill>
            <w14:solidFill>
              <w14:schemeClr w14:val="tx1"/>
            </w14:solidFill>
          </w14:textFill>
        </w:rPr>
      </w:pPr>
      <w:bookmarkStart w:id="44" w:name="_Hlk74730011"/>
      <w:r>
        <w:rPr>
          <w:rFonts w:ascii="宋体" w:hAnsi="宋体"/>
          <w:color w:val="000000" w:themeColor="text1"/>
          <w14:textFill>
            <w14:solidFill>
              <w14:schemeClr w14:val="tx1"/>
            </w14:solidFill>
          </w14:textFill>
        </w:rPr>
        <w:t>资产</w:t>
      </w:r>
      <w:r>
        <w:rPr>
          <w:rFonts w:hint="eastAsia" w:ascii="宋体" w:hAnsi="宋体"/>
          <w:color w:val="000000" w:themeColor="text1"/>
          <w14:textFill>
            <w14:solidFill>
              <w14:schemeClr w14:val="tx1"/>
            </w14:solidFill>
          </w14:textFill>
        </w:rPr>
        <w:t>及</w:t>
      </w:r>
      <w:r>
        <w:rPr>
          <w:rFonts w:ascii="宋体" w:hAnsi="宋体"/>
          <w:color w:val="000000" w:themeColor="text1"/>
          <w14:textFill>
            <w14:solidFill>
              <w14:schemeClr w14:val="tx1"/>
            </w14:solidFill>
          </w14:textFill>
        </w:rPr>
        <w:t>负债</w:t>
      </w:r>
      <w:r>
        <w:rPr>
          <w:rFonts w:hint="eastAsia" w:ascii="宋体" w:hAnsi="宋体"/>
          <w:color w:val="000000" w:themeColor="text1"/>
          <w:szCs w:val="21"/>
          <w14:textFill>
            <w14:solidFill>
              <w14:schemeClr w14:val="tx1"/>
            </w14:solidFill>
          </w14:textFill>
        </w:rPr>
        <w:t>状</w:t>
      </w:r>
      <w:r>
        <w:rPr>
          <w:rFonts w:ascii="宋体" w:hAnsi="宋体"/>
          <w:color w:val="000000" w:themeColor="text1"/>
          <w:szCs w:val="21"/>
          <w14:textFill>
            <w14:solidFill>
              <w14:schemeClr w14:val="tx1"/>
            </w14:solidFill>
          </w14:textFill>
        </w:rPr>
        <w:t>况</w:t>
      </w:r>
    </w:p>
    <w:p w14:paraId="6CA3970D">
      <w:pPr>
        <w:wordWrap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资产负债状况分析"/>
          <w:tag w:val="_GBC_21de4e2184d94baf8e19137a1d0d5b74"/>
          <w:id w:val="917516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color w:val="000000" w:themeColor="text1"/>
          <w14:textFill>
            <w14:solidFill>
              <w14:schemeClr w14:val="tx1"/>
            </w14:solidFill>
          </w14:textFill>
        </w:rPr>
        <w:t xml:space="preserve"> 币种：</w:t>
      </w:r>
      <w:sdt>
        <w:sdtPr>
          <w:rPr>
            <w:color w:val="000000" w:themeColor="text1"/>
            <w14:textFill>
              <w14:solidFill>
                <w14:schemeClr w14:val="tx1"/>
              </w14:solidFill>
            </w14:textFill>
          </w:rPr>
          <w:alias w:val="币种：资产负债状况分析"/>
          <w:tag w:val="_GBC_e164602c25b74bc8ab4e21cbfb9d8f51"/>
          <w:id w:val="40157189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人民币</w:t>
          </w:r>
        </w:sdtContent>
      </w:sdt>
    </w:p>
    <w:tbl>
      <w:tblPr>
        <w:tblStyle w:val="38"/>
        <w:tblW w:w="5485" w:type="pct"/>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6"/>
        <w:gridCol w:w="1686"/>
        <w:gridCol w:w="1158"/>
        <w:gridCol w:w="1686"/>
        <w:gridCol w:w="1115"/>
        <w:gridCol w:w="1075"/>
        <w:gridCol w:w="823"/>
      </w:tblGrid>
      <w:tr w14:paraId="0D0A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sdt>
          <w:sdtPr>
            <w:tag w:val="_PLD_d0f356a255cd4ad2a1d809f43b17afe4"/>
            <w:id w:val="-1637558970"/>
          </w:sdtPr>
          <w:sdtContent>
            <w:tc>
              <w:tcPr>
                <w:tcW w:w="1103" w:type="pct"/>
                <w:vAlign w:val="center"/>
              </w:tcPr>
              <w:p w14:paraId="5AE6CB87">
                <w:pPr>
                  <w:widowControl w:val="0"/>
                  <w:jc w:val="center"/>
                  <w:rPr>
                    <w:rStyle w:val="48"/>
                    <w:rFonts w:hint="eastAsia" w:asciiTheme="minorEastAsia" w:hAnsiTheme="minorEastAsia" w:eastAsiaTheme="minorEastAsia"/>
                    <w:b w:val="0"/>
                    <w:color w:val="000000" w:themeColor="text1"/>
                    <w:szCs w:val="21"/>
                    <w14:textFill>
                      <w14:solidFill>
                        <w14:schemeClr w14:val="tx1"/>
                      </w14:solidFill>
                    </w14:textFill>
                  </w:rPr>
                </w:pPr>
                <w:bookmarkStart w:id="45" w:name="_Hlk74646362"/>
                <w:r>
                  <w:rPr>
                    <w:rFonts w:asciiTheme="minorEastAsia" w:hAnsiTheme="minorEastAsia" w:eastAsiaTheme="minorEastAsia"/>
                    <w:color w:val="000000" w:themeColor="text1"/>
                    <w14:textFill>
                      <w14:solidFill>
                        <w14:schemeClr w14:val="tx1"/>
                      </w14:solidFill>
                    </w14:textFill>
                  </w:rPr>
                  <w:t>项目名称</w:t>
                </w:r>
              </w:p>
            </w:tc>
          </w:sdtContent>
        </w:sdt>
        <w:sdt>
          <w:sdtPr>
            <w:tag w:val="_PLD_908740cf286747d79d5abbe407fef2b5"/>
            <w:id w:val="1474409152"/>
          </w:sdtPr>
          <w:sdtContent>
            <w:tc>
              <w:tcPr>
                <w:tcW w:w="871" w:type="pct"/>
                <w:vAlign w:val="center"/>
              </w:tcPr>
              <w:p w14:paraId="631AD2FB">
                <w:pPr>
                  <w:widowControl w:val="0"/>
                  <w:jc w:val="center"/>
                  <w:rPr>
                    <w:rStyle w:val="48"/>
                    <w:rFonts w:hint="eastAsia" w:asciiTheme="minorEastAsia" w:hAnsiTheme="minorEastAsia" w:eastAsiaTheme="minorEastAsia"/>
                    <w:b w:val="0"/>
                    <w:color w:val="000000" w:themeColor="text1"/>
                    <w:szCs w:val="2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本期期末数</w:t>
                </w:r>
              </w:p>
            </w:tc>
          </w:sdtContent>
        </w:sdt>
        <w:sdt>
          <w:sdtPr>
            <w:tag w:val="_PLD_329bbbc9fa484c0990e705c4343b8bd2"/>
            <w:id w:val="-1058853723"/>
          </w:sdtPr>
          <w:sdtContent>
            <w:tc>
              <w:tcPr>
                <w:tcW w:w="598" w:type="pct"/>
                <w:vAlign w:val="center"/>
              </w:tcPr>
              <w:p w14:paraId="171CD854">
                <w:pPr>
                  <w:widowControl w:val="0"/>
                  <w:jc w:val="center"/>
                  <w:rPr>
                    <w:rStyle w:val="48"/>
                    <w:rFonts w:hint="eastAsia" w:asciiTheme="minorEastAsia" w:hAnsiTheme="minorEastAsia" w:eastAsiaTheme="minorEastAsia"/>
                    <w:b w:val="0"/>
                    <w:color w:val="000000" w:themeColor="text1"/>
                    <w:szCs w:val="2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本期期末数占总资产的比例（%）</w:t>
                </w:r>
              </w:p>
            </w:tc>
          </w:sdtContent>
        </w:sdt>
        <w:sdt>
          <w:sdtPr>
            <w:tag w:val="_PLD_56ec8d815a204f39816e77d18cf2ac7e"/>
            <w:id w:val="378908819"/>
          </w:sdtPr>
          <w:sdtContent>
            <w:tc>
              <w:tcPr>
                <w:tcW w:w="871" w:type="pct"/>
                <w:vAlign w:val="center"/>
              </w:tcPr>
              <w:p w14:paraId="48A3CCA2">
                <w:pPr>
                  <w:widowControl w:val="0"/>
                  <w:jc w:val="center"/>
                  <w:rPr>
                    <w:rStyle w:val="48"/>
                    <w:rFonts w:hint="eastAsia" w:asciiTheme="minorEastAsia" w:hAnsiTheme="minorEastAsia" w:eastAsiaTheme="minorEastAsia"/>
                    <w:b w:val="0"/>
                    <w:color w:val="000000" w:themeColor="text1"/>
                    <w:szCs w:val="2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上</w:t>
                </w:r>
                <w:r>
                  <w:rPr>
                    <w:rFonts w:hint="eastAsia" w:asciiTheme="minorEastAsia" w:hAnsiTheme="minorEastAsia" w:eastAsiaTheme="minorEastAsia"/>
                    <w:color w:val="000000" w:themeColor="text1"/>
                    <w14:textFill>
                      <w14:solidFill>
                        <w14:schemeClr w14:val="tx1"/>
                      </w14:solidFill>
                    </w14:textFill>
                  </w:rPr>
                  <w:t>年</w:t>
                </w:r>
                <w:r>
                  <w:rPr>
                    <w:rFonts w:asciiTheme="minorEastAsia" w:hAnsiTheme="minorEastAsia" w:eastAsiaTheme="minorEastAsia"/>
                    <w:color w:val="000000" w:themeColor="text1"/>
                    <w14:textFill>
                      <w14:solidFill>
                        <w14:schemeClr w14:val="tx1"/>
                      </w14:solidFill>
                    </w14:textFill>
                  </w:rPr>
                  <w:t>期末数</w:t>
                </w:r>
              </w:p>
            </w:tc>
          </w:sdtContent>
        </w:sdt>
        <w:sdt>
          <w:sdtPr>
            <w:tag w:val="_PLD_4bc2806364aa476db7b5ac96d585ad18"/>
            <w:id w:val="1774820850"/>
          </w:sdtPr>
          <w:sdtContent>
            <w:tc>
              <w:tcPr>
                <w:tcW w:w="576" w:type="pct"/>
                <w:vAlign w:val="center"/>
              </w:tcPr>
              <w:p w14:paraId="4EEE2C95">
                <w:pPr>
                  <w:widowControl w:val="0"/>
                  <w:jc w:val="center"/>
                  <w:rPr>
                    <w:rStyle w:val="48"/>
                    <w:rFonts w:hint="eastAsia" w:asciiTheme="minorEastAsia" w:hAnsiTheme="minorEastAsia" w:eastAsiaTheme="minorEastAsia"/>
                    <w:b w:val="0"/>
                    <w:color w:val="000000" w:themeColor="text1"/>
                    <w:szCs w:val="2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上</w:t>
                </w:r>
                <w:r>
                  <w:rPr>
                    <w:rFonts w:hint="eastAsia" w:asciiTheme="minorEastAsia" w:hAnsiTheme="minorEastAsia" w:eastAsiaTheme="minorEastAsia"/>
                    <w:color w:val="000000" w:themeColor="text1"/>
                    <w14:textFill>
                      <w14:solidFill>
                        <w14:schemeClr w14:val="tx1"/>
                      </w14:solidFill>
                    </w14:textFill>
                  </w:rPr>
                  <w:t>年</w:t>
                </w:r>
                <w:r>
                  <w:rPr>
                    <w:rFonts w:asciiTheme="minorEastAsia" w:hAnsiTheme="minorEastAsia" w:eastAsiaTheme="minorEastAsia"/>
                    <w:color w:val="000000" w:themeColor="text1"/>
                    <w14:textFill>
                      <w14:solidFill>
                        <w14:schemeClr w14:val="tx1"/>
                      </w14:solidFill>
                    </w14:textFill>
                  </w:rPr>
                  <w:t>期末数占总资产的比例（%）</w:t>
                </w:r>
              </w:p>
            </w:tc>
          </w:sdtContent>
        </w:sdt>
        <w:sdt>
          <w:sdtPr>
            <w:tag w:val="_PLD_4cfcbfaae8d94f2d87cb33b122df7a82"/>
            <w:id w:val="-1579291246"/>
          </w:sdtPr>
          <w:sdtContent>
            <w:tc>
              <w:tcPr>
                <w:tcW w:w="555" w:type="pct"/>
                <w:vAlign w:val="center"/>
              </w:tcPr>
              <w:p w14:paraId="22311FC8">
                <w:pPr>
                  <w:widowControl w:val="0"/>
                  <w:jc w:val="center"/>
                  <w:rPr>
                    <w:rStyle w:val="48"/>
                    <w:rFonts w:hint="eastAsia" w:asciiTheme="minorEastAsia" w:hAnsiTheme="minorEastAsia" w:eastAsiaTheme="minorEastAsia"/>
                    <w:b w:val="0"/>
                    <w:color w:val="000000" w:themeColor="text1"/>
                    <w:szCs w:val="2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本期期末金额较上</w:t>
                </w:r>
                <w:r>
                  <w:rPr>
                    <w:rFonts w:hint="eastAsia" w:asciiTheme="minorEastAsia" w:hAnsiTheme="minorEastAsia" w:eastAsiaTheme="minorEastAsia"/>
                    <w:color w:val="000000" w:themeColor="text1"/>
                    <w14:textFill>
                      <w14:solidFill>
                        <w14:schemeClr w14:val="tx1"/>
                      </w14:solidFill>
                    </w14:textFill>
                  </w:rPr>
                  <w:t>年</w:t>
                </w:r>
                <w:r>
                  <w:rPr>
                    <w:rFonts w:asciiTheme="minorEastAsia" w:hAnsiTheme="minorEastAsia" w:eastAsiaTheme="minorEastAsia"/>
                    <w:color w:val="000000" w:themeColor="text1"/>
                    <w14:textFill>
                      <w14:solidFill>
                        <w14:schemeClr w14:val="tx1"/>
                      </w14:solidFill>
                    </w14:textFill>
                  </w:rPr>
                  <w:t>期末变动比例（%）</w:t>
                </w:r>
              </w:p>
            </w:tc>
          </w:sdtContent>
        </w:sdt>
        <w:sdt>
          <w:sdtPr>
            <w:tag w:val="_PLD_2acc4b359fa846d5bfb9939daf2ce46b"/>
            <w:id w:val="1465780723"/>
          </w:sdtPr>
          <w:sdtContent>
            <w:tc>
              <w:tcPr>
                <w:tcW w:w="425" w:type="pct"/>
                <w:vAlign w:val="center"/>
              </w:tcPr>
              <w:p w14:paraId="519CF25A">
                <w:pPr>
                  <w:widowControl w:val="0"/>
                  <w:jc w:val="center"/>
                  <w:rPr>
                    <w:rStyle w:val="48"/>
                    <w:rFonts w:hint="eastAsia" w:asciiTheme="minorEastAsia" w:hAnsiTheme="minorEastAsia" w:eastAsiaTheme="minorEastAsia"/>
                    <w:b w:val="0"/>
                    <w:color w:val="000000" w:themeColor="text1"/>
                    <w:szCs w:val="2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情况说明</w:t>
                </w:r>
              </w:p>
            </w:tc>
          </w:sdtContent>
        </w:sdt>
      </w:tr>
      <w:tr w14:paraId="6D9C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60CA31DE">
            <w:pPr>
              <w:widowControl w:val="0"/>
              <w:jc w:val="both"/>
              <w:rPr>
                <w:rStyle w:val="48"/>
                <w:rFonts w:hint="eastAsia" w:asciiTheme="minorEastAsia" w:hAnsiTheme="minorEastAsia" w:eastAsiaTheme="minorEastAsia"/>
                <w:b w:val="0"/>
                <w:color w:val="000000" w:themeColor="text1"/>
                <w:szCs w:val="21"/>
                <w14:textFill>
                  <w14:solidFill>
                    <w14:schemeClr w14:val="tx1"/>
                  </w14:solidFill>
                </w14:textFill>
              </w:rPr>
            </w:pPr>
            <w:r>
              <w:rPr>
                <w:rFonts w:hint="eastAsia"/>
                <w:color w:val="000000"/>
              </w:rPr>
              <w:t>货币资金</w:t>
            </w:r>
          </w:p>
        </w:tc>
        <w:tc>
          <w:tcPr>
            <w:tcW w:w="871" w:type="pct"/>
            <w:vAlign w:val="center"/>
          </w:tcPr>
          <w:p w14:paraId="47E7EFFC">
            <w:pPr>
              <w:widowControl w:val="0"/>
              <w:jc w:val="right"/>
              <w:rPr>
                <w:rFonts w:eastAsiaTheme="minorEastAsia"/>
              </w:rPr>
            </w:pPr>
            <w:r>
              <w:rPr>
                <w:rFonts w:cs="Times New Roman"/>
                <w:color w:val="000000"/>
              </w:rPr>
              <w:t>564,381,814.46</w:t>
            </w:r>
          </w:p>
        </w:tc>
        <w:tc>
          <w:tcPr>
            <w:tcW w:w="598" w:type="pct"/>
            <w:vAlign w:val="center"/>
          </w:tcPr>
          <w:p w14:paraId="27EE6453">
            <w:pPr>
              <w:widowControl w:val="0"/>
              <w:jc w:val="right"/>
              <w:rPr>
                <w:rFonts w:eastAsiaTheme="minorEastAsia"/>
              </w:rPr>
            </w:pPr>
            <w:r>
              <w:rPr>
                <w:rFonts w:cs="Times New Roman"/>
                <w:color w:val="000000"/>
              </w:rPr>
              <w:t>8.3</w:t>
            </w:r>
            <w:r>
              <w:rPr>
                <w:rFonts w:hint="eastAsia" w:cs="Times New Roman"/>
                <w:color w:val="000000"/>
              </w:rPr>
              <w:t>0</w:t>
            </w:r>
          </w:p>
        </w:tc>
        <w:tc>
          <w:tcPr>
            <w:tcW w:w="871" w:type="pct"/>
            <w:vAlign w:val="center"/>
          </w:tcPr>
          <w:p w14:paraId="7F8B8C74">
            <w:pPr>
              <w:widowControl w:val="0"/>
              <w:jc w:val="right"/>
              <w:rPr>
                <w:rFonts w:eastAsiaTheme="minorEastAsia"/>
              </w:rPr>
            </w:pPr>
            <w:r>
              <w:rPr>
                <w:rFonts w:cs="Times New Roman"/>
                <w:color w:val="000000"/>
              </w:rPr>
              <w:t>439,939,019.02</w:t>
            </w:r>
          </w:p>
        </w:tc>
        <w:tc>
          <w:tcPr>
            <w:tcW w:w="576" w:type="pct"/>
            <w:vAlign w:val="center"/>
          </w:tcPr>
          <w:p w14:paraId="27984936">
            <w:pPr>
              <w:widowControl w:val="0"/>
              <w:jc w:val="right"/>
              <w:rPr>
                <w:rFonts w:eastAsiaTheme="minorEastAsia"/>
              </w:rPr>
            </w:pPr>
            <w:r>
              <w:rPr>
                <w:rFonts w:cs="Times New Roman"/>
                <w:color w:val="000000"/>
              </w:rPr>
              <w:t>6.59</w:t>
            </w:r>
          </w:p>
        </w:tc>
        <w:tc>
          <w:tcPr>
            <w:tcW w:w="555" w:type="pct"/>
            <w:vAlign w:val="center"/>
          </w:tcPr>
          <w:p w14:paraId="183D54E4">
            <w:pPr>
              <w:widowControl w:val="0"/>
              <w:jc w:val="right"/>
              <w:rPr>
                <w:rFonts w:eastAsiaTheme="minorEastAsia"/>
              </w:rPr>
            </w:pPr>
            <w:r>
              <w:rPr>
                <w:rFonts w:cs="Times New Roman"/>
                <w:color w:val="000000"/>
              </w:rPr>
              <w:t>28.29</w:t>
            </w:r>
          </w:p>
        </w:tc>
        <w:tc>
          <w:tcPr>
            <w:tcW w:w="425" w:type="pct"/>
            <w:vAlign w:val="center"/>
          </w:tcPr>
          <w:p w14:paraId="03EE721E">
            <w:pPr>
              <w:widowControl w:val="0"/>
              <w:jc w:val="both"/>
              <w:rPr>
                <w:rFonts w:hint="eastAsia" w:asciiTheme="minorEastAsia" w:hAnsiTheme="minorEastAsia" w:eastAsiaTheme="minorEastAsia"/>
              </w:rPr>
            </w:pPr>
            <w:r>
              <w:rPr>
                <w:rFonts w:hint="eastAsia"/>
                <w:color w:val="000000"/>
              </w:rPr>
              <w:t>　</w:t>
            </w:r>
          </w:p>
        </w:tc>
      </w:tr>
      <w:tr w14:paraId="0732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2CCE990C">
            <w:pPr>
              <w:widowControl w:val="0"/>
              <w:jc w:val="both"/>
              <w:rPr>
                <w:rStyle w:val="48"/>
                <w:rFonts w:hint="eastAsia" w:asciiTheme="minorEastAsia" w:hAnsiTheme="minorEastAsia" w:eastAsiaTheme="minorEastAsia"/>
                <w:b w:val="0"/>
                <w:color w:val="000000" w:themeColor="text1"/>
                <w:szCs w:val="21"/>
                <w14:textFill>
                  <w14:solidFill>
                    <w14:schemeClr w14:val="tx1"/>
                  </w14:solidFill>
                </w14:textFill>
              </w:rPr>
            </w:pPr>
            <w:r>
              <w:rPr>
                <w:rFonts w:hint="eastAsia"/>
                <w:color w:val="000000"/>
              </w:rPr>
              <w:t>应收票据</w:t>
            </w:r>
          </w:p>
        </w:tc>
        <w:tc>
          <w:tcPr>
            <w:tcW w:w="871" w:type="pct"/>
            <w:vAlign w:val="center"/>
          </w:tcPr>
          <w:p w14:paraId="0CD231E9">
            <w:pPr>
              <w:widowControl w:val="0"/>
              <w:jc w:val="right"/>
              <w:rPr>
                <w:rFonts w:eastAsiaTheme="minorEastAsia"/>
              </w:rPr>
            </w:pPr>
            <w:r>
              <w:rPr>
                <w:rFonts w:hint="eastAsia"/>
                <w:color w:val="000000"/>
              </w:rPr>
              <w:t>　</w:t>
            </w:r>
          </w:p>
        </w:tc>
        <w:tc>
          <w:tcPr>
            <w:tcW w:w="598" w:type="pct"/>
            <w:vAlign w:val="center"/>
          </w:tcPr>
          <w:p w14:paraId="76D1753C">
            <w:pPr>
              <w:widowControl w:val="0"/>
              <w:jc w:val="right"/>
              <w:rPr>
                <w:rFonts w:eastAsiaTheme="minorEastAsia"/>
              </w:rPr>
            </w:pPr>
          </w:p>
        </w:tc>
        <w:tc>
          <w:tcPr>
            <w:tcW w:w="871" w:type="pct"/>
            <w:vAlign w:val="center"/>
          </w:tcPr>
          <w:p w14:paraId="5C8B6479">
            <w:pPr>
              <w:widowControl w:val="0"/>
              <w:jc w:val="right"/>
              <w:rPr>
                <w:rFonts w:eastAsiaTheme="minorEastAsia"/>
              </w:rPr>
            </w:pPr>
            <w:r>
              <w:rPr>
                <w:rFonts w:hint="eastAsia" w:ascii="等线" w:hAnsi="等线" w:eastAsia="等线"/>
                <w:color w:val="000000"/>
              </w:rPr>
              <w:t>23,833.68</w:t>
            </w:r>
          </w:p>
        </w:tc>
        <w:tc>
          <w:tcPr>
            <w:tcW w:w="576" w:type="pct"/>
            <w:vAlign w:val="center"/>
          </w:tcPr>
          <w:p w14:paraId="6A9A6287">
            <w:pPr>
              <w:widowControl w:val="0"/>
              <w:jc w:val="right"/>
              <w:rPr>
                <w:rFonts w:eastAsiaTheme="minorEastAsia"/>
              </w:rPr>
            </w:pPr>
            <w:r>
              <w:rPr>
                <w:rFonts w:cs="Times New Roman"/>
                <w:color w:val="000000"/>
              </w:rPr>
              <w:t>0.0004</w:t>
            </w:r>
          </w:p>
        </w:tc>
        <w:tc>
          <w:tcPr>
            <w:tcW w:w="555" w:type="pct"/>
            <w:vAlign w:val="center"/>
          </w:tcPr>
          <w:p w14:paraId="3FC2B673">
            <w:pPr>
              <w:widowControl w:val="0"/>
              <w:jc w:val="right"/>
              <w:rPr>
                <w:rFonts w:eastAsiaTheme="minorEastAsia"/>
              </w:rPr>
            </w:pPr>
            <w:r>
              <w:rPr>
                <w:rFonts w:cs="Times New Roman"/>
                <w:color w:val="000000"/>
              </w:rPr>
              <w:t>-100.00</w:t>
            </w:r>
          </w:p>
        </w:tc>
        <w:tc>
          <w:tcPr>
            <w:tcW w:w="425" w:type="pct"/>
            <w:vAlign w:val="center"/>
          </w:tcPr>
          <w:p w14:paraId="2BDE38B7">
            <w:pPr>
              <w:widowControl w:val="0"/>
              <w:jc w:val="both"/>
              <w:rPr>
                <w:rFonts w:hint="eastAsia" w:asciiTheme="minorEastAsia" w:hAnsiTheme="minorEastAsia" w:eastAsiaTheme="minorEastAsia"/>
              </w:rPr>
            </w:pPr>
            <w:r>
              <w:rPr>
                <w:rFonts w:hint="eastAsia"/>
                <w:color w:val="000000"/>
              </w:rPr>
              <w:t>　</w:t>
            </w:r>
          </w:p>
        </w:tc>
      </w:tr>
      <w:tr w14:paraId="2AEF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36FCDA7F">
            <w:pPr>
              <w:widowControl w:val="0"/>
              <w:jc w:val="both"/>
              <w:rPr>
                <w:rStyle w:val="48"/>
                <w:rFonts w:hint="eastAsia" w:asciiTheme="minorEastAsia" w:hAnsiTheme="minorEastAsia" w:eastAsiaTheme="minorEastAsia"/>
                <w:b w:val="0"/>
                <w:color w:val="000000" w:themeColor="text1"/>
                <w:szCs w:val="21"/>
                <w14:textFill>
                  <w14:solidFill>
                    <w14:schemeClr w14:val="tx1"/>
                  </w14:solidFill>
                </w14:textFill>
              </w:rPr>
            </w:pPr>
            <w:r>
              <w:rPr>
                <w:rFonts w:hint="eastAsia"/>
                <w:color w:val="000000"/>
              </w:rPr>
              <w:t>应收利息</w:t>
            </w:r>
          </w:p>
        </w:tc>
        <w:tc>
          <w:tcPr>
            <w:tcW w:w="871" w:type="pct"/>
            <w:vAlign w:val="center"/>
          </w:tcPr>
          <w:p w14:paraId="1D56FB7A">
            <w:pPr>
              <w:widowControl w:val="0"/>
              <w:jc w:val="right"/>
              <w:rPr>
                <w:rFonts w:eastAsiaTheme="minorEastAsia"/>
              </w:rPr>
            </w:pPr>
            <w:r>
              <w:rPr>
                <w:rFonts w:hint="eastAsia"/>
                <w:color w:val="000000"/>
              </w:rPr>
              <w:t>　</w:t>
            </w:r>
          </w:p>
        </w:tc>
        <w:tc>
          <w:tcPr>
            <w:tcW w:w="598" w:type="pct"/>
            <w:vAlign w:val="center"/>
          </w:tcPr>
          <w:p w14:paraId="2CFA39C8">
            <w:pPr>
              <w:widowControl w:val="0"/>
              <w:jc w:val="right"/>
              <w:rPr>
                <w:rFonts w:eastAsiaTheme="minorEastAsia"/>
              </w:rPr>
            </w:pPr>
          </w:p>
        </w:tc>
        <w:tc>
          <w:tcPr>
            <w:tcW w:w="871" w:type="pct"/>
            <w:vAlign w:val="center"/>
          </w:tcPr>
          <w:p w14:paraId="16878BEB">
            <w:pPr>
              <w:widowControl w:val="0"/>
              <w:jc w:val="right"/>
              <w:rPr>
                <w:rFonts w:eastAsiaTheme="minorEastAsia"/>
              </w:rPr>
            </w:pPr>
            <w:r>
              <w:rPr>
                <w:rFonts w:hint="eastAsia" w:ascii="等线" w:hAnsi="等线" w:eastAsia="等线"/>
                <w:color w:val="000000"/>
              </w:rPr>
              <w:t>　</w:t>
            </w:r>
          </w:p>
        </w:tc>
        <w:tc>
          <w:tcPr>
            <w:tcW w:w="576" w:type="pct"/>
            <w:vAlign w:val="center"/>
          </w:tcPr>
          <w:p w14:paraId="690F7D2D">
            <w:pPr>
              <w:widowControl w:val="0"/>
              <w:jc w:val="right"/>
              <w:rPr>
                <w:rFonts w:eastAsiaTheme="minorEastAsia"/>
              </w:rPr>
            </w:pPr>
            <w:r>
              <w:rPr>
                <w:rFonts w:hint="eastAsia"/>
                <w:color w:val="000000"/>
              </w:rPr>
              <w:t>　</w:t>
            </w:r>
          </w:p>
        </w:tc>
        <w:tc>
          <w:tcPr>
            <w:tcW w:w="555" w:type="pct"/>
            <w:vAlign w:val="center"/>
          </w:tcPr>
          <w:p w14:paraId="12421A24">
            <w:pPr>
              <w:widowControl w:val="0"/>
              <w:jc w:val="right"/>
              <w:rPr>
                <w:rFonts w:eastAsiaTheme="minorEastAsia"/>
              </w:rPr>
            </w:pPr>
            <w:r>
              <w:rPr>
                <w:rFonts w:cs="Times New Roman"/>
                <w:color w:val="000000"/>
              </w:rPr>
              <w:t>　</w:t>
            </w:r>
          </w:p>
        </w:tc>
        <w:tc>
          <w:tcPr>
            <w:tcW w:w="425" w:type="pct"/>
            <w:vAlign w:val="center"/>
          </w:tcPr>
          <w:p w14:paraId="0CF1950C">
            <w:pPr>
              <w:widowControl w:val="0"/>
              <w:jc w:val="both"/>
              <w:rPr>
                <w:rFonts w:hint="eastAsia" w:asciiTheme="minorEastAsia" w:hAnsiTheme="minorEastAsia" w:eastAsiaTheme="minorEastAsia"/>
              </w:rPr>
            </w:pPr>
            <w:r>
              <w:rPr>
                <w:rFonts w:hint="eastAsia"/>
                <w:color w:val="000000"/>
              </w:rPr>
              <w:t>　</w:t>
            </w:r>
          </w:p>
        </w:tc>
      </w:tr>
      <w:tr w14:paraId="09C1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4739150F">
            <w:pPr>
              <w:widowControl w:val="0"/>
              <w:jc w:val="both"/>
              <w:rPr>
                <w:rStyle w:val="48"/>
                <w:rFonts w:hint="eastAsia" w:asciiTheme="minorEastAsia" w:hAnsiTheme="minorEastAsia" w:eastAsiaTheme="minorEastAsia"/>
                <w:b w:val="0"/>
                <w:color w:val="000000" w:themeColor="text1"/>
                <w:szCs w:val="21"/>
                <w14:textFill>
                  <w14:solidFill>
                    <w14:schemeClr w14:val="tx1"/>
                  </w14:solidFill>
                </w14:textFill>
              </w:rPr>
            </w:pPr>
            <w:r>
              <w:rPr>
                <w:rFonts w:hint="eastAsia"/>
                <w:color w:val="000000"/>
              </w:rPr>
              <w:t>应收账款</w:t>
            </w:r>
          </w:p>
        </w:tc>
        <w:tc>
          <w:tcPr>
            <w:tcW w:w="871" w:type="pct"/>
            <w:vAlign w:val="center"/>
          </w:tcPr>
          <w:p w14:paraId="73E9BCC2">
            <w:pPr>
              <w:widowControl w:val="0"/>
              <w:jc w:val="right"/>
              <w:rPr>
                <w:rFonts w:eastAsiaTheme="minorEastAsia"/>
              </w:rPr>
            </w:pPr>
            <w:r>
              <w:rPr>
                <w:rFonts w:cs="Times New Roman"/>
                <w:color w:val="000000"/>
              </w:rPr>
              <w:t>38,232,775.10</w:t>
            </w:r>
          </w:p>
        </w:tc>
        <w:tc>
          <w:tcPr>
            <w:tcW w:w="598" w:type="pct"/>
            <w:vAlign w:val="center"/>
          </w:tcPr>
          <w:p w14:paraId="68FB5649">
            <w:pPr>
              <w:widowControl w:val="0"/>
              <w:jc w:val="right"/>
              <w:rPr>
                <w:rFonts w:eastAsiaTheme="minorEastAsia"/>
              </w:rPr>
            </w:pPr>
            <w:r>
              <w:rPr>
                <w:rFonts w:cs="Times New Roman"/>
                <w:color w:val="000000"/>
              </w:rPr>
              <w:t>0.56</w:t>
            </w:r>
          </w:p>
        </w:tc>
        <w:tc>
          <w:tcPr>
            <w:tcW w:w="871" w:type="pct"/>
            <w:vAlign w:val="center"/>
          </w:tcPr>
          <w:p w14:paraId="0D2A1972">
            <w:pPr>
              <w:widowControl w:val="0"/>
              <w:jc w:val="right"/>
              <w:rPr>
                <w:rFonts w:eastAsiaTheme="minorEastAsia"/>
              </w:rPr>
            </w:pPr>
            <w:r>
              <w:rPr>
                <w:rFonts w:cs="Times New Roman"/>
                <w:color w:val="000000"/>
              </w:rPr>
              <w:t>32,482,966.41</w:t>
            </w:r>
          </w:p>
        </w:tc>
        <w:tc>
          <w:tcPr>
            <w:tcW w:w="576" w:type="pct"/>
            <w:vAlign w:val="center"/>
          </w:tcPr>
          <w:p w14:paraId="231EE59C">
            <w:pPr>
              <w:widowControl w:val="0"/>
              <w:jc w:val="right"/>
              <w:rPr>
                <w:rFonts w:eastAsiaTheme="minorEastAsia"/>
              </w:rPr>
            </w:pPr>
            <w:r>
              <w:rPr>
                <w:rFonts w:cs="Times New Roman"/>
                <w:color w:val="000000"/>
              </w:rPr>
              <w:t>0.49</w:t>
            </w:r>
          </w:p>
        </w:tc>
        <w:tc>
          <w:tcPr>
            <w:tcW w:w="555" w:type="pct"/>
            <w:vAlign w:val="center"/>
          </w:tcPr>
          <w:p w14:paraId="735B582D">
            <w:pPr>
              <w:widowControl w:val="0"/>
              <w:jc w:val="right"/>
              <w:rPr>
                <w:rFonts w:eastAsiaTheme="minorEastAsia"/>
              </w:rPr>
            </w:pPr>
            <w:r>
              <w:rPr>
                <w:rFonts w:cs="Times New Roman"/>
                <w:color w:val="000000"/>
              </w:rPr>
              <w:t>17.70</w:t>
            </w:r>
          </w:p>
        </w:tc>
        <w:tc>
          <w:tcPr>
            <w:tcW w:w="425" w:type="pct"/>
            <w:vAlign w:val="center"/>
          </w:tcPr>
          <w:p w14:paraId="1252B3A2">
            <w:pPr>
              <w:widowControl w:val="0"/>
              <w:jc w:val="both"/>
              <w:rPr>
                <w:rFonts w:hint="eastAsia" w:asciiTheme="minorEastAsia" w:hAnsiTheme="minorEastAsia" w:eastAsiaTheme="minorEastAsia"/>
              </w:rPr>
            </w:pPr>
            <w:r>
              <w:rPr>
                <w:rFonts w:hint="eastAsia"/>
                <w:color w:val="000000"/>
              </w:rPr>
              <w:t>　</w:t>
            </w:r>
          </w:p>
        </w:tc>
      </w:tr>
      <w:tr w14:paraId="23E4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7104D8D8">
            <w:pPr>
              <w:widowControl w:val="0"/>
              <w:jc w:val="both"/>
              <w:rPr>
                <w:rStyle w:val="48"/>
                <w:rFonts w:hint="eastAsia" w:asciiTheme="minorEastAsia" w:hAnsiTheme="minorEastAsia" w:eastAsiaTheme="minorEastAsia"/>
                <w:b w:val="0"/>
                <w:color w:val="000000" w:themeColor="text1"/>
                <w:szCs w:val="21"/>
                <w14:textFill>
                  <w14:solidFill>
                    <w14:schemeClr w14:val="tx1"/>
                  </w14:solidFill>
                </w14:textFill>
              </w:rPr>
            </w:pPr>
            <w:r>
              <w:rPr>
                <w:rFonts w:hint="eastAsia"/>
                <w:color w:val="000000"/>
              </w:rPr>
              <w:t>预付款项</w:t>
            </w:r>
          </w:p>
        </w:tc>
        <w:tc>
          <w:tcPr>
            <w:tcW w:w="871" w:type="pct"/>
            <w:vAlign w:val="center"/>
          </w:tcPr>
          <w:p w14:paraId="61FFBC72">
            <w:pPr>
              <w:widowControl w:val="0"/>
              <w:jc w:val="right"/>
              <w:rPr>
                <w:rFonts w:eastAsiaTheme="minorEastAsia"/>
              </w:rPr>
            </w:pPr>
            <w:r>
              <w:rPr>
                <w:rFonts w:cs="Times New Roman"/>
                <w:color w:val="000000"/>
              </w:rPr>
              <w:t>14,014,347.15</w:t>
            </w:r>
          </w:p>
        </w:tc>
        <w:tc>
          <w:tcPr>
            <w:tcW w:w="598" w:type="pct"/>
            <w:vAlign w:val="center"/>
          </w:tcPr>
          <w:p w14:paraId="2AED437F">
            <w:pPr>
              <w:widowControl w:val="0"/>
              <w:jc w:val="right"/>
              <w:rPr>
                <w:rFonts w:eastAsiaTheme="minorEastAsia"/>
              </w:rPr>
            </w:pPr>
            <w:r>
              <w:rPr>
                <w:rFonts w:cs="Times New Roman"/>
                <w:color w:val="000000"/>
              </w:rPr>
              <w:t>0.21</w:t>
            </w:r>
          </w:p>
        </w:tc>
        <w:tc>
          <w:tcPr>
            <w:tcW w:w="871" w:type="pct"/>
            <w:vAlign w:val="center"/>
          </w:tcPr>
          <w:p w14:paraId="6B43300F">
            <w:pPr>
              <w:widowControl w:val="0"/>
              <w:jc w:val="right"/>
              <w:rPr>
                <w:rFonts w:eastAsiaTheme="minorEastAsia"/>
              </w:rPr>
            </w:pPr>
            <w:r>
              <w:rPr>
                <w:rFonts w:cs="Times New Roman"/>
                <w:color w:val="000000"/>
              </w:rPr>
              <w:t>7,590,566.39</w:t>
            </w:r>
          </w:p>
        </w:tc>
        <w:tc>
          <w:tcPr>
            <w:tcW w:w="576" w:type="pct"/>
            <w:vAlign w:val="center"/>
          </w:tcPr>
          <w:p w14:paraId="0B978FE3">
            <w:pPr>
              <w:widowControl w:val="0"/>
              <w:jc w:val="right"/>
              <w:rPr>
                <w:rFonts w:eastAsiaTheme="minorEastAsia"/>
              </w:rPr>
            </w:pPr>
            <w:r>
              <w:rPr>
                <w:rFonts w:cs="Times New Roman"/>
                <w:color w:val="000000"/>
              </w:rPr>
              <w:t>0.11</w:t>
            </w:r>
          </w:p>
        </w:tc>
        <w:tc>
          <w:tcPr>
            <w:tcW w:w="555" w:type="pct"/>
            <w:vAlign w:val="center"/>
          </w:tcPr>
          <w:p w14:paraId="5077A240">
            <w:pPr>
              <w:widowControl w:val="0"/>
              <w:jc w:val="right"/>
              <w:rPr>
                <w:rFonts w:eastAsiaTheme="minorEastAsia"/>
              </w:rPr>
            </w:pPr>
            <w:r>
              <w:rPr>
                <w:rFonts w:cs="Times New Roman"/>
                <w:color w:val="000000"/>
              </w:rPr>
              <w:t>84.63</w:t>
            </w:r>
          </w:p>
        </w:tc>
        <w:tc>
          <w:tcPr>
            <w:tcW w:w="425" w:type="pct"/>
            <w:vAlign w:val="center"/>
          </w:tcPr>
          <w:p w14:paraId="1898403A">
            <w:pPr>
              <w:widowControl w:val="0"/>
              <w:jc w:val="both"/>
              <w:rPr>
                <w:rFonts w:hint="eastAsia" w:asciiTheme="minorEastAsia" w:hAnsiTheme="minorEastAsia" w:eastAsiaTheme="minorEastAsia"/>
              </w:rPr>
            </w:pPr>
            <w:r>
              <w:rPr>
                <w:rFonts w:hint="eastAsia"/>
                <w:color w:val="000000"/>
              </w:rPr>
              <w:t>　</w:t>
            </w:r>
          </w:p>
        </w:tc>
      </w:tr>
      <w:tr w14:paraId="77D1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181E82CA">
            <w:pPr>
              <w:widowControl w:val="0"/>
              <w:jc w:val="both"/>
              <w:rPr>
                <w:rStyle w:val="48"/>
                <w:rFonts w:hint="eastAsia" w:asciiTheme="minorEastAsia" w:hAnsiTheme="minorEastAsia" w:eastAsiaTheme="minorEastAsia"/>
                <w:b w:val="0"/>
                <w:color w:val="000000" w:themeColor="text1"/>
                <w:szCs w:val="21"/>
                <w14:textFill>
                  <w14:solidFill>
                    <w14:schemeClr w14:val="tx1"/>
                  </w14:solidFill>
                </w14:textFill>
              </w:rPr>
            </w:pPr>
            <w:r>
              <w:rPr>
                <w:rFonts w:hint="eastAsia"/>
                <w:color w:val="000000"/>
              </w:rPr>
              <w:t>其他应收款</w:t>
            </w:r>
          </w:p>
        </w:tc>
        <w:tc>
          <w:tcPr>
            <w:tcW w:w="871" w:type="pct"/>
            <w:vAlign w:val="center"/>
          </w:tcPr>
          <w:p w14:paraId="658C3DA5">
            <w:pPr>
              <w:widowControl w:val="0"/>
              <w:jc w:val="right"/>
              <w:rPr>
                <w:rFonts w:eastAsiaTheme="minorEastAsia"/>
              </w:rPr>
            </w:pPr>
            <w:r>
              <w:rPr>
                <w:rFonts w:cs="Times New Roman"/>
                <w:color w:val="000000"/>
              </w:rPr>
              <w:t>19,338,177.28</w:t>
            </w:r>
          </w:p>
        </w:tc>
        <w:tc>
          <w:tcPr>
            <w:tcW w:w="598" w:type="pct"/>
            <w:vAlign w:val="center"/>
          </w:tcPr>
          <w:p w14:paraId="5025E0F8">
            <w:pPr>
              <w:widowControl w:val="0"/>
              <w:jc w:val="right"/>
              <w:rPr>
                <w:rFonts w:eastAsiaTheme="minorEastAsia"/>
              </w:rPr>
            </w:pPr>
            <w:r>
              <w:rPr>
                <w:rFonts w:cs="Times New Roman"/>
                <w:color w:val="000000"/>
              </w:rPr>
              <w:t>0.28</w:t>
            </w:r>
          </w:p>
        </w:tc>
        <w:tc>
          <w:tcPr>
            <w:tcW w:w="871" w:type="pct"/>
            <w:vAlign w:val="center"/>
          </w:tcPr>
          <w:p w14:paraId="583477DD">
            <w:pPr>
              <w:widowControl w:val="0"/>
              <w:jc w:val="right"/>
              <w:rPr>
                <w:rFonts w:eastAsiaTheme="minorEastAsia"/>
              </w:rPr>
            </w:pPr>
            <w:r>
              <w:rPr>
                <w:rFonts w:cs="Times New Roman"/>
                <w:color w:val="000000"/>
              </w:rPr>
              <w:t>8,159,517.49</w:t>
            </w:r>
          </w:p>
        </w:tc>
        <w:tc>
          <w:tcPr>
            <w:tcW w:w="576" w:type="pct"/>
            <w:vAlign w:val="center"/>
          </w:tcPr>
          <w:p w14:paraId="6FE73718">
            <w:pPr>
              <w:widowControl w:val="0"/>
              <w:jc w:val="right"/>
              <w:rPr>
                <w:rFonts w:eastAsiaTheme="minorEastAsia"/>
              </w:rPr>
            </w:pPr>
            <w:r>
              <w:rPr>
                <w:rFonts w:cs="Times New Roman"/>
                <w:color w:val="000000"/>
              </w:rPr>
              <w:t>0.12</w:t>
            </w:r>
          </w:p>
        </w:tc>
        <w:tc>
          <w:tcPr>
            <w:tcW w:w="555" w:type="pct"/>
            <w:vAlign w:val="center"/>
          </w:tcPr>
          <w:p w14:paraId="14397D72">
            <w:pPr>
              <w:widowControl w:val="0"/>
              <w:jc w:val="right"/>
              <w:rPr>
                <w:rFonts w:eastAsiaTheme="minorEastAsia"/>
              </w:rPr>
            </w:pPr>
            <w:r>
              <w:rPr>
                <w:rFonts w:cs="Times New Roman"/>
                <w:color w:val="000000"/>
              </w:rPr>
              <w:t>137.00</w:t>
            </w:r>
          </w:p>
        </w:tc>
        <w:tc>
          <w:tcPr>
            <w:tcW w:w="425" w:type="pct"/>
            <w:vAlign w:val="center"/>
          </w:tcPr>
          <w:p w14:paraId="7C8E3D47">
            <w:pPr>
              <w:widowControl w:val="0"/>
              <w:jc w:val="both"/>
              <w:rPr>
                <w:rFonts w:hint="eastAsia" w:asciiTheme="minorEastAsia" w:hAnsiTheme="minorEastAsia" w:eastAsiaTheme="minorEastAsia"/>
              </w:rPr>
            </w:pPr>
            <w:r>
              <w:rPr>
                <w:rFonts w:hint="eastAsia"/>
                <w:color w:val="000000"/>
              </w:rPr>
              <w:t>　</w:t>
            </w:r>
          </w:p>
        </w:tc>
      </w:tr>
      <w:tr w14:paraId="1CAD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4339EC6C">
            <w:pPr>
              <w:widowControl w:val="0"/>
              <w:jc w:val="both"/>
              <w:rPr>
                <w:rStyle w:val="48"/>
                <w:rFonts w:hint="eastAsia" w:asciiTheme="minorEastAsia" w:hAnsiTheme="minorEastAsia" w:eastAsiaTheme="minorEastAsia"/>
                <w:b w:val="0"/>
                <w:color w:val="000000" w:themeColor="text1"/>
                <w:szCs w:val="21"/>
                <w14:textFill>
                  <w14:solidFill>
                    <w14:schemeClr w14:val="tx1"/>
                  </w14:solidFill>
                </w14:textFill>
              </w:rPr>
            </w:pPr>
            <w:r>
              <w:rPr>
                <w:rFonts w:hint="eastAsia"/>
                <w:color w:val="000000"/>
              </w:rPr>
              <w:t>存货</w:t>
            </w:r>
          </w:p>
        </w:tc>
        <w:tc>
          <w:tcPr>
            <w:tcW w:w="871" w:type="pct"/>
            <w:vAlign w:val="center"/>
          </w:tcPr>
          <w:p w14:paraId="202FB3B1">
            <w:pPr>
              <w:widowControl w:val="0"/>
              <w:jc w:val="right"/>
              <w:rPr>
                <w:rFonts w:eastAsiaTheme="minorEastAsia"/>
              </w:rPr>
            </w:pPr>
            <w:r>
              <w:rPr>
                <w:rFonts w:cs="Times New Roman"/>
                <w:color w:val="000000"/>
              </w:rPr>
              <w:t>708,651,327.72</w:t>
            </w:r>
          </w:p>
        </w:tc>
        <w:tc>
          <w:tcPr>
            <w:tcW w:w="598" w:type="pct"/>
            <w:vAlign w:val="center"/>
          </w:tcPr>
          <w:p w14:paraId="610D5993">
            <w:pPr>
              <w:widowControl w:val="0"/>
              <w:jc w:val="right"/>
              <w:rPr>
                <w:rFonts w:eastAsiaTheme="minorEastAsia"/>
              </w:rPr>
            </w:pPr>
            <w:r>
              <w:rPr>
                <w:rFonts w:cs="Times New Roman"/>
                <w:color w:val="000000"/>
              </w:rPr>
              <w:t>10.4</w:t>
            </w:r>
            <w:r>
              <w:rPr>
                <w:rFonts w:hint="eastAsia" w:cs="Times New Roman"/>
                <w:color w:val="000000"/>
              </w:rPr>
              <w:t>3</w:t>
            </w:r>
          </w:p>
        </w:tc>
        <w:tc>
          <w:tcPr>
            <w:tcW w:w="871" w:type="pct"/>
            <w:vAlign w:val="center"/>
          </w:tcPr>
          <w:p w14:paraId="58325928">
            <w:pPr>
              <w:widowControl w:val="0"/>
              <w:jc w:val="right"/>
              <w:rPr>
                <w:rFonts w:eastAsiaTheme="minorEastAsia"/>
              </w:rPr>
            </w:pPr>
            <w:r>
              <w:rPr>
                <w:rFonts w:cs="Times New Roman"/>
                <w:color w:val="000000"/>
              </w:rPr>
              <w:t>785,169,505.67</w:t>
            </w:r>
          </w:p>
        </w:tc>
        <w:tc>
          <w:tcPr>
            <w:tcW w:w="576" w:type="pct"/>
            <w:vAlign w:val="center"/>
          </w:tcPr>
          <w:p w14:paraId="1E933DEF">
            <w:pPr>
              <w:widowControl w:val="0"/>
              <w:jc w:val="right"/>
              <w:rPr>
                <w:rFonts w:eastAsiaTheme="minorEastAsia"/>
              </w:rPr>
            </w:pPr>
            <w:r>
              <w:rPr>
                <w:rFonts w:cs="Times New Roman"/>
                <w:color w:val="000000"/>
              </w:rPr>
              <w:t>11.77</w:t>
            </w:r>
          </w:p>
        </w:tc>
        <w:tc>
          <w:tcPr>
            <w:tcW w:w="555" w:type="pct"/>
            <w:vAlign w:val="center"/>
          </w:tcPr>
          <w:p w14:paraId="11BBAA9B">
            <w:pPr>
              <w:widowControl w:val="0"/>
              <w:jc w:val="right"/>
              <w:rPr>
                <w:rFonts w:eastAsiaTheme="minorEastAsia"/>
              </w:rPr>
            </w:pPr>
            <w:r>
              <w:rPr>
                <w:rFonts w:cs="Times New Roman"/>
                <w:color w:val="000000"/>
              </w:rPr>
              <w:t>-9.</w:t>
            </w:r>
            <w:r>
              <w:rPr>
                <w:rFonts w:hint="eastAsia" w:cs="Times New Roman"/>
                <w:color w:val="000000"/>
              </w:rPr>
              <w:t>75</w:t>
            </w:r>
          </w:p>
        </w:tc>
        <w:tc>
          <w:tcPr>
            <w:tcW w:w="425" w:type="pct"/>
            <w:vAlign w:val="center"/>
          </w:tcPr>
          <w:p w14:paraId="678CB94C">
            <w:pPr>
              <w:widowControl w:val="0"/>
              <w:jc w:val="both"/>
              <w:rPr>
                <w:rFonts w:hint="eastAsia" w:asciiTheme="minorEastAsia" w:hAnsiTheme="minorEastAsia" w:eastAsiaTheme="minorEastAsia"/>
              </w:rPr>
            </w:pPr>
            <w:r>
              <w:rPr>
                <w:rFonts w:hint="eastAsia"/>
                <w:color w:val="000000"/>
              </w:rPr>
              <w:t>　</w:t>
            </w:r>
          </w:p>
        </w:tc>
      </w:tr>
      <w:tr w14:paraId="359C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49F77ECE">
            <w:pPr>
              <w:widowControl w:val="0"/>
              <w:jc w:val="both"/>
              <w:rPr>
                <w:rStyle w:val="48"/>
                <w:rFonts w:hint="eastAsia" w:asciiTheme="minorEastAsia" w:hAnsiTheme="minorEastAsia" w:eastAsiaTheme="minorEastAsia"/>
                <w:b w:val="0"/>
                <w:color w:val="000000" w:themeColor="text1"/>
                <w:szCs w:val="21"/>
                <w14:textFill>
                  <w14:solidFill>
                    <w14:schemeClr w14:val="tx1"/>
                  </w14:solidFill>
                </w14:textFill>
              </w:rPr>
            </w:pPr>
            <w:r>
              <w:rPr>
                <w:rFonts w:hint="eastAsia"/>
                <w:color w:val="000000"/>
              </w:rPr>
              <w:t>一年内到期的非流动资产</w:t>
            </w:r>
          </w:p>
        </w:tc>
        <w:tc>
          <w:tcPr>
            <w:tcW w:w="871" w:type="pct"/>
            <w:vAlign w:val="center"/>
          </w:tcPr>
          <w:p w14:paraId="36C87C47">
            <w:pPr>
              <w:widowControl w:val="0"/>
              <w:jc w:val="right"/>
              <w:rPr>
                <w:rFonts w:eastAsiaTheme="minorEastAsia"/>
              </w:rPr>
            </w:pPr>
            <w:r>
              <w:rPr>
                <w:rFonts w:cs="Times New Roman"/>
                <w:color w:val="000000"/>
              </w:rPr>
              <w:t>83,707,335.27</w:t>
            </w:r>
          </w:p>
        </w:tc>
        <w:tc>
          <w:tcPr>
            <w:tcW w:w="598" w:type="pct"/>
            <w:vAlign w:val="center"/>
          </w:tcPr>
          <w:p w14:paraId="445488A8">
            <w:pPr>
              <w:widowControl w:val="0"/>
              <w:jc w:val="right"/>
              <w:rPr>
                <w:rFonts w:eastAsiaTheme="minorEastAsia"/>
              </w:rPr>
            </w:pPr>
            <w:r>
              <w:rPr>
                <w:rFonts w:cs="Times New Roman"/>
                <w:color w:val="000000"/>
              </w:rPr>
              <w:t>1.23</w:t>
            </w:r>
          </w:p>
        </w:tc>
        <w:tc>
          <w:tcPr>
            <w:tcW w:w="871" w:type="pct"/>
            <w:vAlign w:val="center"/>
          </w:tcPr>
          <w:p w14:paraId="7A0B7F34">
            <w:pPr>
              <w:widowControl w:val="0"/>
              <w:jc w:val="right"/>
              <w:rPr>
                <w:rFonts w:eastAsiaTheme="minorEastAsia"/>
              </w:rPr>
            </w:pPr>
            <w:r>
              <w:rPr>
                <w:rFonts w:cs="Times New Roman"/>
                <w:color w:val="000000"/>
              </w:rPr>
              <w:t>49,492,840.50</w:t>
            </w:r>
          </w:p>
        </w:tc>
        <w:tc>
          <w:tcPr>
            <w:tcW w:w="576" w:type="pct"/>
            <w:vAlign w:val="center"/>
          </w:tcPr>
          <w:p w14:paraId="261BD67E">
            <w:pPr>
              <w:widowControl w:val="0"/>
              <w:jc w:val="right"/>
              <w:rPr>
                <w:rFonts w:eastAsiaTheme="minorEastAsia"/>
              </w:rPr>
            </w:pPr>
            <w:r>
              <w:rPr>
                <w:rFonts w:cs="Times New Roman"/>
                <w:color w:val="000000"/>
              </w:rPr>
              <w:t>0.74</w:t>
            </w:r>
          </w:p>
        </w:tc>
        <w:tc>
          <w:tcPr>
            <w:tcW w:w="555" w:type="pct"/>
            <w:vAlign w:val="center"/>
          </w:tcPr>
          <w:p w14:paraId="15006922">
            <w:pPr>
              <w:widowControl w:val="0"/>
              <w:jc w:val="right"/>
              <w:rPr>
                <w:rFonts w:eastAsiaTheme="minorEastAsia"/>
              </w:rPr>
            </w:pPr>
            <w:r>
              <w:rPr>
                <w:rFonts w:cs="Times New Roman"/>
                <w:color w:val="000000"/>
              </w:rPr>
              <w:t>69.13</w:t>
            </w:r>
          </w:p>
        </w:tc>
        <w:tc>
          <w:tcPr>
            <w:tcW w:w="425" w:type="pct"/>
            <w:vAlign w:val="center"/>
          </w:tcPr>
          <w:p w14:paraId="4BCDEA29">
            <w:pPr>
              <w:widowControl w:val="0"/>
              <w:jc w:val="both"/>
              <w:rPr>
                <w:rFonts w:hint="eastAsia" w:asciiTheme="minorEastAsia" w:hAnsiTheme="minorEastAsia" w:eastAsiaTheme="minorEastAsia"/>
              </w:rPr>
            </w:pPr>
            <w:r>
              <w:rPr>
                <w:rFonts w:hint="eastAsia"/>
                <w:color w:val="000000"/>
              </w:rPr>
              <w:t>　</w:t>
            </w:r>
          </w:p>
        </w:tc>
      </w:tr>
      <w:tr w14:paraId="3DEA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6104570E">
            <w:pPr>
              <w:widowControl w:val="0"/>
              <w:jc w:val="both"/>
              <w:rPr>
                <w:rStyle w:val="48"/>
                <w:rFonts w:hint="eastAsia" w:asciiTheme="minorEastAsia" w:hAnsiTheme="minorEastAsia" w:eastAsiaTheme="minorEastAsia"/>
                <w:b w:val="0"/>
                <w:color w:val="000000" w:themeColor="text1"/>
                <w:szCs w:val="21"/>
                <w14:textFill>
                  <w14:solidFill>
                    <w14:schemeClr w14:val="tx1"/>
                  </w14:solidFill>
                </w14:textFill>
              </w:rPr>
            </w:pPr>
            <w:r>
              <w:rPr>
                <w:rFonts w:hint="eastAsia"/>
                <w:color w:val="000000"/>
              </w:rPr>
              <w:t>其他流动资产</w:t>
            </w:r>
          </w:p>
        </w:tc>
        <w:tc>
          <w:tcPr>
            <w:tcW w:w="871" w:type="pct"/>
            <w:vAlign w:val="center"/>
          </w:tcPr>
          <w:p w14:paraId="7E8CADB1">
            <w:pPr>
              <w:widowControl w:val="0"/>
              <w:jc w:val="right"/>
              <w:rPr>
                <w:rFonts w:eastAsiaTheme="minorEastAsia"/>
              </w:rPr>
            </w:pPr>
            <w:r>
              <w:rPr>
                <w:rFonts w:cs="Times New Roman"/>
                <w:color w:val="000000"/>
              </w:rPr>
              <w:t>14,998,718.39</w:t>
            </w:r>
          </w:p>
        </w:tc>
        <w:tc>
          <w:tcPr>
            <w:tcW w:w="598" w:type="pct"/>
            <w:vAlign w:val="center"/>
          </w:tcPr>
          <w:p w14:paraId="75F057EF">
            <w:pPr>
              <w:widowControl w:val="0"/>
              <w:jc w:val="right"/>
              <w:rPr>
                <w:rFonts w:eastAsiaTheme="minorEastAsia"/>
              </w:rPr>
            </w:pPr>
            <w:r>
              <w:rPr>
                <w:rFonts w:cs="Times New Roman"/>
                <w:color w:val="000000"/>
              </w:rPr>
              <w:t>0.22</w:t>
            </w:r>
          </w:p>
        </w:tc>
        <w:tc>
          <w:tcPr>
            <w:tcW w:w="871" w:type="pct"/>
            <w:vAlign w:val="center"/>
          </w:tcPr>
          <w:p w14:paraId="206A56C0">
            <w:pPr>
              <w:widowControl w:val="0"/>
              <w:jc w:val="right"/>
              <w:rPr>
                <w:rFonts w:eastAsiaTheme="minorEastAsia"/>
              </w:rPr>
            </w:pPr>
            <w:r>
              <w:rPr>
                <w:rFonts w:cs="Times New Roman"/>
                <w:color w:val="000000"/>
              </w:rPr>
              <w:t>28,090,253.52</w:t>
            </w:r>
          </w:p>
        </w:tc>
        <w:tc>
          <w:tcPr>
            <w:tcW w:w="576" w:type="pct"/>
            <w:vAlign w:val="center"/>
          </w:tcPr>
          <w:p w14:paraId="2A8EBF05">
            <w:pPr>
              <w:widowControl w:val="0"/>
              <w:jc w:val="right"/>
              <w:rPr>
                <w:rFonts w:eastAsiaTheme="minorEastAsia"/>
              </w:rPr>
            </w:pPr>
            <w:r>
              <w:rPr>
                <w:rFonts w:cs="Times New Roman"/>
                <w:color w:val="000000"/>
              </w:rPr>
              <w:t>0.42</w:t>
            </w:r>
          </w:p>
        </w:tc>
        <w:tc>
          <w:tcPr>
            <w:tcW w:w="555" w:type="pct"/>
            <w:vAlign w:val="center"/>
          </w:tcPr>
          <w:p w14:paraId="4142F04B">
            <w:pPr>
              <w:widowControl w:val="0"/>
              <w:jc w:val="right"/>
              <w:rPr>
                <w:rFonts w:eastAsiaTheme="minorEastAsia"/>
              </w:rPr>
            </w:pPr>
            <w:r>
              <w:rPr>
                <w:rFonts w:cs="Times New Roman"/>
                <w:color w:val="000000"/>
              </w:rPr>
              <w:t>-46.61</w:t>
            </w:r>
          </w:p>
        </w:tc>
        <w:tc>
          <w:tcPr>
            <w:tcW w:w="425" w:type="pct"/>
            <w:vAlign w:val="center"/>
          </w:tcPr>
          <w:p w14:paraId="4009400B">
            <w:pPr>
              <w:widowControl w:val="0"/>
              <w:jc w:val="both"/>
              <w:rPr>
                <w:rFonts w:hint="eastAsia" w:asciiTheme="minorEastAsia" w:hAnsiTheme="minorEastAsia" w:eastAsiaTheme="minorEastAsia"/>
              </w:rPr>
            </w:pPr>
            <w:r>
              <w:rPr>
                <w:rFonts w:hint="eastAsia"/>
                <w:color w:val="000000"/>
              </w:rPr>
              <w:t>　</w:t>
            </w:r>
          </w:p>
        </w:tc>
      </w:tr>
      <w:tr w14:paraId="1F64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7027B96C">
            <w:pPr>
              <w:widowControl w:val="0"/>
              <w:jc w:val="both"/>
              <w:rPr>
                <w:rStyle w:val="48"/>
                <w:rFonts w:hint="eastAsia" w:asciiTheme="minorEastAsia" w:hAnsiTheme="minorEastAsia" w:eastAsiaTheme="minorEastAsia"/>
                <w:b w:val="0"/>
                <w:color w:val="000000" w:themeColor="text1"/>
                <w:szCs w:val="21"/>
                <w14:textFill>
                  <w14:solidFill>
                    <w14:schemeClr w14:val="tx1"/>
                  </w14:solidFill>
                </w14:textFill>
              </w:rPr>
            </w:pPr>
            <w:r>
              <w:rPr>
                <w:rFonts w:hint="eastAsia"/>
                <w:color w:val="000000"/>
              </w:rPr>
              <w:t>长期应收款</w:t>
            </w:r>
          </w:p>
        </w:tc>
        <w:tc>
          <w:tcPr>
            <w:tcW w:w="871" w:type="pct"/>
            <w:vAlign w:val="center"/>
          </w:tcPr>
          <w:p w14:paraId="3F015BF8">
            <w:pPr>
              <w:widowControl w:val="0"/>
              <w:jc w:val="right"/>
              <w:rPr>
                <w:rFonts w:eastAsiaTheme="minorEastAsia"/>
              </w:rPr>
            </w:pPr>
            <w:r>
              <w:rPr>
                <w:rFonts w:cs="Times New Roman"/>
                <w:color w:val="000000"/>
              </w:rPr>
              <w:t>4,600,000.00</w:t>
            </w:r>
          </w:p>
        </w:tc>
        <w:tc>
          <w:tcPr>
            <w:tcW w:w="598" w:type="pct"/>
            <w:vAlign w:val="center"/>
          </w:tcPr>
          <w:p w14:paraId="32321D20">
            <w:pPr>
              <w:widowControl w:val="0"/>
              <w:jc w:val="right"/>
              <w:rPr>
                <w:rFonts w:eastAsiaTheme="minorEastAsia"/>
              </w:rPr>
            </w:pPr>
            <w:r>
              <w:rPr>
                <w:rFonts w:cs="Times New Roman"/>
                <w:color w:val="000000"/>
              </w:rPr>
              <w:t>0.07</w:t>
            </w:r>
          </w:p>
        </w:tc>
        <w:tc>
          <w:tcPr>
            <w:tcW w:w="871" w:type="pct"/>
            <w:vAlign w:val="center"/>
          </w:tcPr>
          <w:p w14:paraId="47941AE8">
            <w:pPr>
              <w:widowControl w:val="0"/>
              <w:jc w:val="right"/>
              <w:rPr>
                <w:rFonts w:eastAsiaTheme="minorEastAsia"/>
              </w:rPr>
            </w:pPr>
            <w:r>
              <w:rPr>
                <w:rFonts w:cs="Times New Roman"/>
                <w:color w:val="000000"/>
              </w:rPr>
              <w:t>3,100,000.00</w:t>
            </w:r>
          </w:p>
        </w:tc>
        <w:tc>
          <w:tcPr>
            <w:tcW w:w="576" w:type="pct"/>
            <w:vAlign w:val="center"/>
          </w:tcPr>
          <w:p w14:paraId="17D91EA9">
            <w:pPr>
              <w:widowControl w:val="0"/>
              <w:jc w:val="right"/>
              <w:rPr>
                <w:rFonts w:eastAsiaTheme="minorEastAsia"/>
              </w:rPr>
            </w:pPr>
            <w:r>
              <w:rPr>
                <w:rFonts w:cs="Times New Roman"/>
                <w:color w:val="000000"/>
              </w:rPr>
              <w:t>0.05</w:t>
            </w:r>
          </w:p>
        </w:tc>
        <w:tc>
          <w:tcPr>
            <w:tcW w:w="555" w:type="pct"/>
            <w:vAlign w:val="center"/>
          </w:tcPr>
          <w:p w14:paraId="7F79EDD7">
            <w:pPr>
              <w:widowControl w:val="0"/>
              <w:jc w:val="right"/>
              <w:rPr>
                <w:rFonts w:eastAsiaTheme="minorEastAsia"/>
              </w:rPr>
            </w:pPr>
            <w:r>
              <w:rPr>
                <w:rFonts w:cs="Times New Roman"/>
                <w:color w:val="000000"/>
              </w:rPr>
              <w:t>48.39</w:t>
            </w:r>
          </w:p>
        </w:tc>
        <w:tc>
          <w:tcPr>
            <w:tcW w:w="425" w:type="pct"/>
            <w:vAlign w:val="center"/>
          </w:tcPr>
          <w:p w14:paraId="03A65702">
            <w:pPr>
              <w:widowControl w:val="0"/>
              <w:jc w:val="both"/>
              <w:rPr>
                <w:rFonts w:hint="eastAsia" w:asciiTheme="minorEastAsia" w:hAnsiTheme="minorEastAsia" w:eastAsiaTheme="minorEastAsia"/>
              </w:rPr>
            </w:pPr>
            <w:r>
              <w:rPr>
                <w:rFonts w:hint="eastAsia"/>
                <w:color w:val="000000"/>
              </w:rPr>
              <w:t>　</w:t>
            </w:r>
          </w:p>
        </w:tc>
      </w:tr>
      <w:tr w14:paraId="53E4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6F4D0676">
            <w:pPr>
              <w:widowControl w:val="0"/>
              <w:jc w:val="both"/>
              <w:rPr>
                <w:rStyle w:val="48"/>
                <w:rFonts w:hint="eastAsia" w:asciiTheme="minorEastAsia" w:hAnsiTheme="minorEastAsia" w:eastAsiaTheme="minorEastAsia"/>
                <w:b w:val="0"/>
                <w:color w:val="000000" w:themeColor="text1"/>
                <w:szCs w:val="21"/>
                <w14:textFill>
                  <w14:solidFill>
                    <w14:schemeClr w14:val="tx1"/>
                  </w14:solidFill>
                </w14:textFill>
              </w:rPr>
            </w:pPr>
            <w:r>
              <w:rPr>
                <w:rFonts w:hint="eastAsia"/>
                <w:color w:val="000000"/>
              </w:rPr>
              <w:t>长期股权投资</w:t>
            </w:r>
          </w:p>
        </w:tc>
        <w:tc>
          <w:tcPr>
            <w:tcW w:w="871" w:type="pct"/>
            <w:vAlign w:val="center"/>
          </w:tcPr>
          <w:p w14:paraId="78FDC371">
            <w:pPr>
              <w:widowControl w:val="0"/>
              <w:jc w:val="right"/>
              <w:rPr>
                <w:rFonts w:eastAsiaTheme="minorEastAsia"/>
              </w:rPr>
            </w:pPr>
            <w:r>
              <w:rPr>
                <w:rFonts w:hint="eastAsia"/>
                <w:color w:val="000000"/>
              </w:rPr>
              <w:t>　</w:t>
            </w:r>
          </w:p>
        </w:tc>
        <w:tc>
          <w:tcPr>
            <w:tcW w:w="598" w:type="pct"/>
            <w:vAlign w:val="center"/>
          </w:tcPr>
          <w:p w14:paraId="3A3FB984">
            <w:pPr>
              <w:widowControl w:val="0"/>
              <w:jc w:val="right"/>
              <w:rPr>
                <w:rFonts w:eastAsiaTheme="minorEastAsia"/>
              </w:rPr>
            </w:pPr>
          </w:p>
        </w:tc>
        <w:tc>
          <w:tcPr>
            <w:tcW w:w="871" w:type="pct"/>
            <w:vAlign w:val="center"/>
          </w:tcPr>
          <w:p w14:paraId="39BCD359">
            <w:pPr>
              <w:widowControl w:val="0"/>
              <w:jc w:val="right"/>
              <w:rPr>
                <w:rFonts w:eastAsiaTheme="minorEastAsia"/>
              </w:rPr>
            </w:pPr>
            <w:r>
              <w:rPr>
                <w:rFonts w:cs="Times New Roman"/>
                <w:color w:val="000000"/>
              </w:rPr>
              <w:t>　</w:t>
            </w:r>
          </w:p>
        </w:tc>
        <w:tc>
          <w:tcPr>
            <w:tcW w:w="576" w:type="pct"/>
            <w:vAlign w:val="center"/>
          </w:tcPr>
          <w:p w14:paraId="1C04C15F">
            <w:pPr>
              <w:widowControl w:val="0"/>
              <w:jc w:val="right"/>
              <w:rPr>
                <w:rFonts w:eastAsiaTheme="minorEastAsia"/>
              </w:rPr>
            </w:pPr>
            <w:r>
              <w:rPr>
                <w:rFonts w:cs="Times New Roman"/>
                <w:color w:val="000000"/>
              </w:rPr>
              <w:t>　</w:t>
            </w:r>
          </w:p>
        </w:tc>
        <w:tc>
          <w:tcPr>
            <w:tcW w:w="555" w:type="pct"/>
            <w:vAlign w:val="center"/>
          </w:tcPr>
          <w:p w14:paraId="7D7B0A49">
            <w:pPr>
              <w:widowControl w:val="0"/>
              <w:jc w:val="right"/>
              <w:rPr>
                <w:rFonts w:eastAsiaTheme="minorEastAsia"/>
              </w:rPr>
            </w:pPr>
            <w:r>
              <w:rPr>
                <w:rFonts w:cs="Times New Roman"/>
                <w:color w:val="000000"/>
              </w:rPr>
              <w:t>　</w:t>
            </w:r>
          </w:p>
        </w:tc>
        <w:tc>
          <w:tcPr>
            <w:tcW w:w="425" w:type="pct"/>
            <w:vAlign w:val="center"/>
          </w:tcPr>
          <w:p w14:paraId="74469C3C">
            <w:pPr>
              <w:widowControl w:val="0"/>
              <w:jc w:val="both"/>
              <w:rPr>
                <w:rFonts w:hint="eastAsia" w:asciiTheme="minorEastAsia" w:hAnsiTheme="minorEastAsia" w:eastAsiaTheme="minorEastAsia"/>
              </w:rPr>
            </w:pPr>
            <w:r>
              <w:rPr>
                <w:rFonts w:hint="eastAsia"/>
                <w:color w:val="000000"/>
              </w:rPr>
              <w:t>　</w:t>
            </w:r>
          </w:p>
        </w:tc>
      </w:tr>
      <w:tr w14:paraId="2B38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058B9D10">
            <w:pPr>
              <w:widowControl w:val="0"/>
              <w:jc w:val="both"/>
              <w:rPr>
                <w:rStyle w:val="48"/>
                <w:rFonts w:hint="eastAsia" w:asciiTheme="minorEastAsia" w:hAnsiTheme="minorEastAsia" w:eastAsiaTheme="minorEastAsia"/>
                <w:b w:val="0"/>
                <w:color w:val="000000" w:themeColor="text1"/>
                <w:szCs w:val="21"/>
                <w14:textFill>
                  <w14:solidFill>
                    <w14:schemeClr w14:val="tx1"/>
                  </w14:solidFill>
                </w14:textFill>
              </w:rPr>
            </w:pPr>
            <w:r>
              <w:rPr>
                <w:rFonts w:hint="eastAsia"/>
                <w:color w:val="000000"/>
              </w:rPr>
              <w:t>其他权益工具投资</w:t>
            </w:r>
          </w:p>
        </w:tc>
        <w:tc>
          <w:tcPr>
            <w:tcW w:w="871" w:type="pct"/>
            <w:vAlign w:val="center"/>
          </w:tcPr>
          <w:p w14:paraId="58151E9E">
            <w:pPr>
              <w:widowControl w:val="0"/>
              <w:jc w:val="right"/>
              <w:rPr>
                <w:rFonts w:eastAsiaTheme="minorEastAsia"/>
              </w:rPr>
            </w:pPr>
            <w:r>
              <w:rPr>
                <w:rFonts w:cs="Times New Roman"/>
                <w:color w:val="000000"/>
              </w:rPr>
              <w:t>186,947,832.70</w:t>
            </w:r>
          </w:p>
        </w:tc>
        <w:tc>
          <w:tcPr>
            <w:tcW w:w="598" w:type="pct"/>
            <w:vAlign w:val="center"/>
          </w:tcPr>
          <w:p w14:paraId="3D4468E4">
            <w:pPr>
              <w:widowControl w:val="0"/>
              <w:jc w:val="right"/>
              <w:rPr>
                <w:rFonts w:eastAsiaTheme="minorEastAsia"/>
              </w:rPr>
            </w:pPr>
            <w:r>
              <w:rPr>
                <w:rFonts w:cs="Times New Roman"/>
                <w:color w:val="000000"/>
              </w:rPr>
              <w:t>2.75</w:t>
            </w:r>
          </w:p>
        </w:tc>
        <w:tc>
          <w:tcPr>
            <w:tcW w:w="871" w:type="pct"/>
            <w:vAlign w:val="center"/>
          </w:tcPr>
          <w:p w14:paraId="0478D656">
            <w:pPr>
              <w:widowControl w:val="0"/>
              <w:jc w:val="right"/>
              <w:rPr>
                <w:rFonts w:eastAsiaTheme="minorEastAsia"/>
              </w:rPr>
            </w:pPr>
            <w:r>
              <w:rPr>
                <w:rFonts w:cs="Times New Roman"/>
                <w:color w:val="000000"/>
              </w:rPr>
              <w:t>186,947,832.70</w:t>
            </w:r>
          </w:p>
        </w:tc>
        <w:tc>
          <w:tcPr>
            <w:tcW w:w="576" w:type="pct"/>
            <w:vAlign w:val="center"/>
          </w:tcPr>
          <w:p w14:paraId="2AC35D1D">
            <w:pPr>
              <w:widowControl w:val="0"/>
              <w:jc w:val="right"/>
              <w:rPr>
                <w:rFonts w:eastAsiaTheme="minorEastAsia"/>
              </w:rPr>
            </w:pPr>
            <w:r>
              <w:rPr>
                <w:rFonts w:cs="Times New Roman"/>
                <w:color w:val="000000"/>
              </w:rPr>
              <w:t>2.8</w:t>
            </w:r>
            <w:r>
              <w:rPr>
                <w:rFonts w:hint="eastAsia" w:cs="Times New Roman"/>
                <w:color w:val="000000"/>
              </w:rPr>
              <w:t>0</w:t>
            </w:r>
          </w:p>
        </w:tc>
        <w:tc>
          <w:tcPr>
            <w:tcW w:w="555" w:type="pct"/>
            <w:vAlign w:val="center"/>
          </w:tcPr>
          <w:p w14:paraId="23D7DA08">
            <w:pPr>
              <w:widowControl w:val="0"/>
              <w:jc w:val="right"/>
              <w:rPr>
                <w:rFonts w:eastAsiaTheme="minorEastAsia"/>
              </w:rPr>
            </w:pPr>
          </w:p>
        </w:tc>
        <w:tc>
          <w:tcPr>
            <w:tcW w:w="425" w:type="pct"/>
            <w:vAlign w:val="center"/>
          </w:tcPr>
          <w:p w14:paraId="2AD43D19">
            <w:pPr>
              <w:widowControl w:val="0"/>
              <w:jc w:val="both"/>
              <w:rPr>
                <w:rFonts w:hint="eastAsia" w:asciiTheme="minorEastAsia" w:hAnsiTheme="minorEastAsia" w:eastAsiaTheme="minorEastAsia"/>
              </w:rPr>
            </w:pPr>
            <w:r>
              <w:rPr>
                <w:rFonts w:hint="eastAsia"/>
                <w:color w:val="000000"/>
              </w:rPr>
              <w:t>　</w:t>
            </w:r>
          </w:p>
        </w:tc>
      </w:tr>
      <w:tr w14:paraId="5093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3A40BA3F">
            <w:pPr>
              <w:widowControl w:val="0"/>
              <w:jc w:val="both"/>
              <w:rPr>
                <w:rStyle w:val="48"/>
                <w:rFonts w:hint="eastAsia" w:asciiTheme="minorEastAsia" w:hAnsiTheme="minorEastAsia" w:eastAsiaTheme="minorEastAsia"/>
                <w:b w:val="0"/>
                <w:color w:val="000000" w:themeColor="text1"/>
                <w:szCs w:val="21"/>
                <w14:textFill>
                  <w14:solidFill>
                    <w14:schemeClr w14:val="tx1"/>
                  </w14:solidFill>
                </w14:textFill>
              </w:rPr>
            </w:pPr>
            <w:r>
              <w:rPr>
                <w:rFonts w:hint="eastAsia"/>
                <w:color w:val="000000"/>
              </w:rPr>
              <w:t>其他非流动金融资产</w:t>
            </w:r>
          </w:p>
        </w:tc>
        <w:tc>
          <w:tcPr>
            <w:tcW w:w="871" w:type="pct"/>
            <w:vAlign w:val="center"/>
          </w:tcPr>
          <w:p w14:paraId="6035C8DE">
            <w:pPr>
              <w:widowControl w:val="0"/>
              <w:jc w:val="right"/>
              <w:rPr>
                <w:rFonts w:eastAsiaTheme="minorEastAsia"/>
              </w:rPr>
            </w:pPr>
            <w:r>
              <w:rPr>
                <w:rFonts w:cs="Times New Roman"/>
                <w:color w:val="000000"/>
              </w:rPr>
              <w:t>1,188,672.25</w:t>
            </w:r>
          </w:p>
        </w:tc>
        <w:tc>
          <w:tcPr>
            <w:tcW w:w="598" w:type="pct"/>
            <w:vAlign w:val="center"/>
          </w:tcPr>
          <w:p w14:paraId="0A67DF84">
            <w:pPr>
              <w:widowControl w:val="0"/>
              <w:jc w:val="right"/>
              <w:rPr>
                <w:rFonts w:eastAsiaTheme="minorEastAsia"/>
              </w:rPr>
            </w:pPr>
            <w:r>
              <w:rPr>
                <w:rFonts w:cs="Times New Roman"/>
                <w:color w:val="000000"/>
              </w:rPr>
              <w:t>0.02</w:t>
            </w:r>
          </w:p>
        </w:tc>
        <w:tc>
          <w:tcPr>
            <w:tcW w:w="871" w:type="pct"/>
            <w:vAlign w:val="center"/>
          </w:tcPr>
          <w:p w14:paraId="4DF68FE3">
            <w:pPr>
              <w:widowControl w:val="0"/>
              <w:jc w:val="right"/>
              <w:rPr>
                <w:rFonts w:eastAsiaTheme="minorEastAsia"/>
              </w:rPr>
            </w:pPr>
            <w:r>
              <w:rPr>
                <w:rFonts w:cs="Times New Roman"/>
                <w:color w:val="000000"/>
              </w:rPr>
              <w:t>1,906,940.35</w:t>
            </w:r>
          </w:p>
        </w:tc>
        <w:tc>
          <w:tcPr>
            <w:tcW w:w="576" w:type="pct"/>
            <w:vAlign w:val="center"/>
          </w:tcPr>
          <w:p w14:paraId="06FAD581">
            <w:pPr>
              <w:widowControl w:val="0"/>
              <w:jc w:val="right"/>
              <w:rPr>
                <w:rFonts w:eastAsiaTheme="minorEastAsia"/>
              </w:rPr>
            </w:pPr>
            <w:r>
              <w:rPr>
                <w:rFonts w:cs="Times New Roman"/>
                <w:color w:val="000000"/>
              </w:rPr>
              <w:t>0.03</w:t>
            </w:r>
          </w:p>
        </w:tc>
        <w:tc>
          <w:tcPr>
            <w:tcW w:w="555" w:type="pct"/>
            <w:vAlign w:val="center"/>
          </w:tcPr>
          <w:p w14:paraId="5FDD67C4">
            <w:pPr>
              <w:widowControl w:val="0"/>
              <w:jc w:val="right"/>
              <w:rPr>
                <w:rFonts w:eastAsiaTheme="minorEastAsia"/>
              </w:rPr>
            </w:pPr>
            <w:r>
              <w:rPr>
                <w:rFonts w:cs="Times New Roman"/>
                <w:color w:val="000000"/>
              </w:rPr>
              <w:t>-37.67</w:t>
            </w:r>
          </w:p>
        </w:tc>
        <w:tc>
          <w:tcPr>
            <w:tcW w:w="425" w:type="pct"/>
            <w:vAlign w:val="center"/>
          </w:tcPr>
          <w:p w14:paraId="4BE2A2FE">
            <w:pPr>
              <w:widowControl w:val="0"/>
              <w:jc w:val="both"/>
              <w:rPr>
                <w:rFonts w:hint="eastAsia" w:asciiTheme="minorEastAsia" w:hAnsiTheme="minorEastAsia" w:eastAsiaTheme="minorEastAsia"/>
              </w:rPr>
            </w:pPr>
            <w:r>
              <w:rPr>
                <w:rFonts w:hint="eastAsia"/>
                <w:color w:val="000000"/>
              </w:rPr>
              <w:t>　</w:t>
            </w:r>
          </w:p>
        </w:tc>
      </w:tr>
      <w:tr w14:paraId="68CF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513EAE0A">
            <w:pPr>
              <w:widowControl w:val="0"/>
              <w:jc w:val="both"/>
              <w:rPr>
                <w:rFonts w:hint="eastAsia" w:asciiTheme="minorEastAsia" w:hAnsiTheme="minorEastAsia" w:eastAsiaTheme="minorEastAsia"/>
              </w:rPr>
            </w:pPr>
            <w:r>
              <w:rPr>
                <w:rFonts w:hint="eastAsia"/>
                <w:color w:val="000000"/>
              </w:rPr>
              <w:t>投资性房地产</w:t>
            </w:r>
          </w:p>
        </w:tc>
        <w:tc>
          <w:tcPr>
            <w:tcW w:w="871" w:type="pct"/>
            <w:vAlign w:val="center"/>
          </w:tcPr>
          <w:p w14:paraId="6CA7A4F9">
            <w:pPr>
              <w:widowControl w:val="0"/>
              <w:jc w:val="right"/>
              <w:rPr>
                <w:rFonts w:eastAsiaTheme="minorEastAsia"/>
              </w:rPr>
            </w:pPr>
            <w:r>
              <w:rPr>
                <w:rFonts w:cs="Times New Roman"/>
                <w:color w:val="000000"/>
              </w:rPr>
              <w:t>52,819,122.43</w:t>
            </w:r>
          </w:p>
        </w:tc>
        <w:tc>
          <w:tcPr>
            <w:tcW w:w="598" w:type="pct"/>
            <w:vAlign w:val="center"/>
          </w:tcPr>
          <w:p w14:paraId="7670E182">
            <w:pPr>
              <w:widowControl w:val="0"/>
              <w:jc w:val="right"/>
              <w:rPr>
                <w:rFonts w:eastAsiaTheme="minorEastAsia"/>
              </w:rPr>
            </w:pPr>
            <w:r>
              <w:rPr>
                <w:rFonts w:cs="Times New Roman"/>
                <w:color w:val="000000"/>
              </w:rPr>
              <w:t>0.78</w:t>
            </w:r>
          </w:p>
        </w:tc>
        <w:tc>
          <w:tcPr>
            <w:tcW w:w="871" w:type="pct"/>
            <w:vAlign w:val="center"/>
          </w:tcPr>
          <w:p w14:paraId="63883E92">
            <w:pPr>
              <w:widowControl w:val="0"/>
              <w:jc w:val="right"/>
              <w:rPr>
                <w:rFonts w:eastAsiaTheme="minorEastAsia"/>
              </w:rPr>
            </w:pPr>
            <w:r>
              <w:rPr>
                <w:rFonts w:cs="Times New Roman"/>
                <w:color w:val="000000"/>
              </w:rPr>
              <w:t>54,220,388.29</w:t>
            </w:r>
          </w:p>
        </w:tc>
        <w:tc>
          <w:tcPr>
            <w:tcW w:w="576" w:type="pct"/>
            <w:vAlign w:val="center"/>
          </w:tcPr>
          <w:p w14:paraId="7CD55B19">
            <w:pPr>
              <w:widowControl w:val="0"/>
              <w:jc w:val="right"/>
              <w:rPr>
                <w:rFonts w:eastAsiaTheme="minorEastAsia"/>
              </w:rPr>
            </w:pPr>
            <w:r>
              <w:rPr>
                <w:rFonts w:cs="Times New Roman"/>
                <w:color w:val="000000"/>
              </w:rPr>
              <w:t>0.81</w:t>
            </w:r>
          </w:p>
        </w:tc>
        <w:tc>
          <w:tcPr>
            <w:tcW w:w="555" w:type="pct"/>
            <w:vAlign w:val="center"/>
          </w:tcPr>
          <w:p w14:paraId="2014DC26">
            <w:pPr>
              <w:widowControl w:val="0"/>
              <w:jc w:val="right"/>
              <w:rPr>
                <w:rFonts w:eastAsiaTheme="minorEastAsia"/>
              </w:rPr>
            </w:pPr>
            <w:r>
              <w:rPr>
                <w:rFonts w:cs="Times New Roman"/>
                <w:color w:val="000000"/>
              </w:rPr>
              <w:t>-2.58</w:t>
            </w:r>
          </w:p>
        </w:tc>
        <w:tc>
          <w:tcPr>
            <w:tcW w:w="425" w:type="pct"/>
            <w:vAlign w:val="center"/>
          </w:tcPr>
          <w:p w14:paraId="5B4E6044">
            <w:pPr>
              <w:widowControl w:val="0"/>
              <w:jc w:val="both"/>
              <w:rPr>
                <w:rFonts w:hint="eastAsia" w:asciiTheme="minorEastAsia" w:hAnsiTheme="minorEastAsia" w:eastAsiaTheme="minorEastAsia"/>
              </w:rPr>
            </w:pPr>
            <w:r>
              <w:rPr>
                <w:rFonts w:hint="eastAsia"/>
                <w:color w:val="000000"/>
              </w:rPr>
              <w:t>　</w:t>
            </w:r>
          </w:p>
        </w:tc>
      </w:tr>
      <w:tr w14:paraId="31B7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0C0F408B">
            <w:pPr>
              <w:widowControl w:val="0"/>
              <w:jc w:val="both"/>
              <w:rPr>
                <w:rFonts w:hint="eastAsia" w:asciiTheme="minorEastAsia" w:hAnsiTheme="minorEastAsia" w:eastAsiaTheme="minorEastAsia"/>
              </w:rPr>
            </w:pPr>
            <w:r>
              <w:rPr>
                <w:rFonts w:hint="eastAsia"/>
                <w:color w:val="000000"/>
              </w:rPr>
              <w:t>固定资产</w:t>
            </w:r>
          </w:p>
        </w:tc>
        <w:tc>
          <w:tcPr>
            <w:tcW w:w="871" w:type="pct"/>
            <w:vAlign w:val="center"/>
          </w:tcPr>
          <w:p w14:paraId="402BBA8F">
            <w:pPr>
              <w:widowControl w:val="0"/>
              <w:jc w:val="right"/>
              <w:rPr>
                <w:rFonts w:eastAsiaTheme="minorEastAsia"/>
              </w:rPr>
            </w:pPr>
            <w:r>
              <w:rPr>
                <w:rFonts w:cs="Times New Roman"/>
                <w:color w:val="000000"/>
              </w:rPr>
              <w:t>3,148,783,333.48</w:t>
            </w:r>
          </w:p>
        </w:tc>
        <w:tc>
          <w:tcPr>
            <w:tcW w:w="598" w:type="pct"/>
            <w:vAlign w:val="center"/>
          </w:tcPr>
          <w:p w14:paraId="68A0E447">
            <w:pPr>
              <w:widowControl w:val="0"/>
              <w:jc w:val="right"/>
              <w:rPr>
                <w:rFonts w:eastAsiaTheme="minorEastAsia"/>
              </w:rPr>
            </w:pPr>
            <w:r>
              <w:rPr>
                <w:rFonts w:cs="Times New Roman"/>
                <w:color w:val="000000"/>
              </w:rPr>
              <w:t>46.33</w:t>
            </w:r>
          </w:p>
        </w:tc>
        <w:tc>
          <w:tcPr>
            <w:tcW w:w="871" w:type="pct"/>
            <w:vAlign w:val="center"/>
          </w:tcPr>
          <w:p w14:paraId="7F6259F2">
            <w:pPr>
              <w:widowControl w:val="0"/>
              <w:jc w:val="right"/>
              <w:rPr>
                <w:rFonts w:eastAsiaTheme="minorEastAsia"/>
              </w:rPr>
            </w:pPr>
            <w:r>
              <w:rPr>
                <w:rFonts w:cs="Times New Roman"/>
                <w:color w:val="000000"/>
              </w:rPr>
              <w:t>3,228,611,565.05</w:t>
            </w:r>
          </w:p>
        </w:tc>
        <w:tc>
          <w:tcPr>
            <w:tcW w:w="576" w:type="pct"/>
            <w:vAlign w:val="center"/>
          </w:tcPr>
          <w:p w14:paraId="7B21972A">
            <w:pPr>
              <w:widowControl w:val="0"/>
              <w:jc w:val="right"/>
              <w:rPr>
                <w:rFonts w:eastAsiaTheme="minorEastAsia"/>
              </w:rPr>
            </w:pPr>
            <w:r>
              <w:rPr>
                <w:rFonts w:cs="Times New Roman"/>
                <w:color w:val="000000"/>
              </w:rPr>
              <w:t>48.39</w:t>
            </w:r>
          </w:p>
        </w:tc>
        <w:tc>
          <w:tcPr>
            <w:tcW w:w="555" w:type="pct"/>
            <w:vAlign w:val="center"/>
          </w:tcPr>
          <w:p w14:paraId="52B12902">
            <w:pPr>
              <w:widowControl w:val="0"/>
              <w:jc w:val="right"/>
              <w:rPr>
                <w:rFonts w:eastAsiaTheme="minorEastAsia"/>
              </w:rPr>
            </w:pPr>
            <w:r>
              <w:rPr>
                <w:rFonts w:cs="Times New Roman"/>
                <w:color w:val="000000"/>
              </w:rPr>
              <w:t>-2.47</w:t>
            </w:r>
          </w:p>
        </w:tc>
        <w:tc>
          <w:tcPr>
            <w:tcW w:w="425" w:type="pct"/>
            <w:vAlign w:val="center"/>
          </w:tcPr>
          <w:p w14:paraId="717F0A37">
            <w:pPr>
              <w:widowControl w:val="0"/>
              <w:jc w:val="both"/>
              <w:rPr>
                <w:rFonts w:hint="eastAsia" w:asciiTheme="minorEastAsia" w:hAnsiTheme="minorEastAsia" w:eastAsiaTheme="minorEastAsia"/>
              </w:rPr>
            </w:pPr>
            <w:r>
              <w:rPr>
                <w:rFonts w:hint="eastAsia"/>
                <w:color w:val="000000"/>
              </w:rPr>
              <w:t>　</w:t>
            </w:r>
          </w:p>
        </w:tc>
      </w:tr>
      <w:tr w14:paraId="0858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735A3CB0">
            <w:pPr>
              <w:widowControl w:val="0"/>
              <w:jc w:val="both"/>
              <w:rPr>
                <w:rFonts w:hint="eastAsia" w:asciiTheme="minorEastAsia" w:hAnsiTheme="minorEastAsia" w:eastAsiaTheme="minorEastAsia"/>
              </w:rPr>
            </w:pPr>
            <w:r>
              <w:rPr>
                <w:rFonts w:hint="eastAsia"/>
                <w:color w:val="000000"/>
              </w:rPr>
              <w:t>在建工程</w:t>
            </w:r>
          </w:p>
        </w:tc>
        <w:tc>
          <w:tcPr>
            <w:tcW w:w="871" w:type="pct"/>
            <w:vAlign w:val="center"/>
          </w:tcPr>
          <w:p w14:paraId="67D719C8">
            <w:pPr>
              <w:widowControl w:val="0"/>
              <w:jc w:val="right"/>
              <w:rPr>
                <w:rFonts w:eastAsiaTheme="minorEastAsia"/>
              </w:rPr>
            </w:pPr>
            <w:r>
              <w:rPr>
                <w:rFonts w:cs="Times New Roman"/>
                <w:color w:val="000000"/>
              </w:rPr>
              <w:t>2,770,233.15</w:t>
            </w:r>
          </w:p>
        </w:tc>
        <w:tc>
          <w:tcPr>
            <w:tcW w:w="598" w:type="pct"/>
            <w:vAlign w:val="center"/>
          </w:tcPr>
          <w:p w14:paraId="4204F296">
            <w:pPr>
              <w:widowControl w:val="0"/>
              <w:jc w:val="right"/>
              <w:rPr>
                <w:rFonts w:eastAsiaTheme="minorEastAsia"/>
              </w:rPr>
            </w:pPr>
            <w:r>
              <w:rPr>
                <w:rFonts w:cs="Times New Roman"/>
                <w:color w:val="000000"/>
              </w:rPr>
              <w:t>0.04</w:t>
            </w:r>
          </w:p>
        </w:tc>
        <w:tc>
          <w:tcPr>
            <w:tcW w:w="871" w:type="pct"/>
            <w:vAlign w:val="center"/>
          </w:tcPr>
          <w:p w14:paraId="52DB31AB">
            <w:pPr>
              <w:widowControl w:val="0"/>
              <w:jc w:val="right"/>
              <w:rPr>
                <w:rFonts w:eastAsiaTheme="minorEastAsia"/>
              </w:rPr>
            </w:pPr>
            <w:r>
              <w:rPr>
                <w:rFonts w:cs="Times New Roman"/>
                <w:color w:val="000000"/>
              </w:rPr>
              <w:t>1,697,848.20</w:t>
            </w:r>
          </w:p>
        </w:tc>
        <w:tc>
          <w:tcPr>
            <w:tcW w:w="576" w:type="pct"/>
            <w:vAlign w:val="center"/>
          </w:tcPr>
          <w:p w14:paraId="3E0D4A68">
            <w:pPr>
              <w:widowControl w:val="0"/>
              <w:jc w:val="right"/>
              <w:rPr>
                <w:rFonts w:eastAsiaTheme="minorEastAsia"/>
              </w:rPr>
            </w:pPr>
            <w:r>
              <w:rPr>
                <w:rFonts w:cs="Times New Roman"/>
                <w:color w:val="000000"/>
              </w:rPr>
              <w:t>0.03</w:t>
            </w:r>
          </w:p>
        </w:tc>
        <w:tc>
          <w:tcPr>
            <w:tcW w:w="555" w:type="pct"/>
            <w:vAlign w:val="center"/>
          </w:tcPr>
          <w:p w14:paraId="1EEC5718">
            <w:pPr>
              <w:widowControl w:val="0"/>
              <w:jc w:val="right"/>
              <w:rPr>
                <w:rFonts w:eastAsiaTheme="minorEastAsia"/>
              </w:rPr>
            </w:pPr>
            <w:r>
              <w:rPr>
                <w:rFonts w:cs="Times New Roman"/>
                <w:color w:val="000000"/>
              </w:rPr>
              <w:t>63.16</w:t>
            </w:r>
          </w:p>
        </w:tc>
        <w:tc>
          <w:tcPr>
            <w:tcW w:w="425" w:type="pct"/>
            <w:vAlign w:val="center"/>
          </w:tcPr>
          <w:p w14:paraId="6BD5E8FE">
            <w:pPr>
              <w:widowControl w:val="0"/>
              <w:jc w:val="both"/>
              <w:rPr>
                <w:rFonts w:hint="eastAsia" w:asciiTheme="minorEastAsia" w:hAnsiTheme="minorEastAsia" w:eastAsiaTheme="minorEastAsia"/>
              </w:rPr>
            </w:pPr>
            <w:r>
              <w:rPr>
                <w:rFonts w:hint="eastAsia"/>
                <w:color w:val="000000"/>
              </w:rPr>
              <w:t>　</w:t>
            </w:r>
          </w:p>
        </w:tc>
      </w:tr>
      <w:tr w14:paraId="63BB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03012BD1">
            <w:pPr>
              <w:widowControl w:val="0"/>
              <w:jc w:val="both"/>
              <w:rPr>
                <w:color w:val="000000"/>
              </w:rPr>
            </w:pPr>
            <w:r>
              <w:rPr>
                <w:rFonts w:hint="eastAsia"/>
                <w:color w:val="000000"/>
              </w:rPr>
              <w:t>使用权资产</w:t>
            </w:r>
          </w:p>
        </w:tc>
        <w:tc>
          <w:tcPr>
            <w:tcW w:w="871" w:type="pct"/>
            <w:vAlign w:val="center"/>
          </w:tcPr>
          <w:p w14:paraId="5EFAB449">
            <w:pPr>
              <w:widowControl w:val="0"/>
              <w:jc w:val="right"/>
              <w:rPr>
                <w:rFonts w:cs="Times New Roman"/>
                <w:color w:val="000000"/>
              </w:rPr>
            </w:pPr>
            <w:r>
              <w:rPr>
                <w:rFonts w:cs="Times New Roman"/>
                <w:color w:val="000000"/>
              </w:rPr>
              <w:t>47,440,352.3</w:t>
            </w:r>
            <w:r>
              <w:rPr>
                <w:rFonts w:hint="eastAsia" w:cs="Times New Roman"/>
                <w:color w:val="000000"/>
              </w:rPr>
              <w:t>0</w:t>
            </w:r>
          </w:p>
        </w:tc>
        <w:tc>
          <w:tcPr>
            <w:tcW w:w="598" w:type="pct"/>
            <w:vAlign w:val="center"/>
          </w:tcPr>
          <w:p w14:paraId="52E339AD">
            <w:pPr>
              <w:widowControl w:val="0"/>
              <w:jc w:val="right"/>
              <w:rPr>
                <w:rFonts w:cs="Times New Roman"/>
                <w:color w:val="000000"/>
              </w:rPr>
            </w:pPr>
            <w:r>
              <w:rPr>
                <w:rFonts w:cs="Times New Roman"/>
                <w:color w:val="000000"/>
              </w:rPr>
              <w:t>0.70</w:t>
            </w:r>
          </w:p>
        </w:tc>
        <w:tc>
          <w:tcPr>
            <w:tcW w:w="871" w:type="pct"/>
            <w:vAlign w:val="center"/>
          </w:tcPr>
          <w:p w14:paraId="72287491">
            <w:pPr>
              <w:widowControl w:val="0"/>
              <w:jc w:val="right"/>
              <w:rPr>
                <w:rFonts w:eastAsiaTheme="minorEastAsia"/>
              </w:rPr>
            </w:pPr>
            <w:r>
              <w:rPr>
                <w:rFonts w:cs="Times New Roman"/>
                <w:color w:val="000000"/>
              </w:rPr>
              <w:t>49,112,045.32</w:t>
            </w:r>
          </w:p>
        </w:tc>
        <w:tc>
          <w:tcPr>
            <w:tcW w:w="576" w:type="pct"/>
            <w:vAlign w:val="center"/>
          </w:tcPr>
          <w:p w14:paraId="150CCCE6">
            <w:pPr>
              <w:widowControl w:val="0"/>
              <w:jc w:val="right"/>
              <w:rPr>
                <w:rFonts w:eastAsiaTheme="minorEastAsia"/>
              </w:rPr>
            </w:pPr>
            <w:r>
              <w:rPr>
                <w:rFonts w:cs="Times New Roman"/>
                <w:color w:val="000000"/>
              </w:rPr>
              <w:t>0.74</w:t>
            </w:r>
          </w:p>
        </w:tc>
        <w:tc>
          <w:tcPr>
            <w:tcW w:w="555" w:type="pct"/>
            <w:vAlign w:val="center"/>
          </w:tcPr>
          <w:p w14:paraId="271D4E86">
            <w:pPr>
              <w:widowControl w:val="0"/>
              <w:jc w:val="right"/>
              <w:rPr>
                <w:rFonts w:eastAsiaTheme="minorEastAsia"/>
              </w:rPr>
            </w:pPr>
            <w:r>
              <w:rPr>
                <w:rFonts w:cs="Times New Roman"/>
                <w:color w:val="000000"/>
              </w:rPr>
              <w:t>-3.40</w:t>
            </w:r>
          </w:p>
        </w:tc>
        <w:tc>
          <w:tcPr>
            <w:tcW w:w="425" w:type="pct"/>
            <w:vAlign w:val="center"/>
          </w:tcPr>
          <w:p w14:paraId="2A5A42A6">
            <w:pPr>
              <w:widowControl w:val="0"/>
              <w:jc w:val="both"/>
              <w:rPr>
                <w:color w:val="000000"/>
              </w:rPr>
            </w:pPr>
            <w:r>
              <w:rPr>
                <w:rFonts w:cs="Times New Roman"/>
                <w:color w:val="000000"/>
              </w:rPr>
              <w:t>　</w:t>
            </w:r>
          </w:p>
        </w:tc>
      </w:tr>
      <w:tr w14:paraId="2E7C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3B5EEAA8">
            <w:pPr>
              <w:widowControl w:val="0"/>
              <w:jc w:val="both"/>
              <w:rPr>
                <w:rFonts w:hint="eastAsia" w:asciiTheme="minorEastAsia" w:hAnsiTheme="minorEastAsia" w:eastAsiaTheme="minorEastAsia"/>
              </w:rPr>
            </w:pPr>
            <w:r>
              <w:rPr>
                <w:rFonts w:hint="eastAsia"/>
                <w:color w:val="000000"/>
              </w:rPr>
              <w:t>无形资产</w:t>
            </w:r>
          </w:p>
        </w:tc>
        <w:tc>
          <w:tcPr>
            <w:tcW w:w="871" w:type="pct"/>
            <w:vAlign w:val="center"/>
          </w:tcPr>
          <w:p w14:paraId="435D142F">
            <w:pPr>
              <w:widowControl w:val="0"/>
              <w:jc w:val="right"/>
              <w:rPr>
                <w:rFonts w:eastAsiaTheme="minorEastAsia"/>
              </w:rPr>
            </w:pPr>
            <w:r>
              <w:rPr>
                <w:rFonts w:cs="Times New Roman"/>
                <w:color w:val="000000"/>
              </w:rPr>
              <w:t>1,350,948,647.24</w:t>
            </w:r>
          </w:p>
        </w:tc>
        <w:tc>
          <w:tcPr>
            <w:tcW w:w="598" w:type="pct"/>
            <w:vAlign w:val="center"/>
          </w:tcPr>
          <w:p w14:paraId="64DC3127">
            <w:pPr>
              <w:widowControl w:val="0"/>
              <w:jc w:val="right"/>
              <w:rPr>
                <w:rFonts w:eastAsiaTheme="minorEastAsia"/>
              </w:rPr>
            </w:pPr>
            <w:r>
              <w:rPr>
                <w:rFonts w:cs="Times New Roman"/>
                <w:color w:val="000000"/>
              </w:rPr>
              <w:t>19.88</w:t>
            </w:r>
          </w:p>
        </w:tc>
        <w:tc>
          <w:tcPr>
            <w:tcW w:w="871" w:type="pct"/>
            <w:vAlign w:val="center"/>
          </w:tcPr>
          <w:p w14:paraId="6E569C74">
            <w:pPr>
              <w:widowControl w:val="0"/>
              <w:jc w:val="right"/>
              <w:rPr>
                <w:rFonts w:eastAsiaTheme="minorEastAsia"/>
              </w:rPr>
            </w:pPr>
            <w:r>
              <w:rPr>
                <w:rFonts w:cs="Times New Roman"/>
                <w:color w:val="000000"/>
              </w:rPr>
              <w:t>1,165,706,178.53</w:t>
            </w:r>
          </w:p>
        </w:tc>
        <w:tc>
          <w:tcPr>
            <w:tcW w:w="576" w:type="pct"/>
            <w:vAlign w:val="center"/>
          </w:tcPr>
          <w:p w14:paraId="0BBCEE94">
            <w:pPr>
              <w:widowControl w:val="0"/>
              <w:jc w:val="right"/>
              <w:rPr>
                <w:rFonts w:eastAsiaTheme="minorEastAsia"/>
              </w:rPr>
            </w:pPr>
            <w:r>
              <w:rPr>
                <w:rFonts w:cs="Times New Roman"/>
                <w:color w:val="000000"/>
              </w:rPr>
              <w:t>17.47</w:t>
            </w:r>
          </w:p>
        </w:tc>
        <w:tc>
          <w:tcPr>
            <w:tcW w:w="555" w:type="pct"/>
            <w:vAlign w:val="center"/>
          </w:tcPr>
          <w:p w14:paraId="6A194E8C">
            <w:pPr>
              <w:widowControl w:val="0"/>
              <w:jc w:val="right"/>
              <w:rPr>
                <w:rFonts w:eastAsiaTheme="minorEastAsia"/>
              </w:rPr>
            </w:pPr>
            <w:r>
              <w:rPr>
                <w:rFonts w:cs="Times New Roman"/>
                <w:color w:val="000000"/>
              </w:rPr>
              <w:t>15.89</w:t>
            </w:r>
          </w:p>
        </w:tc>
        <w:tc>
          <w:tcPr>
            <w:tcW w:w="425" w:type="pct"/>
            <w:vAlign w:val="center"/>
          </w:tcPr>
          <w:p w14:paraId="67E74632">
            <w:pPr>
              <w:widowControl w:val="0"/>
              <w:jc w:val="both"/>
              <w:rPr>
                <w:rFonts w:hint="eastAsia" w:asciiTheme="minorEastAsia" w:hAnsiTheme="minorEastAsia" w:eastAsiaTheme="minorEastAsia"/>
              </w:rPr>
            </w:pPr>
            <w:r>
              <w:rPr>
                <w:rFonts w:hint="eastAsia"/>
                <w:color w:val="000000"/>
              </w:rPr>
              <w:t>　</w:t>
            </w:r>
          </w:p>
        </w:tc>
      </w:tr>
      <w:tr w14:paraId="4DAF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065A084B">
            <w:pPr>
              <w:widowControl w:val="0"/>
              <w:jc w:val="both"/>
              <w:rPr>
                <w:rFonts w:hint="eastAsia" w:asciiTheme="minorEastAsia" w:hAnsiTheme="minorEastAsia" w:eastAsiaTheme="minorEastAsia"/>
              </w:rPr>
            </w:pPr>
            <w:r>
              <w:rPr>
                <w:rFonts w:hint="eastAsia"/>
                <w:color w:val="000000"/>
              </w:rPr>
              <w:t>长期待摊费用</w:t>
            </w:r>
          </w:p>
        </w:tc>
        <w:tc>
          <w:tcPr>
            <w:tcW w:w="871" w:type="pct"/>
            <w:vAlign w:val="center"/>
          </w:tcPr>
          <w:p w14:paraId="46FCE383">
            <w:pPr>
              <w:widowControl w:val="0"/>
              <w:jc w:val="right"/>
              <w:rPr>
                <w:rFonts w:eastAsiaTheme="minorEastAsia"/>
              </w:rPr>
            </w:pPr>
            <w:r>
              <w:rPr>
                <w:rFonts w:cs="Times New Roman"/>
                <w:color w:val="000000"/>
              </w:rPr>
              <w:t>459,680,649.73</w:t>
            </w:r>
          </w:p>
        </w:tc>
        <w:tc>
          <w:tcPr>
            <w:tcW w:w="598" w:type="pct"/>
            <w:vAlign w:val="center"/>
          </w:tcPr>
          <w:p w14:paraId="6EB0F041">
            <w:pPr>
              <w:widowControl w:val="0"/>
              <w:jc w:val="right"/>
              <w:rPr>
                <w:rFonts w:eastAsiaTheme="minorEastAsia"/>
              </w:rPr>
            </w:pPr>
            <w:r>
              <w:rPr>
                <w:rFonts w:cs="Times New Roman"/>
                <w:color w:val="000000"/>
              </w:rPr>
              <w:t>6.76</w:t>
            </w:r>
          </w:p>
        </w:tc>
        <w:tc>
          <w:tcPr>
            <w:tcW w:w="871" w:type="pct"/>
            <w:vAlign w:val="center"/>
          </w:tcPr>
          <w:p w14:paraId="14FDDB63">
            <w:pPr>
              <w:widowControl w:val="0"/>
              <w:jc w:val="right"/>
              <w:rPr>
                <w:rFonts w:eastAsiaTheme="minorEastAsia"/>
              </w:rPr>
            </w:pPr>
            <w:r>
              <w:rPr>
                <w:rFonts w:cs="Times New Roman"/>
                <w:color w:val="000000"/>
              </w:rPr>
              <w:t>482,056,686.68</w:t>
            </w:r>
          </w:p>
        </w:tc>
        <w:tc>
          <w:tcPr>
            <w:tcW w:w="576" w:type="pct"/>
            <w:vAlign w:val="center"/>
          </w:tcPr>
          <w:p w14:paraId="69D61C7C">
            <w:pPr>
              <w:widowControl w:val="0"/>
              <w:jc w:val="right"/>
              <w:rPr>
                <w:rFonts w:eastAsiaTheme="minorEastAsia"/>
              </w:rPr>
            </w:pPr>
            <w:r>
              <w:rPr>
                <w:rFonts w:cs="Times New Roman"/>
                <w:color w:val="000000"/>
              </w:rPr>
              <w:t>7.23</w:t>
            </w:r>
          </w:p>
        </w:tc>
        <w:tc>
          <w:tcPr>
            <w:tcW w:w="555" w:type="pct"/>
            <w:vAlign w:val="center"/>
          </w:tcPr>
          <w:p w14:paraId="560FB1BD">
            <w:pPr>
              <w:widowControl w:val="0"/>
              <w:jc w:val="right"/>
              <w:rPr>
                <w:rFonts w:eastAsiaTheme="minorEastAsia"/>
              </w:rPr>
            </w:pPr>
            <w:r>
              <w:rPr>
                <w:rFonts w:cs="Times New Roman"/>
                <w:color w:val="000000"/>
              </w:rPr>
              <w:t>-4.64</w:t>
            </w:r>
          </w:p>
        </w:tc>
        <w:tc>
          <w:tcPr>
            <w:tcW w:w="425" w:type="pct"/>
            <w:vAlign w:val="center"/>
          </w:tcPr>
          <w:p w14:paraId="332280B2">
            <w:pPr>
              <w:widowControl w:val="0"/>
              <w:jc w:val="both"/>
              <w:rPr>
                <w:rFonts w:hint="eastAsia" w:asciiTheme="minorEastAsia" w:hAnsiTheme="minorEastAsia" w:eastAsiaTheme="minorEastAsia"/>
              </w:rPr>
            </w:pPr>
            <w:r>
              <w:rPr>
                <w:rFonts w:hint="eastAsia"/>
                <w:color w:val="000000"/>
              </w:rPr>
              <w:t>　</w:t>
            </w:r>
          </w:p>
        </w:tc>
      </w:tr>
      <w:tr w14:paraId="6904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708127E0">
            <w:pPr>
              <w:widowControl w:val="0"/>
              <w:jc w:val="both"/>
              <w:rPr>
                <w:rFonts w:hint="eastAsia" w:asciiTheme="minorEastAsia" w:hAnsiTheme="minorEastAsia" w:eastAsiaTheme="minorEastAsia"/>
              </w:rPr>
            </w:pPr>
            <w:r>
              <w:rPr>
                <w:rFonts w:hint="eastAsia"/>
                <w:color w:val="000000"/>
              </w:rPr>
              <w:t>递延所得税资产</w:t>
            </w:r>
          </w:p>
        </w:tc>
        <w:tc>
          <w:tcPr>
            <w:tcW w:w="871" w:type="pct"/>
            <w:vAlign w:val="center"/>
          </w:tcPr>
          <w:p w14:paraId="25E3AE91">
            <w:pPr>
              <w:widowControl w:val="0"/>
              <w:jc w:val="right"/>
              <w:rPr>
                <w:rFonts w:eastAsiaTheme="minorEastAsia"/>
              </w:rPr>
            </w:pPr>
            <w:r>
              <w:rPr>
                <w:rFonts w:cs="Times New Roman"/>
                <w:color w:val="000000"/>
              </w:rPr>
              <w:t>3,369,180.27</w:t>
            </w:r>
          </w:p>
        </w:tc>
        <w:tc>
          <w:tcPr>
            <w:tcW w:w="598" w:type="pct"/>
            <w:vAlign w:val="center"/>
          </w:tcPr>
          <w:p w14:paraId="2AACC39F">
            <w:pPr>
              <w:widowControl w:val="0"/>
              <w:jc w:val="right"/>
              <w:rPr>
                <w:rFonts w:eastAsiaTheme="minorEastAsia"/>
              </w:rPr>
            </w:pPr>
            <w:r>
              <w:rPr>
                <w:rFonts w:cs="Times New Roman"/>
                <w:color w:val="000000"/>
              </w:rPr>
              <w:t>0.05</w:t>
            </w:r>
          </w:p>
        </w:tc>
        <w:tc>
          <w:tcPr>
            <w:tcW w:w="871" w:type="pct"/>
            <w:vAlign w:val="center"/>
          </w:tcPr>
          <w:p w14:paraId="40D98786">
            <w:pPr>
              <w:widowControl w:val="0"/>
              <w:jc w:val="right"/>
              <w:rPr>
                <w:rFonts w:eastAsiaTheme="minorEastAsia"/>
              </w:rPr>
            </w:pPr>
            <w:r>
              <w:rPr>
                <w:rFonts w:cs="Times New Roman"/>
                <w:color w:val="000000"/>
              </w:rPr>
              <w:t>3,369,180.27</w:t>
            </w:r>
          </w:p>
        </w:tc>
        <w:tc>
          <w:tcPr>
            <w:tcW w:w="576" w:type="pct"/>
            <w:vAlign w:val="center"/>
          </w:tcPr>
          <w:p w14:paraId="7430F492">
            <w:pPr>
              <w:widowControl w:val="0"/>
              <w:jc w:val="right"/>
              <w:rPr>
                <w:rFonts w:eastAsiaTheme="minorEastAsia"/>
              </w:rPr>
            </w:pPr>
            <w:r>
              <w:rPr>
                <w:rFonts w:cs="Times New Roman"/>
                <w:color w:val="000000"/>
              </w:rPr>
              <w:t>0.05</w:t>
            </w:r>
          </w:p>
        </w:tc>
        <w:tc>
          <w:tcPr>
            <w:tcW w:w="555" w:type="pct"/>
            <w:vAlign w:val="center"/>
          </w:tcPr>
          <w:p w14:paraId="15237D87">
            <w:pPr>
              <w:widowControl w:val="0"/>
              <w:jc w:val="right"/>
              <w:rPr>
                <w:rFonts w:eastAsiaTheme="minorEastAsia"/>
              </w:rPr>
            </w:pPr>
          </w:p>
        </w:tc>
        <w:tc>
          <w:tcPr>
            <w:tcW w:w="425" w:type="pct"/>
            <w:vAlign w:val="center"/>
          </w:tcPr>
          <w:p w14:paraId="0D935A85">
            <w:pPr>
              <w:widowControl w:val="0"/>
              <w:jc w:val="both"/>
              <w:rPr>
                <w:rFonts w:hint="eastAsia" w:asciiTheme="minorEastAsia" w:hAnsiTheme="minorEastAsia" w:eastAsiaTheme="minorEastAsia"/>
              </w:rPr>
            </w:pPr>
            <w:r>
              <w:rPr>
                <w:rFonts w:hint="eastAsia"/>
                <w:color w:val="000000"/>
              </w:rPr>
              <w:t>　</w:t>
            </w:r>
          </w:p>
        </w:tc>
      </w:tr>
      <w:tr w14:paraId="68D5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665D00ED">
            <w:pPr>
              <w:widowControl w:val="0"/>
              <w:jc w:val="both"/>
              <w:rPr>
                <w:rFonts w:hint="eastAsia" w:asciiTheme="minorEastAsia" w:hAnsiTheme="minorEastAsia" w:eastAsiaTheme="minorEastAsia"/>
              </w:rPr>
            </w:pPr>
            <w:r>
              <w:rPr>
                <w:rFonts w:hint="eastAsia"/>
                <w:color w:val="000000"/>
              </w:rPr>
              <w:t>其他非流动资产</w:t>
            </w:r>
          </w:p>
        </w:tc>
        <w:tc>
          <w:tcPr>
            <w:tcW w:w="871" w:type="pct"/>
            <w:vAlign w:val="center"/>
          </w:tcPr>
          <w:p w14:paraId="18F96150">
            <w:pPr>
              <w:widowControl w:val="0"/>
              <w:jc w:val="right"/>
              <w:rPr>
                <w:rFonts w:eastAsiaTheme="minorEastAsia"/>
              </w:rPr>
            </w:pPr>
            <w:r>
              <w:rPr>
                <w:rFonts w:cs="Times New Roman"/>
                <w:color w:val="000000"/>
              </w:rPr>
              <w:t>94,490,202.13</w:t>
            </w:r>
          </w:p>
        </w:tc>
        <w:tc>
          <w:tcPr>
            <w:tcW w:w="598" w:type="pct"/>
            <w:vAlign w:val="center"/>
          </w:tcPr>
          <w:p w14:paraId="3216EC0A">
            <w:pPr>
              <w:widowControl w:val="0"/>
              <w:jc w:val="right"/>
              <w:rPr>
                <w:rFonts w:eastAsiaTheme="minorEastAsia"/>
              </w:rPr>
            </w:pPr>
            <w:r>
              <w:rPr>
                <w:rFonts w:cs="Times New Roman"/>
                <w:color w:val="000000"/>
              </w:rPr>
              <w:t>1.39</w:t>
            </w:r>
          </w:p>
        </w:tc>
        <w:tc>
          <w:tcPr>
            <w:tcW w:w="871" w:type="pct"/>
            <w:vAlign w:val="center"/>
          </w:tcPr>
          <w:p w14:paraId="346A1B64">
            <w:pPr>
              <w:widowControl w:val="0"/>
              <w:jc w:val="right"/>
              <w:rPr>
                <w:rFonts w:eastAsiaTheme="minorEastAsia"/>
              </w:rPr>
            </w:pPr>
            <w:r>
              <w:rPr>
                <w:rFonts w:cs="Times New Roman"/>
                <w:color w:val="000000"/>
              </w:rPr>
              <w:t>144,063,362.44</w:t>
            </w:r>
          </w:p>
        </w:tc>
        <w:tc>
          <w:tcPr>
            <w:tcW w:w="576" w:type="pct"/>
            <w:vAlign w:val="center"/>
          </w:tcPr>
          <w:p w14:paraId="65A9AA69">
            <w:pPr>
              <w:widowControl w:val="0"/>
              <w:jc w:val="right"/>
              <w:rPr>
                <w:rFonts w:eastAsiaTheme="minorEastAsia"/>
              </w:rPr>
            </w:pPr>
            <w:r>
              <w:rPr>
                <w:rFonts w:cs="Times New Roman"/>
                <w:color w:val="000000"/>
              </w:rPr>
              <w:t>2.16</w:t>
            </w:r>
          </w:p>
        </w:tc>
        <w:tc>
          <w:tcPr>
            <w:tcW w:w="555" w:type="pct"/>
            <w:vAlign w:val="center"/>
          </w:tcPr>
          <w:p w14:paraId="38FB6B3E">
            <w:pPr>
              <w:widowControl w:val="0"/>
              <w:jc w:val="right"/>
              <w:rPr>
                <w:rFonts w:eastAsiaTheme="minorEastAsia"/>
              </w:rPr>
            </w:pPr>
            <w:r>
              <w:rPr>
                <w:rFonts w:cs="Times New Roman"/>
                <w:color w:val="000000"/>
              </w:rPr>
              <w:t>-34.41</w:t>
            </w:r>
          </w:p>
        </w:tc>
        <w:tc>
          <w:tcPr>
            <w:tcW w:w="425" w:type="pct"/>
            <w:vAlign w:val="center"/>
          </w:tcPr>
          <w:p w14:paraId="204DEEFC">
            <w:pPr>
              <w:widowControl w:val="0"/>
              <w:jc w:val="both"/>
              <w:rPr>
                <w:rFonts w:hint="eastAsia" w:asciiTheme="minorEastAsia" w:hAnsiTheme="minorEastAsia" w:eastAsiaTheme="minorEastAsia"/>
              </w:rPr>
            </w:pPr>
            <w:r>
              <w:rPr>
                <w:rFonts w:hint="eastAsia"/>
                <w:color w:val="000000"/>
              </w:rPr>
              <w:t>　</w:t>
            </w:r>
          </w:p>
        </w:tc>
      </w:tr>
      <w:tr w14:paraId="0C6A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742357A1">
            <w:pPr>
              <w:widowControl w:val="0"/>
              <w:jc w:val="both"/>
              <w:rPr>
                <w:rFonts w:hint="eastAsia" w:asciiTheme="minorEastAsia" w:hAnsiTheme="minorEastAsia" w:eastAsiaTheme="minorEastAsia"/>
              </w:rPr>
            </w:pPr>
            <w:r>
              <w:rPr>
                <w:rFonts w:hint="eastAsia"/>
                <w:color w:val="000000"/>
              </w:rPr>
              <w:t>短期借款</w:t>
            </w:r>
          </w:p>
        </w:tc>
        <w:tc>
          <w:tcPr>
            <w:tcW w:w="871" w:type="pct"/>
            <w:vAlign w:val="center"/>
          </w:tcPr>
          <w:p w14:paraId="0AE5BD45">
            <w:pPr>
              <w:widowControl w:val="0"/>
              <w:jc w:val="right"/>
              <w:rPr>
                <w:rFonts w:eastAsiaTheme="minorEastAsia"/>
              </w:rPr>
            </w:pPr>
            <w:r>
              <w:rPr>
                <w:rFonts w:cs="Times New Roman"/>
                <w:color w:val="000000"/>
              </w:rPr>
              <w:t>2,310,640,708.43</w:t>
            </w:r>
          </w:p>
        </w:tc>
        <w:tc>
          <w:tcPr>
            <w:tcW w:w="598" w:type="pct"/>
            <w:vAlign w:val="center"/>
          </w:tcPr>
          <w:p w14:paraId="2A9AA442">
            <w:pPr>
              <w:widowControl w:val="0"/>
              <w:jc w:val="right"/>
              <w:rPr>
                <w:rFonts w:eastAsiaTheme="minorEastAsia"/>
              </w:rPr>
            </w:pPr>
            <w:r>
              <w:rPr>
                <w:rFonts w:cs="Times New Roman"/>
                <w:color w:val="000000"/>
              </w:rPr>
              <w:t>33.99</w:t>
            </w:r>
          </w:p>
        </w:tc>
        <w:tc>
          <w:tcPr>
            <w:tcW w:w="871" w:type="pct"/>
            <w:vAlign w:val="center"/>
          </w:tcPr>
          <w:p w14:paraId="099C478E">
            <w:pPr>
              <w:widowControl w:val="0"/>
              <w:jc w:val="right"/>
              <w:rPr>
                <w:rFonts w:eastAsiaTheme="minorEastAsia"/>
              </w:rPr>
            </w:pPr>
            <w:r>
              <w:rPr>
                <w:rFonts w:cs="Times New Roman"/>
                <w:color w:val="000000"/>
              </w:rPr>
              <w:t>2,229,374,400.00</w:t>
            </w:r>
          </w:p>
        </w:tc>
        <w:tc>
          <w:tcPr>
            <w:tcW w:w="576" w:type="pct"/>
            <w:vAlign w:val="center"/>
          </w:tcPr>
          <w:p w14:paraId="4B71C251">
            <w:pPr>
              <w:widowControl w:val="0"/>
              <w:jc w:val="right"/>
              <w:rPr>
                <w:rFonts w:eastAsiaTheme="minorEastAsia"/>
              </w:rPr>
            </w:pPr>
            <w:r>
              <w:rPr>
                <w:rFonts w:cs="Times New Roman"/>
                <w:color w:val="000000"/>
              </w:rPr>
              <w:t>33.42</w:t>
            </w:r>
          </w:p>
        </w:tc>
        <w:tc>
          <w:tcPr>
            <w:tcW w:w="555" w:type="pct"/>
            <w:vAlign w:val="center"/>
          </w:tcPr>
          <w:p w14:paraId="66386BF3">
            <w:pPr>
              <w:widowControl w:val="0"/>
              <w:jc w:val="right"/>
              <w:rPr>
                <w:rFonts w:eastAsiaTheme="minorEastAsia"/>
              </w:rPr>
            </w:pPr>
            <w:r>
              <w:rPr>
                <w:rFonts w:cs="Times New Roman"/>
                <w:color w:val="000000"/>
              </w:rPr>
              <w:t>3.65</w:t>
            </w:r>
          </w:p>
        </w:tc>
        <w:tc>
          <w:tcPr>
            <w:tcW w:w="425" w:type="pct"/>
            <w:vAlign w:val="center"/>
          </w:tcPr>
          <w:p w14:paraId="1D9230E8">
            <w:pPr>
              <w:widowControl w:val="0"/>
              <w:jc w:val="both"/>
              <w:rPr>
                <w:rFonts w:hint="eastAsia" w:asciiTheme="minorEastAsia" w:hAnsiTheme="minorEastAsia" w:eastAsiaTheme="minorEastAsia"/>
              </w:rPr>
            </w:pPr>
            <w:r>
              <w:rPr>
                <w:rFonts w:hint="eastAsia"/>
                <w:color w:val="000000"/>
              </w:rPr>
              <w:t>　</w:t>
            </w:r>
          </w:p>
        </w:tc>
      </w:tr>
      <w:tr w14:paraId="3018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7D7D614F">
            <w:pPr>
              <w:widowControl w:val="0"/>
              <w:jc w:val="both"/>
              <w:rPr>
                <w:rFonts w:hint="eastAsia" w:asciiTheme="minorEastAsia" w:hAnsiTheme="minorEastAsia" w:eastAsiaTheme="minorEastAsia"/>
              </w:rPr>
            </w:pPr>
            <w:r>
              <w:rPr>
                <w:rFonts w:hint="eastAsia"/>
                <w:color w:val="000000"/>
              </w:rPr>
              <w:t>应付账款</w:t>
            </w:r>
          </w:p>
        </w:tc>
        <w:tc>
          <w:tcPr>
            <w:tcW w:w="871" w:type="pct"/>
            <w:vAlign w:val="center"/>
          </w:tcPr>
          <w:p w14:paraId="4E0B007F">
            <w:pPr>
              <w:widowControl w:val="0"/>
              <w:jc w:val="right"/>
              <w:rPr>
                <w:rFonts w:eastAsiaTheme="minorEastAsia"/>
              </w:rPr>
            </w:pPr>
            <w:r>
              <w:rPr>
                <w:rFonts w:cs="Times New Roman"/>
                <w:color w:val="000000"/>
              </w:rPr>
              <w:t>22</w:t>
            </w:r>
            <w:r>
              <w:rPr>
                <w:rFonts w:hint="eastAsia" w:cs="Times New Roman"/>
                <w:color w:val="000000"/>
              </w:rPr>
              <w:t>5</w:t>
            </w:r>
            <w:r>
              <w:rPr>
                <w:rFonts w:cs="Times New Roman"/>
                <w:color w:val="000000"/>
              </w:rPr>
              <w:t>,325,831.68</w:t>
            </w:r>
          </w:p>
        </w:tc>
        <w:tc>
          <w:tcPr>
            <w:tcW w:w="598" w:type="pct"/>
            <w:vAlign w:val="center"/>
          </w:tcPr>
          <w:p w14:paraId="171ED817">
            <w:pPr>
              <w:widowControl w:val="0"/>
              <w:jc w:val="right"/>
              <w:rPr>
                <w:rFonts w:eastAsiaTheme="minorEastAsia"/>
              </w:rPr>
            </w:pPr>
            <w:r>
              <w:rPr>
                <w:rFonts w:cs="Times New Roman"/>
                <w:color w:val="000000"/>
              </w:rPr>
              <w:t>3.3</w:t>
            </w:r>
            <w:r>
              <w:rPr>
                <w:rFonts w:hint="eastAsia" w:cs="Times New Roman"/>
                <w:color w:val="000000"/>
              </w:rPr>
              <w:t>2</w:t>
            </w:r>
          </w:p>
        </w:tc>
        <w:tc>
          <w:tcPr>
            <w:tcW w:w="871" w:type="pct"/>
            <w:vAlign w:val="center"/>
          </w:tcPr>
          <w:p w14:paraId="15549691">
            <w:pPr>
              <w:widowControl w:val="0"/>
              <w:jc w:val="right"/>
              <w:rPr>
                <w:rFonts w:eastAsiaTheme="minorEastAsia"/>
              </w:rPr>
            </w:pPr>
            <w:r>
              <w:rPr>
                <w:rFonts w:cs="Times New Roman"/>
                <w:color w:val="000000"/>
              </w:rPr>
              <w:t>128,689,870.35</w:t>
            </w:r>
          </w:p>
        </w:tc>
        <w:tc>
          <w:tcPr>
            <w:tcW w:w="576" w:type="pct"/>
            <w:vAlign w:val="center"/>
          </w:tcPr>
          <w:p w14:paraId="6920F298">
            <w:pPr>
              <w:widowControl w:val="0"/>
              <w:jc w:val="right"/>
              <w:rPr>
                <w:rFonts w:eastAsiaTheme="minorEastAsia"/>
              </w:rPr>
            </w:pPr>
            <w:r>
              <w:rPr>
                <w:rFonts w:cs="Times New Roman"/>
                <w:color w:val="000000"/>
              </w:rPr>
              <w:t>1.93</w:t>
            </w:r>
          </w:p>
        </w:tc>
        <w:tc>
          <w:tcPr>
            <w:tcW w:w="555" w:type="pct"/>
            <w:vAlign w:val="center"/>
          </w:tcPr>
          <w:p w14:paraId="30079AB8">
            <w:pPr>
              <w:widowControl w:val="0"/>
              <w:jc w:val="right"/>
              <w:rPr>
                <w:rFonts w:eastAsiaTheme="minorEastAsia"/>
              </w:rPr>
            </w:pPr>
            <w:r>
              <w:rPr>
                <w:rFonts w:cs="Times New Roman"/>
                <w:color w:val="000000"/>
              </w:rPr>
              <w:t>75.</w:t>
            </w:r>
            <w:r>
              <w:rPr>
                <w:rFonts w:hint="eastAsia" w:cs="Times New Roman"/>
                <w:color w:val="000000"/>
              </w:rPr>
              <w:t>09</w:t>
            </w:r>
          </w:p>
        </w:tc>
        <w:tc>
          <w:tcPr>
            <w:tcW w:w="425" w:type="pct"/>
            <w:vAlign w:val="center"/>
          </w:tcPr>
          <w:p w14:paraId="2EC75518">
            <w:pPr>
              <w:widowControl w:val="0"/>
              <w:jc w:val="both"/>
              <w:rPr>
                <w:rFonts w:hint="eastAsia" w:asciiTheme="minorEastAsia" w:hAnsiTheme="minorEastAsia" w:eastAsiaTheme="minorEastAsia"/>
              </w:rPr>
            </w:pPr>
            <w:r>
              <w:rPr>
                <w:rFonts w:hint="eastAsia"/>
                <w:color w:val="000000"/>
              </w:rPr>
              <w:t>　</w:t>
            </w:r>
          </w:p>
        </w:tc>
      </w:tr>
      <w:tr w14:paraId="038E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2DA12546">
            <w:pPr>
              <w:widowControl w:val="0"/>
              <w:jc w:val="both"/>
              <w:rPr>
                <w:rFonts w:hint="eastAsia" w:asciiTheme="minorEastAsia" w:hAnsiTheme="minorEastAsia" w:eastAsiaTheme="minorEastAsia"/>
              </w:rPr>
            </w:pPr>
            <w:r>
              <w:rPr>
                <w:rFonts w:hint="eastAsia"/>
                <w:color w:val="000000"/>
              </w:rPr>
              <w:t>预收账款</w:t>
            </w:r>
          </w:p>
        </w:tc>
        <w:tc>
          <w:tcPr>
            <w:tcW w:w="871" w:type="pct"/>
            <w:vAlign w:val="center"/>
          </w:tcPr>
          <w:p w14:paraId="1A1FB311">
            <w:pPr>
              <w:widowControl w:val="0"/>
              <w:jc w:val="right"/>
              <w:rPr>
                <w:rFonts w:eastAsiaTheme="minorEastAsia"/>
              </w:rPr>
            </w:pPr>
            <w:r>
              <w:rPr>
                <w:rFonts w:cs="Times New Roman"/>
                <w:color w:val="000000"/>
              </w:rPr>
              <w:t>98,412.70</w:t>
            </w:r>
          </w:p>
        </w:tc>
        <w:tc>
          <w:tcPr>
            <w:tcW w:w="598" w:type="pct"/>
            <w:vAlign w:val="center"/>
          </w:tcPr>
          <w:p w14:paraId="4D255556">
            <w:pPr>
              <w:widowControl w:val="0"/>
              <w:jc w:val="right"/>
              <w:rPr>
                <w:rFonts w:eastAsiaTheme="minorEastAsia"/>
              </w:rPr>
            </w:pPr>
            <w:r>
              <w:rPr>
                <w:rFonts w:cs="Times New Roman"/>
                <w:color w:val="000000"/>
              </w:rPr>
              <w:t>0.0014</w:t>
            </w:r>
          </w:p>
        </w:tc>
        <w:tc>
          <w:tcPr>
            <w:tcW w:w="871" w:type="pct"/>
            <w:vAlign w:val="center"/>
          </w:tcPr>
          <w:p w14:paraId="2C47ACFE">
            <w:pPr>
              <w:widowControl w:val="0"/>
              <w:jc w:val="right"/>
              <w:rPr>
                <w:rFonts w:eastAsiaTheme="minorEastAsia"/>
              </w:rPr>
            </w:pPr>
            <w:r>
              <w:rPr>
                <w:rFonts w:cs="Times New Roman"/>
                <w:color w:val="000000"/>
              </w:rPr>
              <w:t>98,412.70</w:t>
            </w:r>
          </w:p>
        </w:tc>
        <w:tc>
          <w:tcPr>
            <w:tcW w:w="576" w:type="pct"/>
            <w:vAlign w:val="center"/>
          </w:tcPr>
          <w:p w14:paraId="54C46390">
            <w:pPr>
              <w:widowControl w:val="0"/>
              <w:jc w:val="right"/>
              <w:rPr>
                <w:rFonts w:eastAsiaTheme="minorEastAsia"/>
              </w:rPr>
            </w:pPr>
            <w:r>
              <w:rPr>
                <w:rFonts w:cs="Times New Roman"/>
                <w:color w:val="000000"/>
              </w:rPr>
              <w:t>0.0015</w:t>
            </w:r>
          </w:p>
        </w:tc>
        <w:tc>
          <w:tcPr>
            <w:tcW w:w="555" w:type="pct"/>
            <w:vAlign w:val="center"/>
          </w:tcPr>
          <w:p w14:paraId="0D2C7C9C">
            <w:pPr>
              <w:widowControl w:val="0"/>
              <w:jc w:val="right"/>
              <w:rPr>
                <w:rFonts w:eastAsiaTheme="minorEastAsia"/>
              </w:rPr>
            </w:pPr>
          </w:p>
        </w:tc>
        <w:tc>
          <w:tcPr>
            <w:tcW w:w="425" w:type="pct"/>
            <w:vAlign w:val="center"/>
          </w:tcPr>
          <w:p w14:paraId="7EB5125B">
            <w:pPr>
              <w:widowControl w:val="0"/>
              <w:jc w:val="both"/>
              <w:rPr>
                <w:rFonts w:hint="eastAsia" w:asciiTheme="minorEastAsia" w:hAnsiTheme="minorEastAsia" w:eastAsiaTheme="minorEastAsia"/>
              </w:rPr>
            </w:pPr>
            <w:r>
              <w:rPr>
                <w:rFonts w:hint="eastAsia"/>
                <w:color w:val="000000"/>
              </w:rPr>
              <w:t>　</w:t>
            </w:r>
          </w:p>
        </w:tc>
      </w:tr>
      <w:tr w14:paraId="4ECE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0284BCFB">
            <w:pPr>
              <w:widowControl w:val="0"/>
              <w:jc w:val="both"/>
              <w:rPr>
                <w:rFonts w:hint="eastAsia" w:asciiTheme="minorEastAsia" w:hAnsiTheme="minorEastAsia" w:eastAsiaTheme="minorEastAsia"/>
              </w:rPr>
            </w:pPr>
            <w:r>
              <w:rPr>
                <w:rFonts w:hint="eastAsia"/>
                <w:color w:val="000000"/>
              </w:rPr>
              <w:t>合同负债</w:t>
            </w:r>
          </w:p>
        </w:tc>
        <w:tc>
          <w:tcPr>
            <w:tcW w:w="871" w:type="pct"/>
            <w:vAlign w:val="center"/>
          </w:tcPr>
          <w:p w14:paraId="3952A6C6">
            <w:pPr>
              <w:widowControl w:val="0"/>
              <w:jc w:val="right"/>
              <w:rPr>
                <w:rFonts w:eastAsiaTheme="minorEastAsia"/>
              </w:rPr>
            </w:pPr>
            <w:r>
              <w:rPr>
                <w:rFonts w:cs="Times New Roman"/>
                <w:color w:val="000000"/>
              </w:rPr>
              <w:t>76,125,091.48</w:t>
            </w:r>
          </w:p>
        </w:tc>
        <w:tc>
          <w:tcPr>
            <w:tcW w:w="598" w:type="pct"/>
            <w:vAlign w:val="center"/>
          </w:tcPr>
          <w:p w14:paraId="32D4DF9C">
            <w:pPr>
              <w:widowControl w:val="0"/>
              <w:jc w:val="right"/>
              <w:rPr>
                <w:rFonts w:eastAsiaTheme="minorEastAsia"/>
              </w:rPr>
            </w:pPr>
            <w:r>
              <w:rPr>
                <w:rFonts w:cs="Times New Roman"/>
                <w:color w:val="000000"/>
              </w:rPr>
              <w:t>1.12</w:t>
            </w:r>
          </w:p>
        </w:tc>
        <w:tc>
          <w:tcPr>
            <w:tcW w:w="871" w:type="pct"/>
            <w:vAlign w:val="center"/>
          </w:tcPr>
          <w:p w14:paraId="2B9340CF">
            <w:pPr>
              <w:widowControl w:val="0"/>
              <w:jc w:val="right"/>
              <w:rPr>
                <w:rFonts w:eastAsiaTheme="minorEastAsia"/>
              </w:rPr>
            </w:pPr>
            <w:r>
              <w:rPr>
                <w:rFonts w:cs="Times New Roman"/>
                <w:color w:val="000000"/>
              </w:rPr>
              <w:t>94,726,213.18</w:t>
            </w:r>
          </w:p>
        </w:tc>
        <w:tc>
          <w:tcPr>
            <w:tcW w:w="576" w:type="pct"/>
            <w:vAlign w:val="center"/>
          </w:tcPr>
          <w:p w14:paraId="4B2A1692">
            <w:pPr>
              <w:widowControl w:val="0"/>
              <w:jc w:val="right"/>
              <w:rPr>
                <w:rFonts w:eastAsiaTheme="minorEastAsia"/>
              </w:rPr>
            </w:pPr>
            <w:r>
              <w:rPr>
                <w:rFonts w:cs="Times New Roman"/>
                <w:color w:val="000000"/>
              </w:rPr>
              <w:t>1.42</w:t>
            </w:r>
          </w:p>
        </w:tc>
        <w:tc>
          <w:tcPr>
            <w:tcW w:w="555" w:type="pct"/>
            <w:vAlign w:val="center"/>
          </w:tcPr>
          <w:p w14:paraId="28B0C2EC">
            <w:pPr>
              <w:widowControl w:val="0"/>
              <w:jc w:val="right"/>
              <w:rPr>
                <w:rFonts w:eastAsiaTheme="minorEastAsia"/>
              </w:rPr>
            </w:pPr>
            <w:r>
              <w:rPr>
                <w:rFonts w:cs="Times New Roman"/>
                <w:color w:val="000000"/>
              </w:rPr>
              <w:t>-19.64</w:t>
            </w:r>
          </w:p>
        </w:tc>
        <w:tc>
          <w:tcPr>
            <w:tcW w:w="425" w:type="pct"/>
            <w:vAlign w:val="center"/>
          </w:tcPr>
          <w:p w14:paraId="20329015">
            <w:pPr>
              <w:widowControl w:val="0"/>
              <w:jc w:val="both"/>
              <w:rPr>
                <w:rFonts w:hint="eastAsia" w:asciiTheme="minorEastAsia" w:hAnsiTheme="minorEastAsia" w:eastAsiaTheme="minorEastAsia"/>
              </w:rPr>
            </w:pPr>
            <w:r>
              <w:rPr>
                <w:rFonts w:hint="eastAsia"/>
                <w:color w:val="000000"/>
              </w:rPr>
              <w:t>　</w:t>
            </w:r>
          </w:p>
        </w:tc>
      </w:tr>
      <w:tr w14:paraId="0FF3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59759B2A">
            <w:pPr>
              <w:widowControl w:val="0"/>
              <w:jc w:val="both"/>
              <w:rPr>
                <w:rFonts w:hint="eastAsia" w:asciiTheme="minorEastAsia" w:hAnsiTheme="minorEastAsia" w:eastAsiaTheme="minorEastAsia"/>
              </w:rPr>
            </w:pPr>
            <w:r>
              <w:rPr>
                <w:rFonts w:hint="eastAsia"/>
                <w:color w:val="000000"/>
              </w:rPr>
              <w:t>应付职工薪酬</w:t>
            </w:r>
          </w:p>
        </w:tc>
        <w:tc>
          <w:tcPr>
            <w:tcW w:w="871" w:type="pct"/>
            <w:vAlign w:val="center"/>
          </w:tcPr>
          <w:p w14:paraId="0FCE80D7">
            <w:pPr>
              <w:widowControl w:val="0"/>
              <w:jc w:val="right"/>
              <w:rPr>
                <w:rFonts w:eastAsiaTheme="minorEastAsia"/>
              </w:rPr>
            </w:pPr>
            <w:r>
              <w:rPr>
                <w:rFonts w:cs="Times New Roman"/>
                <w:color w:val="000000"/>
              </w:rPr>
              <w:t>85,200,811.16</w:t>
            </w:r>
          </w:p>
        </w:tc>
        <w:tc>
          <w:tcPr>
            <w:tcW w:w="598" w:type="pct"/>
            <w:vAlign w:val="center"/>
          </w:tcPr>
          <w:p w14:paraId="00315EC6">
            <w:pPr>
              <w:widowControl w:val="0"/>
              <w:jc w:val="right"/>
              <w:rPr>
                <w:rFonts w:eastAsiaTheme="minorEastAsia"/>
              </w:rPr>
            </w:pPr>
            <w:r>
              <w:rPr>
                <w:rFonts w:cs="Times New Roman"/>
                <w:color w:val="000000"/>
              </w:rPr>
              <w:t>1.25</w:t>
            </w:r>
          </w:p>
        </w:tc>
        <w:tc>
          <w:tcPr>
            <w:tcW w:w="871" w:type="pct"/>
            <w:vAlign w:val="center"/>
          </w:tcPr>
          <w:p w14:paraId="010D7AEB">
            <w:pPr>
              <w:widowControl w:val="0"/>
              <w:jc w:val="right"/>
              <w:rPr>
                <w:rFonts w:eastAsiaTheme="minorEastAsia"/>
              </w:rPr>
            </w:pPr>
            <w:r>
              <w:rPr>
                <w:rFonts w:cs="Times New Roman"/>
                <w:color w:val="000000"/>
              </w:rPr>
              <w:t>93,584,202.70</w:t>
            </w:r>
          </w:p>
        </w:tc>
        <w:tc>
          <w:tcPr>
            <w:tcW w:w="576" w:type="pct"/>
            <w:vAlign w:val="center"/>
          </w:tcPr>
          <w:p w14:paraId="7D314A8F">
            <w:pPr>
              <w:widowControl w:val="0"/>
              <w:jc w:val="right"/>
              <w:rPr>
                <w:rFonts w:eastAsiaTheme="minorEastAsia"/>
              </w:rPr>
            </w:pPr>
            <w:r>
              <w:rPr>
                <w:rFonts w:cs="Times New Roman"/>
                <w:color w:val="000000"/>
              </w:rPr>
              <w:t>1.4</w:t>
            </w:r>
          </w:p>
        </w:tc>
        <w:tc>
          <w:tcPr>
            <w:tcW w:w="555" w:type="pct"/>
            <w:vAlign w:val="center"/>
          </w:tcPr>
          <w:p w14:paraId="67063935">
            <w:pPr>
              <w:widowControl w:val="0"/>
              <w:jc w:val="right"/>
              <w:rPr>
                <w:rFonts w:eastAsiaTheme="minorEastAsia"/>
              </w:rPr>
            </w:pPr>
            <w:r>
              <w:rPr>
                <w:rFonts w:cs="Times New Roman"/>
                <w:color w:val="000000"/>
              </w:rPr>
              <w:t>-8.96</w:t>
            </w:r>
          </w:p>
        </w:tc>
        <w:tc>
          <w:tcPr>
            <w:tcW w:w="425" w:type="pct"/>
            <w:vAlign w:val="center"/>
          </w:tcPr>
          <w:p w14:paraId="74CDA302">
            <w:pPr>
              <w:widowControl w:val="0"/>
              <w:jc w:val="both"/>
              <w:rPr>
                <w:rFonts w:hint="eastAsia" w:asciiTheme="minorEastAsia" w:hAnsiTheme="minorEastAsia" w:eastAsiaTheme="minorEastAsia"/>
              </w:rPr>
            </w:pPr>
            <w:r>
              <w:rPr>
                <w:rFonts w:hint="eastAsia"/>
                <w:color w:val="000000"/>
              </w:rPr>
              <w:t>　</w:t>
            </w:r>
          </w:p>
        </w:tc>
      </w:tr>
      <w:tr w14:paraId="6BA6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08D498C5">
            <w:pPr>
              <w:widowControl w:val="0"/>
              <w:jc w:val="both"/>
              <w:rPr>
                <w:rFonts w:hint="eastAsia" w:asciiTheme="minorEastAsia" w:hAnsiTheme="minorEastAsia" w:eastAsiaTheme="minorEastAsia"/>
              </w:rPr>
            </w:pPr>
            <w:r>
              <w:rPr>
                <w:rFonts w:hint="eastAsia"/>
                <w:color w:val="000000"/>
              </w:rPr>
              <w:t>应交税费</w:t>
            </w:r>
          </w:p>
        </w:tc>
        <w:tc>
          <w:tcPr>
            <w:tcW w:w="871" w:type="pct"/>
            <w:vAlign w:val="center"/>
          </w:tcPr>
          <w:p w14:paraId="5EF57A8E">
            <w:pPr>
              <w:widowControl w:val="0"/>
              <w:jc w:val="right"/>
              <w:rPr>
                <w:rFonts w:eastAsiaTheme="minorEastAsia"/>
              </w:rPr>
            </w:pPr>
            <w:r>
              <w:rPr>
                <w:rFonts w:cs="Times New Roman"/>
                <w:color w:val="000000"/>
              </w:rPr>
              <w:t>27,760,252.43</w:t>
            </w:r>
          </w:p>
        </w:tc>
        <w:tc>
          <w:tcPr>
            <w:tcW w:w="598" w:type="pct"/>
            <w:vAlign w:val="center"/>
          </w:tcPr>
          <w:p w14:paraId="0A6B943F">
            <w:pPr>
              <w:widowControl w:val="0"/>
              <w:jc w:val="right"/>
              <w:rPr>
                <w:rFonts w:eastAsiaTheme="minorEastAsia"/>
              </w:rPr>
            </w:pPr>
            <w:r>
              <w:rPr>
                <w:rFonts w:cs="Times New Roman"/>
                <w:color w:val="000000"/>
              </w:rPr>
              <w:t>0.41</w:t>
            </w:r>
          </w:p>
        </w:tc>
        <w:tc>
          <w:tcPr>
            <w:tcW w:w="871" w:type="pct"/>
            <w:vAlign w:val="center"/>
          </w:tcPr>
          <w:p w14:paraId="5C22F5A0">
            <w:pPr>
              <w:widowControl w:val="0"/>
              <w:jc w:val="right"/>
              <w:rPr>
                <w:rFonts w:eastAsiaTheme="minorEastAsia"/>
              </w:rPr>
            </w:pPr>
            <w:r>
              <w:rPr>
                <w:rFonts w:cs="Times New Roman"/>
                <w:color w:val="000000"/>
              </w:rPr>
              <w:t>28,547,415.04</w:t>
            </w:r>
          </w:p>
        </w:tc>
        <w:tc>
          <w:tcPr>
            <w:tcW w:w="576" w:type="pct"/>
            <w:vAlign w:val="center"/>
          </w:tcPr>
          <w:p w14:paraId="4435D291">
            <w:pPr>
              <w:widowControl w:val="0"/>
              <w:jc w:val="right"/>
              <w:rPr>
                <w:rFonts w:eastAsiaTheme="minorEastAsia"/>
              </w:rPr>
            </w:pPr>
            <w:r>
              <w:rPr>
                <w:rFonts w:cs="Times New Roman"/>
                <w:color w:val="000000"/>
              </w:rPr>
              <w:t>0.43</w:t>
            </w:r>
          </w:p>
        </w:tc>
        <w:tc>
          <w:tcPr>
            <w:tcW w:w="555" w:type="pct"/>
            <w:vAlign w:val="center"/>
          </w:tcPr>
          <w:p w14:paraId="5FDBDD8A">
            <w:pPr>
              <w:widowControl w:val="0"/>
              <w:jc w:val="right"/>
              <w:rPr>
                <w:rFonts w:eastAsiaTheme="minorEastAsia"/>
              </w:rPr>
            </w:pPr>
            <w:r>
              <w:rPr>
                <w:rFonts w:cs="Times New Roman"/>
                <w:color w:val="000000"/>
              </w:rPr>
              <w:t>-2.76</w:t>
            </w:r>
          </w:p>
        </w:tc>
        <w:tc>
          <w:tcPr>
            <w:tcW w:w="425" w:type="pct"/>
            <w:vAlign w:val="center"/>
          </w:tcPr>
          <w:p w14:paraId="10CEE14F">
            <w:pPr>
              <w:widowControl w:val="0"/>
              <w:jc w:val="both"/>
              <w:rPr>
                <w:rFonts w:hint="eastAsia" w:asciiTheme="minorEastAsia" w:hAnsiTheme="minorEastAsia" w:eastAsiaTheme="minorEastAsia"/>
              </w:rPr>
            </w:pPr>
            <w:r>
              <w:rPr>
                <w:rFonts w:hint="eastAsia"/>
                <w:color w:val="000000"/>
              </w:rPr>
              <w:t>　</w:t>
            </w:r>
          </w:p>
        </w:tc>
      </w:tr>
      <w:tr w14:paraId="6723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673BA18A">
            <w:pPr>
              <w:widowControl w:val="0"/>
              <w:jc w:val="both"/>
              <w:rPr>
                <w:rFonts w:hint="eastAsia" w:asciiTheme="minorEastAsia" w:hAnsiTheme="minorEastAsia" w:eastAsiaTheme="minorEastAsia"/>
              </w:rPr>
            </w:pPr>
            <w:r>
              <w:rPr>
                <w:rFonts w:hint="eastAsia"/>
                <w:color w:val="000000"/>
              </w:rPr>
              <w:t>应付利息</w:t>
            </w:r>
          </w:p>
        </w:tc>
        <w:tc>
          <w:tcPr>
            <w:tcW w:w="871" w:type="pct"/>
            <w:vAlign w:val="center"/>
          </w:tcPr>
          <w:p w14:paraId="75B124BD">
            <w:pPr>
              <w:widowControl w:val="0"/>
              <w:jc w:val="right"/>
              <w:rPr>
                <w:rFonts w:eastAsiaTheme="minorEastAsia"/>
              </w:rPr>
            </w:pPr>
            <w:r>
              <w:rPr>
                <w:rFonts w:hint="eastAsia"/>
                <w:color w:val="000000"/>
              </w:rPr>
              <w:t>　</w:t>
            </w:r>
          </w:p>
        </w:tc>
        <w:tc>
          <w:tcPr>
            <w:tcW w:w="598" w:type="pct"/>
            <w:vAlign w:val="center"/>
          </w:tcPr>
          <w:p w14:paraId="27DB5F4C">
            <w:pPr>
              <w:widowControl w:val="0"/>
              <w:jc w:val="right"/>
              <w:rPr>
                <w:rFonts w:eastAsiaTheme="minorEastAsia"/>
              </w:rPr>
            </w:pPr>
          </w:p>
        </w:tc>
        <w:tc>
          <w:tcPr>
            <w:tcW w:w="871" w:type="pct"/>
            <w:vAlign w:val="center"/>
          </w:tcPr>
          <w:p w14:paraId="25E3AB2C">
            <w:pPr>
              <w:widowControl w:val="0"/>
              <w:jc w:val="right"/>
              <w:rPr>
                <w:rFonts w:eastAsiaTheme="minorEastAsia"/>
              </w:rPr>
            </w:pPr>
            <w:r>
              <w:rPr>
                <w:rFonts w:cs="Times New Roman"/>
                <w:color w:val="000000"/>
              </w:rPr>
              <w:t>　</w:t>
            </w:r>
          </w:p>
        </w:tc>
        <w:tc>
          <w:tcPr>
            <w:tcW w:w="576" w:type="pct"/>
            <w:vAlign w:val="center"/>
          </w:tcPr>
          <w:p w14:paraId="2A2A722E">
            <w:pPr>
              <w:widowControl w:val="0"/>
              <w:jc w:val="right"/>
              <w:rPr>
                <w:rFonts w:eastAsiaTheme="minorEastAsia"/>
              </w:rPr>
            </w:pPr>
            <w:r>
              <w:rPr>
                <w:rFonts w:cs="Times New Roman"/>
                <w:color w:val="000000"/>
              </w:rPr>
              <w:t>　</w:t>
            </w:r>
          </w:p>
        </w:tc>
        <w:tc>
          <w:tcPr>
            <w:tcW w:w="555" w:type="pct"/>
            <w:vAlign w:val="center"/>
          </w:tcPr>
          <w:p w14:paraId="396B1538">
            <w:pPr>
              <w:widowControl w:val="0"/>
              <w:jc w:val="right"/>
              <w:rPr>
                <w:rFonts w:eastAsiaTheme="minorEastAsia"/>
              </w:rPr>
            </w:pPr>
            <w:r>
              <w:rPr>
                <w:rFonts w:cs="Times New Roman"/>
                <w:color w:val="000000"/>
              </w:rPr>
              <w:t>　</w:t>
            </w:r>
          </w:p>
        </w:tc>
        <w:tc>
          <w:tcPr>
            <w:tcW w:w="425" w:type="pct"/>
            <w:vAlign w:val="center"/>
          </w:tcPr>
          <w:p w14:paraId="5C19DC42">
            <w:pPr>
              <w:widowControl w:val="0"/>
              <w:jc w:val="both"/>
              <w:rPr>
                <w:rFonts w:hint="eastAsia" w:asciiTheme="minorEastAsia" w:hAnsiTheme="minorEastAsia" w:eastAsiaTheme="minorEastAsia"/>
              </w:rPr>
            </w:pPr>
            <w:r>
              <w:rPr>
                <w:rFonts w:hint="eastAsia"/>
                <w:color w:val="000000"/>
              </w:rPr>
              <w:t>　</w:t>
            </w:r>
          </w:p>
        </w:tc>
      </w:tr>
      <w:tr w14:paraId="7749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62415A0A">
            <w:pPr>
              <w:widowControl w:val="0"/>
              <w:jc w:val="both"/>
              <w:rPr>
                <w:rFonts w:hint="eastAsia" w:asciiTheme="minorEastAsia" w:hAnsiTheme="minorEastAsia" w:eastAsiaTheme="minorEastAsia"/>
              </w:rPr>
            </w:pPr>
            <w:r>
              <w:rPr>
                <w:rFonts w:hint="eastAsia"/>
                <w:color w:val="000000"/>
              </w:rPr>
              <w:t>应付股利</w:t>
            </w:r>
          </w:p>
        </w:tc>
        <w:tc>
          <w:tcPr>
            <w:tcW w:w="871" w:type="pct"/>
            <w:vAlign w:val="center"/>
          </w:tcPr>
          <w:p w14:paraId="0028179D">
            <w:pPr>
              <w:widowControl w:val="0"/>
              <w:jc w:val="right"/>
              <w:rPr>
                <w:rFonts w:eastAsiaTheme="minorEastAsia"/>
              </w:rPr>
            </w:pPr>
            <w:r>
              <w:rPr>
                <w:rFonts w:cs="Times New Roman"/>
                <w:color w:val="000000"/>
              </w:rPr>
              <w:t>12,685,993.28</w:t>
            </w:r>
          </w:p>
        </w:tc>
        <w:tc>
          <w:tcPr>
            <w:tcW w:w="598" w:type="pct"/>
            <w:vAlign w:val="center"/>
          </w:tcPr>
          <w:p w14:paraId="1D1E9DAE">
            <w:pPr>
              <w:widowControl w:val="0"/>
              <w:jc w:val="right"/>
              <w:rPr>
                <w:rFonts w:eastAsiaTheme="minorEastAsia"/>
              </w:rPr>
            </w:pPr>
            <w:r>
              <w:rPr>
                <w:rFonts w:cs="Times New Roman"/>
                <w:color w:val="000000"/>
              </w:rPr>
              <w:t>0.19</w:t>
            </w:r>
          </w:p>
        </w:tc>
        <w:tc>
          <w:tcPr>
            <w:tcW w:w="871" w:type="pct"/>
            <w:vAlign w:val="center"/>
          </w:tcPr>
          <w:p w14:paraId="3A93E62B">
            <w:pPr>
              <w:widowControl w:val="0"/>
              <w:jc w:val="right"/>
              <w:rPr>
                <w:rFonts w:eastAsiaTheme="minorEastAsia"/>
              </w:rPr>
            </w:pPr>
            <w:r>
              <w:rPr>
                <w:rFonts w:cs="Times New Roman"/>
                <w:color w:val="000000"/>
              </w:rPr>
              <w:t>3,783,174.25</w:t>
            </w:r>
          </w:p>
        </w:tc>
        <w:tc>
          <w:tcPr>
            <w:tcW w:w="576" w:type="pct"/>
            <w:vAlign w:val="center"/>
          </w:tcPr>
          <w:p w14:paraId="56F1CC32">
            <w:pPr>
              <w:widowControl w:val="0"/>
              <w:jc w:val="right"/>
              <w:rPr>
                <w:rFonts w:eastAsiaTheme="minorEastAsia"/>
              </w:rPr>
            </w:pPr>
            <w:r>
              <w:rPr>
                <w:rFonts w:cs="Times New Roman"/>
                <w:color w:val="000000"/>
              </w:rPr>
              <w:t>0.06</w:t>
            </w:r>
          </w:p>
        </w:tc>
        <w:tc>
          <w:tcPr>
            <w:tcW w:w="555" w:type="pct"/>
            <w:vAlign w:val="center"/>
          </w:tcPr>
          <w:p w14:paraId="15338C6F">
            <w:pPr>
              <w:widowControl w:val="0"/>
              <w:jc w:val="right"/>
              <w:rPr>
                <w:rFonts w:eastAsiaTheme="minorEastAsia"/>
              </w:rPr>
            </w:pPr>
            <w:r>
              <w:rPr>
                <w:rFonts w:cs="Times New Roman"/>
                <w:color w:val="000000"/>
              </w:rPr>
              <w:t>235.33</w:t>
            </w:r>
          </w:p>
        </w:tc>
        <w:tc>
          <w:tcPr>
            <w:tcW w:w="425" w:type="pct"/>
            <w:vAlign w:val="center"/>
          </w:tcPr>
          <w:p w14:paraId="759F31DF">
            <w:pPr>
              <w:widowControl w:val="0"/>
              <w:jc w:val="both"/>
              <w:rPr>
                <w:rFonts w:hint="eastAsia" w:asciiTheme="minorEastAsia" w:hAnsiTheme="minorEastAsia" w:eastAsiaTheme="minorEastAsia"/>
              </w:rPr>
            </w:pPr>
            <w:r>
              <w:rPr>
                <w:rFonts w:hint="eastAsia"/>
                <w:color w:val="000000"/>
              </w:rPr>
              <w:t>　</w:t>
            </w:r>
          </w:p>
        </w:tc>
      </w:tr>
      <w:tr w14:paraId="170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4ED069CC">
            <w:pPr>
              <w:widowControl w:val="0"/>
              <w:jc w:val="both"/>
              <w:rPr>
                <w:rFonts w:hint="eastAsia" w:asciiTheme="minorEastAsia" w:hAnsiTheme="minorEastAsia" w:eastAsiaTheme="minorEastAsia"/>
              </w:rPr>
            </w:pPr>
            <w:r>
              <w:rPr>
                <w:rFonts w:hint="eastAsia"/>
                <w:color w:val="000000"/>
              </w:rPr>
              <w:t>其他应付款</w:t>
            </w:r>
          </w:p>
        </w:tc>
        <w:tc>
          <w:tcPr>
            <w:tcW w:w="871" w:type="pct"/>
            <w:vAlign w:val="center"/>
          </w:tcPr>
          <w:p w14:paraId="2C778CC1">
            <w:pPr>
              <w:widowControl w:val="0"/>
              <w:jc w:val="right"/>
              <w:rPr>
                <w:rFonts w:eastAsiaTheme="minorEastAsia"/>
              </w:rPr>
            </w:pPr>
            <w:r>
              <w:rPr>
                <w:rFonts w:cs="Times New Roman"/>
                <w:color w:val="000000"/>
              </w:rPr>
              <w:t>35,801,409.91</w:t>
            </w:r>
          </w:p>
        </w:tc>
        <w:tc>
          <w:tcPr>
            <w:tcW w:w="598" w:type="pct"/>
            <w:vAlign w:val="center"/>
          </w:tcPr>
          <w:p w14:paraId="015F9332">
            <w:pPr>
              <w:widowControl w:val="0"/>
              <w:jc w:val="right"/>
              <w:rPr>
                <w:rFonts w:eastAsiaTheme="minorEastAsia"/>
              </w:rPr>
            </w:pPr>
            <w:r>
              <w:rPr>
                <w:rFonts w:cs="Times New Roman"/>
                <w:color w:val="000000"/>
              </w:rPr>
              <w:t>0.53</w:t>
            </w:r>
          </w:p>
        </w:tc>
        <w:tc>
          <w:tcPr>
            <w:tcW w:w="871" w:type="pct"/>
            <w:vAlign w:val="center"/>
          </w:tcPr>
          <w:p w14:paraId="4A9E98CA">
            <w:pPr>
              <w:widowControl w:val="0"/>
              <w:jc w:val="right"/>
              <w:rPr>
                <w:rFonts w:eastAsiaTheme="minorEastAsia"/>
              </w:rPr>
            </w:pPr>
            <w:r>
              <w:rPr>
                <w:rFonts w:cs="Times New Roman"/>
                <w:color w:val="000000"/>
              </w:rPr>
              <w:t>28,613,860.71</w:t>
            </w:r>
          </w:p>
        </w:tc>
        <w:tc>
          <w:tcPr>
            <w:tcW w:w="576" w:type="pct"/>
            <w:vAlign w:val="center"/>
          </w:tcPr>
          <w:p w14:paraId="41585CFE">
            <w:pPr>
              <w:widowControl w:val="0"/>
              <w:jc w:val="right"/>
              <w:rPr>
                <w:rFonts w:eastAsiaTheme="minorEastAsia"/>
              </w:rPr>
            </w:pPr>
            <w:r>
              <w:rPr>
                <w:rFonts w:cs="Times New Roman"/>
                <w:color w:val="000000"/>
              </w:rPr>
              <w:t>0.43</w:t>
            </w:r>
          </w:p>
        </w:tc>
        <w:tc>
          <w:tcPr>
            <w:tcW w:w="555" w:type="pct"/>
            <w:vAlign w:val="center"/>
          </w:tcPr>
          <w:p w14:paraId="75F458E2">
            <w:pPr>
              <w:widowControl w:val="0"/>
              <w:jc w:val="right"/>
              <w:rPr>
                <w:rFonts w:eastAsiaTheme="minorEastAsia"/>
              </w:rPr>
            </w:pPr>
            <w:r>
              <w:rPr>
                <w:rFonts w:cs="Times New Roman"/>
                <w:color w:val="000000"/>
              </w:rPr>
              <w:t>25.12</w:t>
            </w:r>
          </w:p>
        </w:tc>
        <w:tc>
          <w:tcPr>
            <w:tcW w:w="425" w:type="pct"/>
            <w:vAlign w:val="center"/>
          </w:tcPr>
          <w:p w14:paraId="3A02C36C">
            <w:pPr>
              <w:widowControl w:val="0"/>
              <w:jc w:val="both"/>
              <w:rPr>
                <w:rFonts w:hint="eastAsia" w:asciiTheme="minorEastAsia" w:hAnsiTheme="minorEastAsia" w:eastAsiaTheme="minorEastAsia"/>
              </w:rPr>
            </w:pPr>
            <w:r>
              <w:rPr>
                <w:rFonts w:hint="eastAsia"/>
                <w:color w:val="000000"/>
              </w:rPr>
              <w:t>　</w:t>
            </w:r>
          </w:p>
        </w:tc>
      </w:tr>
      <w:tr w14:paraId="4A98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572B098A">
            <w:pPr>
              <w:widowControl w:val="0"/>
              <w:jc w:val="both"/>
              <w:rPr>
                <w:rFonts w:hint="eastAsia" w:asciiTheme="minorEastAsia" w:hAnsiTheme="minorEastAsia" w:eastAsiaTheme="minorEastAsia"/>
              </w:rPr>
            </w:pPr>
            <w:r>
              <w:rPr>
                <w:rFonts w:hint="eastAsia"/>
                <w:color w:val="000000"/>
              </w:rPr>
              <w:t>一年内到期的非流动负债</w:t>
            </w:r>
          </w:p>
        </w:tc>
        <w:tc>
          <w:tcPr>
            <w:tcW w:w="871" w:type="pct"/>
            <w:vAlign w:val="center"/>
          </w:tcPr>
          <w:p w14:paraId="2919D1EB">
            <w:pPr>
              <w:widowControl w:val="0"/>
              <w:jc w:val="right"/>
              <w:rPr>
                <w:rFonts w:eastAsiaTheme="minorEastAsia"/>
              </w:rPr>
            </w:pPr>
            <w:r>
              <w:rPr>
                <w:rFonts w:cs="Times New Roman"/>
                <w:color w:val="000000"/>
              </w:rPr>
              <w:t>69,658,013.34</w:t>
            </w:r>
          </w:p>
        </w:tc>
        <w:tc>
          <w:tcPr>
            <w:tcW w:w="598" w:type="pct"/>
            <w:vAlign w:val="center"/>
          </w:tcPr>
          <w:p w14:paraId="5E96F598">
            <w:pPr>
              <w:widowControl w:val="0"/>
              <w:jc w:val="right"/>
              <w:rPr>
                <w:rFonts w:eastAsiaTheme="minorEastAsia"/>
              </w:rPr>
            </w:pPr>
            <w:r>
              <w:rPr>
                <w:rFonts w:cs="Times New Roman"/>
                <w:color w:val="000000"/>
              </w:rPr>
              <w:t>1.02</w:t>
            </w:r>
          </w:p>
        </w:tc>
        <w:tc>
          <w:tcPr>
            <w:tcW w:w="871" w:type="pct"/>
            <w:vAlign w:val="center"/>
          </w:tcPr>
          <w:p w14:paraId="60589E29">
            <w:pPr>
              <w:widowControl w:val="0"/>
              <w:jc w:val="right"/>
              <w:rPr>
                <w:rFonts w:eastAsiaTheme="minorEastAsia"/>
              </w:rPr>
            </w:pPr>
            <w:r>
              <w:rPr>
                <w:rFonts w:cs="Times New Roman"/>
                <w:color w:val="000000"/>
              </w:rPr>
              <w:t>176,049,773.07</w:t>
            </w:r>
          </w:p>
        </w:tc>
        <w:tc>
          <w:tcPr>
            <w:tcW w:w="576" w:type="pct"/>
            <w:vAlign w:val="center"/>
          </w:tcPr>
          <w:p w14:paraId="42B871D9">
            <w:pPr>
              <w:widowControl w:val="0"/>
              <w:jc w:val="right"/>
              <w:rPr>
                <w:rFonts w:eastAsiaTheme="minorEastAsia"/>
              </w:rPr>
            </w:pPr>
            <w:r>
              <w:rPr>
                <w:rFonts w:cs="Times New Roman"/>
                <w:color w:val="000000"/>
              </w:rPr>
              <w:t>2.64</w:t>
            </w:r>
          </w:p>
        </w:tc>
        <w:tc>
          <w:tcPr>
            <w:tcW w:w="555" w:type="pct"/>
            <w:vAlign w:val="center"/>
          </w:tcPr>
          <w:p w14:paraId="38F45B56">
            <w:pPr>
              <w:widowControl w:val="0"/>
              <w:jc w:val="right"/>
              <w:rPr>
                <w:rFonts w:eastAsiaTheme="minorEastAsia"/>
              </w:rPr>
            </w:pPr>
            <w:r>
              <w:rPr>
                <w:rFonts w:cs="Times New Roman"/>
                <w:color w:val="000000"/>
              </w:rPr>
              <w:t>-60.43</w:t>
            </w:r>
          </w:p>
        </w:tc>
        <w:tc>
          <w:tcPr>
            <w:tcW w:w="425" w:type="pct"/>
            <w:vAlign w:val="center"/>
          </w:tcPr>
          <w:p w14:paraId="1160D35A">
            <w:pPr>
              <w:widowControl w:val="0"/>
              <w:jc w:val="both"/>
              <w:rPr>
                <w:rFonts w:hint="eastAsia" w:asciiTheme="minorEastAsia" w:hAnsiTheme="minorEastAsia" w:eastAsiaTheme="minorEastAsia"/>
              </w:rPr>
            </w:pPr>
            <w:r>
              <w:rPr>
                <w:rFonts w:hint="eastAsia"/>
                <w:color w:val="000000"/>
              </w:rPr>
              <w:t>　</w:t>
            </w:r>
          </w:p>
        </w:tc>
      </w:tr>
      <w:tr w14:paraId="3B7D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66D969C1">
            <w:pPr>
              <w:widowControl w:val="0"/>
              <w:jc w:val="both"/>
              <w:rPr>
                <w:rFonts w:hint="eastAsia" w:asciiTheme="minorEastAsia" w:hAnsiTheme="minorEastAsia" w:eastAsiaTheme="minorEastAsia"/>
              </w:rPr>
            </w:pPr>
            <w:r>
              <w:rPr>
                <w:rFonts w:hint="eastAsia"/>
                <w:color w:val="000000"/>
              </w:rPr>
              <w:t>其他流动负债</w:t>
            </w:r>
          </w:p>
        </w:tc>
        <w:tc>
          <w:tcPr>
            <w:tcW w:w="871" w:type="pct"/>
            <w:vAlign w:val="center"/>
          </w:tcPr>
          <w:p w14:paraId="3DBB03AE">
            <w:pPr>
              <w:widowControl w:val="0"/>
              <w:jc w:val="right"/>
              <w:rPr>
                <w:rFonts w:eastAsiaTheme="minorEastAsia"/>
              </w:rPr>
            </w:pPr>
            <w:r>
              <w:rPr>
                <w:rFonts w:hint="eastAsia" w:cs="Times New Roman"/>
                <w:color w:val="000000"/>
              </w:rPr>
              <w:t>4</w:t>
            </w:r>
            <w:r>
              <w:rPr>
                <w:rFonts w:cs="Times New Roman"/>
                <w:color w:val="000000"/>
              </w:rPr>
              <w:t>,311,745.07</w:t>
            </w:r>
          </w:p>
        </w:tc>
        <w:tc>
          <w:tcPr>
            <w:tcW w:w="598" w:type="pct"/>
            <w:vAlign w:val="center"/>
          </w:tcPr>
          <w:p w14:paraId="4A88F9A2">
            <w:pPr>
              <w:widowControl w:val="0"/>
              <w:jc w:val="right"/>
              <w:rPr>
                <w:rFonts w:eastAsiaTheme="minorEastAsia"/>
              </w:rPr>
            </w:pPr>
            <w:r>
              <w:rPr>
                <w:rFonts w:cs="Times New Roman"/>
                <w:color w:val="000000"/>
              </w:rPr>
              <w:t>0.0</w:t>
            </w:r>
            <w:r>
              <w:rPr>
                <w:rFonts w:hint="eastAsia" w:cs="Times New Roman"/>
                <w:color w:val="000000"/>
              </w:rPr>
              <w:t>6</w:t>
            </w:r>
          </w:p>
        </w:tc>
        <w:tc>
          <w:tcPr>
            <w:tcW w:w="871" w:type="pct"/>
            <w:vAlign w:val="center"/>
          </w:tcPr>
          <w:p w14:paraId="03DDAA60">
            <w:pPr>
              <w:widowControl w:val="0"/>
              <w:jc w:val="right"/>
              <w:rPr>
                <w:rFonts w:eastAsiaTheme="minorEastAsia"/>
              </w:rPr>
            </w:pPr>
            <w:r>
              <w:rPr>
                <w:rFonts w:cs="Times New Roman"/>
                <w:color w:val="000000"/>
              </w:rPr>
              <w:t>5,089,321.16</w:t>
            </w:r>
          </w:p>
        </w:tc>
        <w:tc>
          <w:tcPr>
            <w:tcW w:w="576" w:type="pct"/>
            <w:vAlign w:val="center"/>
          </w:tcPr>
          <w:p w14:paraId="69DDD547">
            <w:pPr>
              <w:widowControl w:val="0"/>
              <w:jc w:val="right"/>
              <w:rPr>
                <w:rFonts w:eastAsiaTheme="minorEastAsia"/>
              </w:rPr>
            </w:pPr>
            <w:r>
              <w:rPr>
                <w:rFonts w:cs="Times New Roman"/>
                <w:color w:val="000000"/>
              </w:rPr>
              <w:t>0.08</w:t>
            </w:r>
          </w:p>
        </w:tc>
        <w:tc>
          <w:tcPr>
            <w:tcW w:w="555" w:type="pct"/>
            <w:vAlign w:val="center"/>
          </w:tcPr>
          <w:p w14:paraId="7E4BEBAB">
            <w:pPr>
              <w:widowControl w:val="0"/>
              <w:jc w:val="right"/>
              <w:rPr>
                <w:rFonts w:eastAsiaTheme="minorEastAsia"/>
              </w:rPr>
            </w:pPr>
            <w:r>
              <w:rPr>
                <w:rFonts w:cs="Times New Roman"/>
                <w:color w:val="000000"/>
              </w:rPr>
              <w:t>-</w:t>
            </w:r>
            <w:r>
              <w:rPr>
                <w:rFonts w:hint="eastAsia" w:cs="Times New Roman"/>
                <w:color w:val="000000"/>
              </w:rPr>
              <w:t>15</w:t>
            </w:r>
            <w:r>
              <w:rPr>
                <w:rFonts w:cs="Times New Roman"/>
                <w:color w:val="000000"/>
              </w:rPr>
              <w:t>.</w:t>
            </w:r>
            <w:r>
              <w:rPr>
                <w:rFonts w:hint="eastAsia" w:cs="Times New Roman"/>
                <w:color w:val="000000"/>
              </w:rPr>
              <w:t>28</w:t>
            </w:r>
          </w:p>
        </w:tc>
        <w:tc>
          <w:tcPr>
            <w:tcW w:w="425" w:type="pct"/>
            <w:vAlign w:val="center"/>
          </w:tcPr>
          <w:p w14:paraId="419CE805">
            <w:pPr>
              <w:widowControl w:val="0"/>
              <w:jc w:val="both"/>
              <w:rPr>
                <w:rFonts w:hint="eastAsia" w:asciiTheme="minorEastAsia" w:hAnsiTheme="minorEastAsia" w:eastAsiaTheme="minorEastAsia"/>
              </w:rPr>
            </w:pPr>
            <w:r>
              <w:rPr>
                <w:rFonts w:hint="eastAsia"/>
                <w:color w:val="000000"/>
              </w:rPr>
              <w:t>　</w:t>
            </w:r>
          </w:p>
        </w:tc>
      </w:tr>
      <w:tr w14:paraId="512B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68FBA80B">
            <w:pPr>
              <w:widowControl w:val="0"/>
              <w:jc w:val="both"/>
              <w:rPr>
                <w:rFonts w:hint="eastAsia" w:asciiTheme="minorEastAsia" w:hAnsiTheme="minorEastAsia" w:eastAsiaTheme="minorEastAsia"/>
              </w:rPr>
            </w:pPr>
            <w:r>
              <w:rPr>
                <w:rFonts w:hint="eastAsia"/>
                <w:color w:val="000000"/>
              </w:rPr>
              <w:t>长期借款</w:t>
            </w:r>
          </w:p>
        </w:tc>
        <w:tc>
          <w:tcPr>
            <w:tcW w:w="871" w:type="pct"/>
            <w:vAlign w:val="center"/>
          </w:tcPr>
          <w:p w14:paraId="196AA12A">
            <w:pPr>
              <w:widowControl w:val="0"/>
              <w:jc w:val="right"/>
              <w:rPr>
                <w:rFonts w:eastAsiaTheme="minorEastAsia"/>
              </w:rPr>
            </w:pPr>
            <w:r>
              <w:rPr>
                <w:rFonts w:cs="Times New Roman"/>
                <w:color w:val="000000"/>
              </w:rPr>
              <w:t>327,348,366.82</w:t>
            </w:r>
          </w:p>
        </w:tc>
        <w:tc>
          <w:tcPr>
            <w:tcW w:w="598" w:type="pct"/>
            <w:vAlign w:val="center"/>
          </w:tcPr>
          <w:p w14:paraId="2AB582B4">
            <w:pPr>
              <w:widowControl w:val="0"/>
              <w:jc w:val="right"/>
              <w:rPr>
                <w:rFonts w:eastAsiaTheme="minorEastAsia"/>
              </w:rPr>
            </w:pPr>
            <w:r>
              <w:rPr>
                <w:rFonts w:cs="Times New Roman"/>
                <w:color w:val="000000"/>
              </w:rPr>
              <w:t>4.82</w:t>
            </w:r>
          </w:p>
        </w:tc>
        <w:tc>
          <w:tcPr>
            <w:tcW w:w="871" w:type="pct"/>
            <w:vAlign w:val="center"/>
          </w:tcPr>
          <w:p w14:paraId="106400F2">
            <w:pPr>
              <w:widowControl w:val="0"/>
              <w:jc w:val="right"/>
              <w:rPr>
                <w:rFonts w:eastAsiaTheme="minorEastAsia"/>
              </w:rPr>
            </w:pPr>
            <w:r>
              <w:rPr>
                <w:rFonts w:cs="Times New Roman"/>
                <w:color w:val="000000"/>
              </w:rPr>
              <w:t>302,848,366.82</w:t>
            </w:r>
          </w:p>
        </w:tc>
        <w:tc>
          <w:tcPr>
            <w:tcW w:w="576" w:type="pct"/>
            <w:vAlign w:val="center"/>
          </w:tcPr>
          <w:p w14:paraId="6784F750">
            <w:pPr>
              <w:widowControl w:val="0"/>
              <w:jc w:val="right"/>
              <w:rPr>
                <w:rFonts w:eastAsiaTheme="minorEastAsia"/>
              </w:rPr>
            </w:pPr>
            <w:r>
              <w:rPr>
                <w:rFonts w:cs="Times New Roman"/>
                <w:color w:val="000000"/>
              </w:rPr>
              <w:t>4.54</w:t>
            </w:r>
          </w:p>
        </w:tc>
        <w:tc>
          <w:tcPr>
            <w:tcW w:w="555" w:type="pct"/>
            <w:vAlign w:val="center"/>
          </w:tcPr>
          <w:p w14:paraId="7310A920">
            <w:pPr>
              <w:widowControl w:val="0"/>
              <w:jc w:val="right"/>
              <w:rPr>
                <w:rFonts w:eastAsiaTheme="minorEastAsia"/>
              </w:rPr>
            </w:pPr>
            <w:r>
              <w:rPr>
                <w:rFonts w:cs="Times New Roman"/>
                <w:color w:val="000000"/>
              </w:rPr>
              <w:t>8.09</w:t>
            </w:r>
          </w:p>
        </w:tc>
        <w:tc>
          <w:tcPr>
            <w:tcW w:w="425" w:type="pct"/>
            <w:vAlign w:val="center"/>
          </w:tcPr>
          <w:p w14:paraId="6135347F">
            <w:pPr>
              <w:widowControl w:val="0"/>
              <w:jc w:val="both"/>
              <w:rPr>
                <w:rFonts w:hint="eastAsia" w:asciiTheme="minorEastAsia" w:hAnsiTheme="minorEastAsia" w:eastAsiaTheme="minorEastAsia"/>
              </w:rPr>
            </w:pPr>
            <w:r>
              <w:rPr>
                <w:rFonts w:hint="eastAsia"/>
                <w:color w:val="000000"/>
              </w:rPr>
              <w:t>　</w:t>
            </w:r>
          </w:p>
        </w:tc>
      </w:tr>
      <w:tr w14:paraId="282E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08D52419">
            <w:pPr>
              <w:widowControl w:val="0"/>
              <w:jc w:val="both"/>
              <w:rPr>
                <w:color w:val="000000"/>
              </w:rPr>
            </w:pPr>
            <w:r>
              <w:rPr>
                <w:rFonts w:hint="eastAsia"/>
                <w:color w:val="000000"/>
              </w:rPr>
              <w:t>租赁负债</w:t>
            </w:r>
          </w:p>
        </w:tc>
        <w:tc>
          <w:tcPr>
            <w:tcW w:w="871" w:type="pct"/>
            <w:vAlign w:val="center"/>
          </w:tcPr>
          <w:p w14:paraId="73D69A1C">
            <w:pPr>
              <w:widowControl w:val="0"/>
              <w:jc w:val="right"/>
              <w:rPr>
                <w:rFonts w:cs="Times New Roman"/>
                <w:color w:val="000000"/>
              </w:rPr>
            </w:pPr>
            <w:r>
              <w:rPr>
                <w:rFonts w:cs="Times New Roman"/>
                <w:color w:val="000000"/>
              </w:rPr>
              <w:t>1,680,178.18</w:t>
            </w:r>
          </w:p>
        </w:tc>
        <w:tc>
          <w:tcPr>
            <w:tcW w:w="598" w:type="pct"/>
            <w:vAlign w:val="center"/>
          </w:tcPr>
          <w:p w14:paraId="0AE32BDF">
            <w:pPr>
              <w:widowControl w:val="0"/>
              <w:jc w:val="right"/>
              <w:rPr>
                <w:rFonts w:cs="Times New Roman"/>
                <w:color w:val="000000"/>
              </w:rPr>
            </w:pPr>
            <w:r>
              <w:rPr>
                <w:rFonts w:cs="Times New Roman"/>
                <w:color w:val="000000"/>
              </w:rPr>
              <w:t>0.02</w:t>
            </w:r>
          </w:p>
        </w:tc>
        <w:tc>
          <w:tcPr>
            <w:tcW w:w="871" w:type="pct"/>
            <w:vAlign w:val="center"/>
          </w:tcPr>
          <w:p w14:paraId="4816BBB0">
            <w:pPr>
              <w:widowControl w:val="0"/>
              <w:jc w:val="right"/>
              <w:rPr>
                <w:rFonts w:eastAsiaTheme="minorEastAsia"/>
              </w:rPr>
            </w:pPr>
            <w:r>
              <w:rPr>
                <w:rFonts w:cs="Times New Roman"/>
                <w:color w:val="000000"/>
              </w:rPr>
              <w:t>2,114,700.16</w:t>
            </w:r>
          </w:p>
        </w:tc>
        <w:tc>
          <w:tcPr>
            <w:tcW w:w="576" w:type="pct"/>
            <w:vAlign w:val="center"/>
          </w:tcPr>
          <w:p w14:paraId="2B2B3930">
            <w:pPr>
              <w:widowControl w:val="0"/>
              <w:jc w:val="right"/>
              <w:rPr>
                <w:rFonts w:eastAsiaTheme="minorEastAsia"/>
              </w:rPr>
            </w:pPr>
            <w:r>
              <w:rPr>
                <w:rFonts w:cs="Times New Roman"/>
                <w:color w:val="000000"/>
              </w:rPr>
              <w:t>0.03</w:t>
            </w:r>
          </w:p>
        </w:tc>
        <w:tc>
          <w:tcPr>
            <w:tcW w:w="555" w:type="pct"/>
            <w:vAlign w:val="center"/>
          </w:tcPr>
          <w:p w14:paraId="343DAFA5">
            <w:pPr>
              <w:widowControl w:val="0"/>
              <w:jc w:val="right"/>
              <w:rPr>
                <w:rFonts w:eastAsiaTheme="minorEastAsia"/>
              </w:rPr>
            </w:pPr>
            <w:r>
              <w:rPr>
                <w:rFonts w:cs="Times New Roman"/>
                <w:color w:val="000000"/>
              </w:rPr>
              <w:t>-20.55</w:t>
            </w:r>
          </w:p>
        </w:tc>
        <w:tc>
          <w:tcPr>
            <w:tcW w:w="425" w:type="pct"/>
            <w:vAlign w:val="center"/>
          </w:tcPr>
          <w:p w14:paraId="3D88122D">
            <w:pPr>
              <w:widowControl w:val="0"/>
              <w:jc w:val="both"/>
              <w:rPr>
                <w:color w:val="000000"/>
              </w:rPr>
            </w:pPr>
            <w:r>
              <w:rPr>
                <w:rFonts w:cs="Times New Roman"/>
                <w:color w:val="000000"/>
              </w:rPr>
              <w:t>　</w:t>
            </w:r>
          </w:p>
        </w:tc>
      </w:tr>
      <w:tr w14:paraId="0343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1B4AABF9">
            <w:pPr>
              <w:widowControl w:val="0"/>
              <w:jc w:val="both"/>
              <w:rPr>
                <w:rFonts w:hint="eastAsia" w:asciiTheme="minorEastAsia" w:hAnsiTheme="minorEastAsia" w:eastAsiaTheme="minorEastAsia"/>
              </w:rPr>
            </w:pPr>
            <w:r>
              <w:rPr>
                <w:rFonts w:hint="eastAsia"/>
                <w:color w:val="000000"/>
              </w:rPr>
              <w:t>长期应付款</w:t>
            </w:r>
          </w:p>
        </w:tc>
        <w:tc>
          <w:tcPr>
            <w:tcW w:w="871" w:type="pct"/>
            <w:vAlign w:val="center"/>
          </w:tcPr>
          <w:p w14:paraId="1AB429AE">
            <w:pPr>
              <w:widowControl w:val="0"/>
              <w:jc w:val="right"/>
              <w:rPr>
                <w:rFonts w:eastAsiaTheme="minorEastAsia"/>
              </w:rPr>
            </w:pPr>
            <w:r>
              <w:rPr>
                <w:rFonts w:cs="Times New Roman"/>
                <w:color w:val="000000"/>
              </w:rPr>
              <w:t>51,928,716.39</w:t>
            </w:r>
          </w:p>
        </w:tc>
        <w:tc>
          <w:tcPr>
            <w:tcW w:w="598" w:type="pct"/>
            <w:vAlign w:val="center"/>
          </w:tcPr>
          <w:p w14:paraId="0CAFB0DC">
            <w:pPr>
              <w:widowControl w:val="0"/>
              <w:jc w:val="right"/>
              <w:rPr>
                <w:rFonts w:eastAsiaTheme="minorEastAsia"/>
              </w:rPr>
            </w:pPr>
            <w:r>
              <w:rPr>
                <w:rFonts w:cs="Times New Roman"/>
                <w:color w:val="000000"/>
              </w:rPr>
              <w:t>0.76</w:t>
            </w:r>
          </w:p>
        </w:tc>
        <w:tc>
          <w:tcPr>
            <w:tcW w:w="871" w:type="pct"/>
            <w:vAlign w:val="center"/>
          </w:tcPr>
          <w:p w14:paraId="4B20A7AF">
            <w:pPr>
              <w:widowControl w:val="0"/>
              <w:jc w:val="right"/>
              <w:rPr>
                <w:rFonts w:eastAsiaTheme="minorEastAsia"/>
              </w:rPr>
            </w:pPr>
            <w:r>
              <w:rPr>
                <w:rFonts w:cs="Times New Roman"/>
                <w:color w:val="000000"/>
              </w:rPr>
              <w:t>21,462,317.06</w:t>
            </w:r>
          </w:p>
        </w:tc>
        <w:tc>
          <w:tcPr>
            <w:tcW w:w="576" w:type="pct"/>
            <w:vAlign w:val="center"/>
          </w:tcPr>
          <w:p w14:paraId="3ECDD484">
            <w:pPr>
              <w:widowControl w:val="0"/>
              <w:jc w:val="right"/>
              <w:rPr>
                <w:rFonts w:eastAsiaTheme="minorEastAsia"/>
              </w:rPr>
            </w:pPr>
            <w:r>
              <w:rPr>
                <w:rFonts w:cs="Times New Roman"/>
                <w:color w:val="000000"/>
              </w:rPr>
              <w:t>0.32</w:t>
            </w:r>
          </w:p>
        </w:tc>
        <w:tc>
          <w:tcPr>
            <w:tcW w:w="555" w:type="pct"/>
            <w:vAlign w:val="center"/>
          </w:tcPr>
          <w:p w14:paraId="795EB406">
            <w:pPr>
              <w:widowControl w:val="0"/>
              <w:jc w:val="right"/>
              <w:rPr>
                <w:rFonts w:eastAsiaTheme="minorEastAsia"/>
              </w:rPr>
            </w:pPr>
            <w:r>
              <w:rPr>
                <w:rFonts w:cs="Times New Roman"/>
                <w:color w:val="000000"/>
              </w:rPr>
              <w:t>141.95</w:t>
            </w:r>
          </w:p>
        </w:tc>
        <w:tc>
          <w:tcPr>
            <w:tcW w:w="425" w:type="pct"/>
            <w:vAlign w:val="center"/>
          </w:tcPr>
          <w:p w14:paraId="412D55D9">
            <w:pPr>
              <w:widowControl w:val="0"/>
              <w:jc w:val="both"/>
              <w:rPr>
                <w:rFonts w:hint="eastAsia" w:asciiTheme="minorEastAsia" w:hAnsiTheme="minorEastAsia" w:eastAsiaTheme="minorEastAsia"/>
              </w:rPr>
            </w:pPr>
            <w:r>
              <w:rPr>
                <w:rFonts w:hint="eastAsia"/>
                <w:color w:val="000000"/>
              </w:rPr>
              <w:t>　</w:t>
            </w:r>
          </w:p>
        </w:tc>
      </w:tr>
      <w:tr w14:paraId="741B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43819717">
            <w:pPr>
              <w:widowControl w:val="0"/>
              <w:jc w:val="both"/>
              <w:rPr>
                <w:rFonts w:hint="eastAsia" w:asciiTheme="minorEastAsia" w:hAnsiTheme="minorEastAsia" w:eastAsiaTheme="minorEastAsia"/>
              </w:rPr>
            </w:pPr>
            <w:r>
              <w:rPr>
                <w:rFonts w:hint="eastAsia"/>
                <w:color w:val="000000"/>
              </w:rPr>
              <w:t>递延收益</w:t>
            </w:r>
          </w:p>
        </w:tc>
        <w:tc>
          <w:tcPr>
            <w:tcW w:w="871" w:type="pct"/>
            <w:vAlign w:val="center"/>
          </w:tcPr>
          <w:p w14:paraId="5D8E2E8A">
            <w:pPr>
              <w:widowControl w:val="0"/>
              <w:jc w:val="right"/>
              <w:rPr>
                <w:rFonts w:eastAsiaTheme="minorEastAsia"/>
              </w:rPr>
            </w:pPr>
            <w:r>
              <w:rPr>
                <w:rFonts w:cs="Times New Roman"/>
                <w:color w:val="000000"/>
              </w:rPr>
              <w:t>92,369,329.19</w:t>
            </w:r>
          </w:p>
        </w:tc>
        <w:tc>
          <w:tcPr>
            <w:tcW w:w="598" w:type="pct"/>
            <w:vAlign w:val="center"/>
          </w:tcPr>
          <w:p w14:paraId="329C452B">
            <w:pPr>
              <w:widowControl w:val="0"/>
              <w:jc w:val="right"/>
              <w:rPr>
                <w:rFonts w:eastAsiaTheme="minorEastAsia"/>
              </w:rPr>
            </w:pPr>
            <w:r>
              <w:rPr>
                <w:rFonts w:cs="Times New Roman"/>
                <w:color w:val="000000"/>
              </w:rPr>
              <w:t>1.36</w:t>
            </w:r>
          </w:p>
        </w:tc>
        <w:tc>
          <w:tcPr>
            <w:tcW w:w="871" w:type="pct"/>
            <w:vAlign w:val="center"/>
          </w:tcPr>
          <w:p w14:paraId="30163EB7">
            <w:pPr>
              <w:widowControl w:val="0"/>
              <w:jc w:val="right"/>
              <w:rPr>
                <w:rFonts w:eastAsiaTheme="minorEastAsia"/>
              </w:rPr>
            </w:pPr>
            <w:r>
              <w:rPr>
                <w:rFonts w:cs="Times New Roman"/>
                <w:color w:val="000000"/>
              </w:rPr>
              <w:t>94,135,366.21</w:t>
            </w:r>
          </w:p>
        </w:tc>
        <w:tc>
          <w:tcPr>
            <w:tcW w:w="576" w:type="pct"/>
            <w:vAlign w:val="center"/>
          </w:tcPr>
          <w:p w14:paraId="6070BFE1">
            <w:pPr>
              <w:widowControl w:val="0"/>
              <w:jc w:val="right"/>
              <w:rPr>
                <w:rFonts w:eastAsiaTheme="minorEastAsia"/>
              </w:rPr>
            </w:pPr>
            <w:r>
              <w:rPr>
                <w:rFonts w:cs="Times New Roman"/>
                <w:color w:val="000000"/>
              </w:rPr>
              <w:t>1.41</w:t>
            </w:r>
          </w:p>
        </w:tc>
        <w:tc>
          <w:tcPr>
            <w:tcW w:w="555" w:type="pct"/>
            <w:vAlign w:val="center"/>
          </w:tcPr>
          <w:p w14:paraId="607E0CED">
            <w:pPr>
              <w:widowControl w:val="0"/>
              <w:jc w:val="right"/>
              <w:rPr>
                <w:rFonts w:eastAsiaTheme="minorEastAsia"/>
              </w:rPr>
            </w:pPr>
            <w:r>
              <w:rPr>
                <w:rFonts w:cs="Times New Roman"/>
                <w:color w:val="000000"/>
              </w:rPr>
              <w:t>-1.88</w:t>
            </w:r>
          </w:p>
        </w:tc>
        <w:tc>
          <w:tcPr>
            <w:tcW w:w="425" w:type="pct"/>
            <w:vAlign w:val="center"/>
          </w:tcPr>
          <w:p w14:paraId="5EC2D968">
            <w:pPr>
              <w:widowControl w:val="0"/>
              <w:jc w:val="both"/>
              <w:rPr>
                <w:rFonts w:hint="eastAsia" w:asciiTheme="minorEastAsia" w:hAnsiTheme="minorEastAsia" w:eastAsiaTheme="minorEastAsia"/>
              </w:rPr>
            </w:pPr>
            <w:r>
              <w:rPr>
                <w:rFonts w:hint="eastAsia"/>
                <w:color w:val="000000"/>
              </w:rPr>
              <w:t>　</w:t>
            </w:r>
          </w:p>
        </w:tc>
      </w:tr>
      <w:tr w14:paraId="45EB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103" w:type="pct"/>
            <w:vAlign w:val="center"/>
          </w:tcPr>
          <w:p w14:paraId="55947464">
            <w:pPr>
              <w:widowControl w:val="0"/>
              <w:jc w:val="both"/>
              <w:rPr>
                <w:rFonts w:hint="eastAsia" w:asciiTheme="minorEastAsia" w:hAnsiTheme="minorEastAsia" w:eastAsiaTheme="minorEastAsia"/>
              </w:rPr>
            </w:pPr>
            <w:r>
              <w:rPr>
                <w:rFonts w:hint="eastAsia"/>
                <w:color w:val="000000"/>
              </w:rPr>
              <w:t>递延所得税负债</w:t>
            </w:r>
          </w:p>
        </w:tc>
        <w:tc>
          <w:tcPr>
            <w:tcW w:w="871" w:type="pct"/>
            <w:vAlign w:val="center"/>
          </w:tcPr>
          <w:p w14:paraId="3B41F286">
            <w:pPr>
              <w:widowControl w:val="0"/>
              <w:jc w:val="right"/>
              <w:rPr>
                <w:rFonts w:eastAsiaTheme="minorEastAsia"/>
              </w:rPr>
            </w:pPr>
            <w:r>
              <w:rPr>
                <w:rFonts w:cs="Times New Roman"/>
                <w:color w:val="000000"/>
              </w:rPr>
              <w:t>30,926,367.18</w:t>
            </w:r>
          </w:p>
        </w:tc>
        <w:tc>
          <w:tcPr>
            <w:tcW w:w="598" w:type="pct"/>
            <w:vAlign w:val="center"/>
          </w:tcPr>
          <w:p w14:paraId="6C01E27B">
            <w:pPr>
              <w:widowControl w:val="0"/>
              <w:jc w:val="right"/>
              <w:rPr>
                <w:rFonts w:eastAsiaTheme="minorEastAsia"/>
              </w:rPr>
            </w:pPr>
            <w:r>
              <w:rPr>
                <w:rFonts w:cs="Times New Roman"/>
                <w:color w:val="000000"/>
              </w:rPr>
              <w:t>0.45</w:t>
            </w:r>
          </w:p>
        </w:tc>
        <w:tc>
          <w:tcPr>
            <w:tcW w:w="871" w:type="pct"/>
            <w:vAlign w:val="center"/>
          </w:tcPr>
          <w:p w14:paraId="1F5A86CA">
            <w:pPr>
              <w:widowControl w:val="0"/>
              <w:jc w:val="right"/>
              <w:rPr>
                <w:rFonts w:eastAsiaTheme="minorEastAsia"/>
              </w:rPr>
            </w:pPr>
            <w:r>
              <w:rPr>
                <w:rFonts w:cs="Times New Roman"/>
                <w:color w:val="000000"/>
              </w:rPr>
              <w:t>30,926,367.18</w:t>
            </w:r>
          </w:p>
        </w:tc>
        <w:tc>
          <w:tcPr>
            <w:tcW w:w="576" w:type="pct"/>
            <w:vAlign w:val="center"/>
          </w:tcPr>
          <w:p w14:paraId="6EF1C1D5">
            <w:pPr>
              <w:widowControl w:val="0"/>
              <w:jc w:val="right"/>
              <w:rPr>
                <w:rFonts w:eastAsiaTheme="minorEastAsia"/>
              </w:rPr>
            </w:pPr>
            <w:r>
              <w:rPr>
                <w:rFonts w:cs="Times New Roman"/>
                <w:color w:val="000000"/>
              </w:rPr>
              <w:t>0.46</w:t>
            </w:r>
          </w:p>
        </w:tc>
        <w:tc>
          <w:tcPr>
            <w:tcW w:w="555" w:type="pct"/>
            <w:vAlign w:val="center"/>
          </w:tcPr>
          <w:p w14:paraId="4BA5E909">
            <w:pPr>
              <w:widowControl w:val="0"/>
              <w:jc w:val="right"/>
              <w:rPr>
                <w:rFonts w:eastAsiaTheme="minorEastAsia"/>
              </w:rPr>
            </w:pPr>
          </w:p>
        </w:tc>
        <w:tc>
          <w:tcPr>
            <w:tcW w:w="425" w:type="pct"/>
            <w:vAlign w:val="center"/>
          </w:tcPr>
          <w:p w14:paraId="36E9E466">
            <w:pPr>
              <w:widowControl w:val="0"/>
              <w:jc w:val="both"/>
              <w:rPr>
                <w:rFonts w:hint="eastAsia" w:asciiTheme="minorEastAsia" w:hAnsiTheme="minorEastAsia" w:eastAsiaTheme="minorEastAsia"/>
              </w:rPr>
            </w:pPr>
            <w:r>
              <w:rPr>
                <w:rFonts w:hint="eastAsia"/>
                <w:color w:val="000000"/>
              </w:rPr>
              <w:t>　</w:t>
            </w:r>
          </w:p>
        </w:tc>
      </w:tr>
      <w:bookmarkEnd w:id="45"/>
    </w:tbl>
    <w:p w14:paraId="05FBBCEE">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rFonts w:hint="eastAsia"/>
          <w:color w:val="000000" w:themeColor="text1"/>
          <w14:textFill>
            <w14:solidFill>
              <w14:schemeClr w14:val="tx1"/>
            </w14:solidFill>
          </w14:textFill>
        </w:rPr>
        <w:alias w:val="资产及负债状况的其他说明"/>
        <w:tag w:val="_GBC_cb3eda90e3e24589a444c633ca113f7e"/>
        <w:id w:val="177393075"/>
        <w:placeholder>
          <w:docPart w:val="GBC22222222222222222222222222222"/>
        </w:placeholder>
      </w:sdtPr>
      <w:sdtEndPr>
        <w:rPr>
          <w:rFonts w:hint="eastAsia"/>
          <w:color w:val="000000" w:themeColor="text1"/>
          <w14:textFill>
            <w14:solidFill>
              <w14:schemeClr w14:val="tx1"/>
            </w14:solidFill>
          </w14:textFill>
        </w:rPr>
      </w:sdtEndPr>
      <w:sdtContent>
        <w:p w14:paraId="673B443A">
          <w:pPr>
            <w:numPr>
              <w:ilvl w:val="0"/>
              <w:numId w:val="9"/>
            </w:num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货币资金较年初增加28.29%，主要系报告期内保证金增加11,800.00万元所致；</w:t>
          </w:r>
        </w:p>
        <w:p w14:paraId="67B5432E">
          <w:pPr>
            <w:numPr>
              <w:ilvl w:val="0"/>
              <w:numId w:val="9"/>
            </w:num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预付账款较年初增加84.63%，主要系报告期内子公司预付供应商货款增加642.37万元所致；</w:t>
          </w:r>
        </w:p>
        <w:p w14:paraId="2FDF1AF2">
          <w:pPr>
            <w:numPr>
              <w:ilvl w:val="0"/>
              <w:numId w:val="9"/>
            </w:num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其他应收款较年初增加137.00%，主要系报告期内政府所欠燃油补贴1,500万元通过公司贷款转政府用于支付所欠公司燃油补贴所致。</w:t>
          </w:r>
        </w:p>
        <w:p w14:paraId="1D198A96">
          <w:pPr>
            <w:numPr>
              <w:ilvl w:val="0"/>
              <w:numId w:val="9"/>
            </w:num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一年内到期的非流动资产较年初增加69.13%，主要系报告期内期末一年内到期的定期存单及利息增加3,970.93万元所致；</w:t>
          </w:r>
        </w:p>
        <w:p w14:paraId="77E659B5">
          <w:pPr>
            <w:numPr>
              <w:ilvl w:val="0"/>
              <w:numId w:val="9"/>
            </w:num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其他流动资产较年初减少46.61%，主要系报告期内期末留抵增值税较上期减少1,309.16万元所致；</w:t>
          </w:r>
        </w:p>
        <w:p w14:paraId="5B0C5DF4">
          <w:pPr>
            <w:numPr>
              <w:ilvl w:val="0"/>
              <w:numId w:val="9"/>
            </w:num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长期应收款较年初增加48.39%，</w:t>
          </w:r>
          <w:r>
            <w:rPr>
              <w:color w:val="000000" w:themeColor="text1"/>
              <w14:textFill>
                <w14:solidFill>
                  <w14:schemeClr w14:val="tx1"/>
                </w14:solidFill>
              </w14:textFill>
            </w:rPr>
            <w:t>主要系报告期内母公司增加华商汇通融资租赁有限公司租赁保证金150.00万元所致</w:t>
          </w:r>
          <w:r>
            <w:rPr>
              <w:rFonts w:hint="eastAsia"/>
              <w:color w:val="000000" w:themeColor="text1"/>
              <w14:textFill>
                <w14:solidFill>
                  <w14:schemeClr w14:val="tx1"/>
                </w14:solidFill>
              </w14:textFill>
            </w:rPr>
            <w:t>；</w:t>
          </w:r>
        </w:p>
        <w:p w14:paraId="047D3462">
          <w:pPr>
            <w:numPr>
              <w:ilvl w:val="0"/>
              <w:numId w:val="9"/>
            </w:num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其他非流动金融资产较年初减少37.67%，主要系报告期内母公司投资的非流动金融资产到期所致；</w:t>
          </w:r>
        </w:p>
        <w:p w14:paraId="524F45CD">
          <w:pPr>
            <w:numPr>
              <w:ilvl w:val="0"/>
              <w:numId w:val="9"/>
            </w:num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在建工程较年初增加63.16%，主要系报告期内母公司育苗车间管道工程74.70万元及其他零星工程32.54万元所致；</w:t>
          </w:r>
        </w:p>
        <w:p w14:paraId="4635BE23">
          <w:pPr>
            <w:numPr>
              <w:ilvl w:val="0"/>
              <w:numId w:val="9"/>
            </w:num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其他非流动资产较年初减少34.41%，主要系报告期内母公司三年内定期存单及利息6,810.32万元到期所致；</w:t>
          </w:r>
        </w:p>
        <w:p w14:paraId="16CC1770">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10、应付账款较年初增加75.09%，主要系报告期内母公司购买海域使用权应付款9,964.00万元所致；</w:t>
          </w:r>
        </w:p>
        <w:p w14:paraId="2EABEB8C">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11、其他付款较年初增加25.12%，主要系报告期内母公司未付2025年分红股利897.05万元所致；</w:t>
          </w:r>
        </w:p>
        <w:p w14:paraId="147814C2">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12、一年内到期的非流动负债较年初降低60.43％，主要系报告期内归还租赁本金及长期借款本金10,487.92万元所致；</w:t>
          </w:r>
        </w:p>
        <w:p w14:paraId="5DC1011C">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13、长期应付款较年初增加141.95％，主要系报告期内母公司增加华商汇通融资租赁有限公司融资款2,650.00万元及控股子公司-荣成荣东食品有限公司增加永赢金融租赁有限公司融资款520.00万元所致；</w:t>
          </w:r>
        </w:p>
        <w:p w14:paraId="258BB567">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14、应付股利较年初增加235.33%，主要系报告期内母公司未付2025年分红股利897.05万元所致；</w:t>
          </w:r>
        </w:p>
      </w:sdtContent>
    </w:sdt>
    <w:p w14:paraId="7BBAFA12">
      <w:pPr>
        <w:rPr>
          <w:color w:val="000000" w:themeColor="text1"/>
          <w14:textFill>
            <w14:solidFill>
              <w14:schemeClr w14:val="tx1"/>
            </w14:solidFill>
          </w14:textFill>
        </w:rPr>
      </w:pPr>
    </w:p>
    <w:bookmarkEnd w:id="44"/>
    <w:p w14:paraId="4F187395">
      <w:pPr>
        <w:pStyle w:val="5"/>
        <w:numPr>
          <w:ilvl w:val="0"/>
          <w:numId w:val="8"/>
        </w:numPr>
        <w:ind w:left="0" w:firstLine="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境外资产</w:t>
      </w:r>
      <w:r>
        <w:rPr>
          <w:rFonts w:ascii="宋体" w:hAnsi="宋体"/>
          <w:color w:val="000000" w:themeColor="text1"/>
          <w:szCs w:val="21"/>
          <w14:textFill>
            <w14:solidFill>
              <w14:schemeClr w14:val="tx1"/>
            </w14:solidFill>
          </w14:textFill>
        </w:rPr>
        <w:t>情</w:t>
      </w:r>
      <w:r>
        <w:rPr>
          <w:rFonts w:hint="eastAsia" w:ascii="宋体" w:hAnsi="宋体"/>
          <w:color w:val="000000" w:themeColor="text1"/>
          <w:szCs w:val="21"/>
          <w14:textFill>
            <w14:solidFill>
              <w14:schemeClr w14:val="tx1"/>
            </w14:solidFill>
          </w14:textFill>
        </w:rPr>
        <w:t>况</w:t>
      </w:r>
    </w:p>
    <w:sdt>
      <w:sdtPr>
        <w:rPr>
          <w:color w:val="000000" w:themeColor="text1"/>
          <w14:textFill>
            <w14:solidFill>
              <w14:schemeClr w14:val="tx1"/>
            </w14:solidFill>
          </w14:textFill>
        </w:rPr>
        <w:alias w:val="是否适用：境外资产情况 [双击切换]"/>
        <w:tag w:val="_GBC_95d71e9a9dcd4966863ba2859a3bf0b7"/>
        <w:id w:val="-1243476449"/>
        <w:placeholder>
          <w:docPart w:val="GBC22222222222222222222222222222"/>
        </w:placeholder>
      </w:sdtPr>
      <w:sdtEndPr>
        <w:rPr>
          <w:color w:val="000000" w:themeColor="text1"/>
          <w14:textFill>
            <w14:solidFill>
              <w14:schemeClr w14:val="tx1"/>
            </w14:solidFill>
          </w14:textFill>
        </w:rPr>
      </w:sdtEndPr>
      <w:sdtContent>
        <w:p w14:paraId="7816FC7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4E012D6">
      <w:pPr>
        <w:rPr>
          <w:color w:val="000000" w:themeColor="text1"/>
          <w14:textFill>
            <w14:solidFill>
              <w14:schemeClr w14:val="tx1"/>
            </w14:solidFill>
          </w14:textFill>
        </w:rPr>
      </w:pPr>
      <w:bookmarkStart w:id="46" w:name="_Hlk105685192"/>
    </w:p>
    <w:p w14:paraId="433F58CF">
      <w:pPr>
        <w:rPr>
          <w:color w:val="000000" w:themeColor="text1"/>
          <w14:textFill>
            <w14:solidFill>
              <w14:schemeClr w14:val="tx1"/>
            </w14:solidFill>
          </w14:textFill>
        </w:rPr>
      </w:pPr>
    </w:p>
    <w:bookmarkEnd w:id="46"/>
    <w:p w14:paraId="703ED876">
      <w:pPr>
        <w:pStyle w:val="5"/>
        <w:numPr>
          <w:ilvl w:val="0"/>
          <w:numId w:val="8"/>
        </w:num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截至报告期末主要资产受限情</w:t>
      </w:r>
      <w:r>
        <w:rPr>
          <w:rFonts w:hint="eastAsia" w:ascii="宋体" w:hAnsi="宋体"/>
          <w:color w:val="000000" w:themeColor="text1"/>
          <w:szCs w:val="21"/>
          <w14:textFill>
            <w14:solidFill>
              <w14:schemeClr w14:val="tx1"/>
            </w14:solidFill>
          </w14:textFill>
        </w:rPr>
        <w:t>况</w:t>
      </w:r>
    </w:p>
    <w:sdt>
      <w:sdtPr>
        <w:rPr>
          <w:rFonts w:hint="eastAsia"/>
          <w:color w:val="000000" w:themeColor="text1"/>
          <w14:textFill>
            <w14:solidFill>
              <w14:schemeClr w14:val="tx1"/>
            </w14:solidFill>
          </w14:textFill>
        </w:rPr>
        <w:alias w:val="是否适用：主要资产受限情况[双击切换]"/>
        <w:tag w:val="_GBC_e9f1a2b3f13345eaac848c40837fffbb"/>
        <w:id w:val="242457645"/>
        <w:placeholder>
          <w:docPart w:val="GBC22222222222222222222222222222"/>
        </w:placeholder>
      </w:sdtPr>
      <w:sdtEndPr>
        <w:rPr>
          <w:rFonts w:hint="eastAsia"/>
          <w:color w:val="000000" w:themeColor="text1"/>
          <w14:textFill>
            <w14:solidFill>
              <w14:schemeClr w14:val="tx1"/>
            </w14:solidFill>
          </w14:textFill>
        </w:rPr>
      </w:sdtEndPr>
      <w:sdtContent>
        <w:p w14:paraId="360309D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D9DA1B9">
      <w:pPr>
        <w:rPr>
          <w:color w:val="000000" w:themeColor="text1"/>
          <w14:textFill>
            <w14:solidFill>
              <w14:schemeClr w14:val="tx1"/>
            </w14:solidFill>
          </w14:textFill>
        </w:rPr>
      </w:pPr>
    </w:p>
    <w:p w14:paraId="13521286">
      <w:pPr>
        <w:pStyle w:val="5"/>
        <w:numPr>
          <w:ilvl w:val="0"/>
          <w:numId w:val="8"/>
        </w:num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其他说明</w:t>
      </w:r>
    </w:p>
    <w:sdt>
      <w:sdtPr>
        <w:rPr>
          <w:rFonts w:hint="eastAsia"/>
          <w:color w:val="000000" w:themeColor="text1"/>
          <w14:textFill>
            <w14:solidFill>
              <w14:schemeClr w14:val="tx1"/>
            </w14:solidFill>
          </w14:textFill>
        </w:rPr>
        <w:alias w:val="是否适用：资产及负债状况的其他说明[双击切换]"/>
        <w:tag w:val="_GBC_ba674147d80648fba521aedf33ce0b27"/>
        <w:id w:val="-1456866932"/>
        <w:placeholder>
          <w:docPart w:val="GBC22222222222222222222222222222"/>
        </w:placeholder>
      </w:sdtPr>
      <w:sdtEndPr>
        <w:rPr>
          <w:rFonts w:hint="eastAsia"/>
          <w:color w:val="000000" w:themeColor="text1"/>
          <w14:textFill>
            <w14:solidFill>
              <w14:schemeClr w14:val="tx1"/>
            </w14:solidFill>
          </w14:textFill>
        </w:rPr>
      </w:sdtEndPr>
      <w:sdtContent>
        <w:p w14:paraId="4E9D49C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323A8B1">
      <w:pPr>
        <w:rPr>
          <w:color w:val="000000" w:themeColor="text1"/>
          <w14:textFill>
            <w14:solidFill>
              <w14:schemeClr w14:val="tx1"/>
            </w14:solidFill>
          </w14:textFill>
        </w:rPr>
      </w:pPr>
    </w:p>
    <w:p w14:paraId="0A0B4288">
      <w:pPr>
        <w:pStyle w:val="4"/>
        <w:numPr>
          <w:ilvl w:val="0"/>
          <w:numId w:val="6"/>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投资状况分析</w:t>
      </w:r>
    </w:p>
    <w:p w14:paraId="6D03FFAC">
      <w:pPr>
        <w:pStyle w:val="5"/>
        <w:numPr>
          <w:ilvl w:val="0"/>
          <w:numId w:val="10"/>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对外股权投资总体分析</w:t>
      </w:r>
    </w:p>
    <w:p w14:paraId="4D745705">
      <w:pPr>
        <w:rPr>
          <w:color w:val="000000" w:themeColor="text1"/>
          <w14:textFill>
            <w14:solidFill>
              <w14:schemeClr w14:val="tx1"/>
            </w14:solidFill>
          </w14:textFill>
        </w:rPr>
      </w:pPr>
      <w:sdt>
        <w:sdtPr>
          <w:rPr>
            <w:color w:val="000000" w:themeColor="text1"/>
            <w14:textFill>
              <w14:solidFill>
                <w14:schemeClr w14:val="tx1"/>
              </w14:solidFill>
            </w14:textFill>
          </w:rPr>
          <w:alias w:val="是否适用：对外股权投资总体分析[双击切换]"/>
          <w:tag w:val="_GBC_d1852fb41d2a420f9f1d78c35235341a"/>
          <w:id w:val="1632747332"/>
          <w:placeholder>
            <w:docPart w:val="GBC22222222222222222222222222222"/>
          </w:placeholder>
        </w:sdtPr>
        <w:sdtEndPr>
          <w:rPr>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sdt>
      <w:sdtPr>
        <w:rPr>
          <w:color w:val="000000" w:themeColor="text1"/>
          <w14:textFill>
            <w14:solidFill>
              <w14:schemeClr w14:val="tx1"/>
            </w14:solidFill>
          </w14:textFill>
        </w:rPr>
        <w:alias w:val="对外股权投资总体分析"/>
        <w:tag w:val="_GBC_cef6637b11fc44ed960eb269931b50e8"/>
        <w:id w:val="-183213705"/>
        <w:placeholder>
          <w:docPart w:val="GBC22222222222222222222222222222"/>
        </w:placeholder>
      </w:sdtPr>
      <w:sdtEndPr>
        <w:rPr>
          <w:color w:val="000000" w:themeColor="text1"/>
          <w14:textFill>
            <w14:solidFill>
              <w14:schemeClr w14:val="tx1"/>
            </w14:solidFill>
          </w14:textFill>
        </w:rPr>
      </w:sdtEndPr>
      <w:sdtContent>
        <w:p w14:paraId="033B3AF4">
          <w:pPr>
            <w:spacing w:line="360" w:lineRule="auto"/>
            <w:ind w:firstLine="420" w:firstLineChars="200"/>
            <w:rPr>
              <w:color w:val="000000" w:themeColor="text1"/>
              <w14:textFill>
                <w14:solidFill>
                  <w14:schemeClr w14:val="tx1"/>
                </w14:solidFill>
              </w14:textFill>
            </w:rPr>
          </w:pPr>
          <w:sdt>
            <w:sdtPr>
              <w:rPr>
                <w:color w:val="000000" w:themeColor="text1"/>
                <w14:textFill>
                  <w14:solidFill>
                    <w14:schemeClr w14:val="tx1"/>
                  </w14:solidFill>
                </w14:textFill>
              </w:rPr>
              <w:alias w:val="对外股权投资总体分析"/>
              <w:tag w:val="_GBC_cef6637b11fc44ed960eb269931b50e8"/>
              <w:id w:val="2020888887"/>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报告期内，对外投资股权为186,947,832.70元。其中，威海市商业银行股份有限公司为184,605,170.66元，威海国际海洋食品交易中心有限公司为2,342,662.04元。</w:t>
              </w:r>
            </w:sdtContent>
          </w:sdt>
        </w:p>
      </w:sdtContent>
    </w:sdt>
    <w:p w14:paraId="125157D8">
      <w:pPr>
        <w:rPr>
          <w:color w:val="000000" w:themeColor="text1"/>
          <w14:textFill>
            <w14:solidFill>
              <w14:schemeClr w14:val="tx1"/>
            </w14:solidFill>
          </w14:textFill>
        </w:rPr>
      </w:pPr>
    </w:p>
    <w:p w14:paraId="55A3AB99">
      <w:pPr>
        <w:rPr>
          <w:color w:val="000000" w:themeColor="text1"/>
          <w14:textFill>
            <w14:solidFill>
              <w14:schemeClr w14:val="tx1"/>
            </w14:solidFill>
          </w14:textFill>
        </w:rPr>
        <w:sectPr>
          <w:pgSz w:w="11906" w:h="16838"/>
          <w:pgMar w:top="1525" w:right="1276" w:bottom="1440" w:left="1797" w:header="851" w:footer="992" w:gutter="0"/>
          <w:cols w:space="425" w:num="1"/>
          <w:docGrid w:linePitch="312" w:charSpace="0"/>
        </w:sectPr>
      </w:pPr>
    </w:p>
    <w:p w14:paraId="02FAEAEC">
      <w:pPr>
        <w:pStyle w:val="6"/>
        <w:numPr>
          <w:ilvl w:val="0"/>
          <w:numId w:val="11"/>
        </w:numPr>
        <w:tabs>
          <w:tab w:val="left" w:pos="360"/>
        </w:tabs>
        <w:ind w:left="0" w:firstLine="0"/>
        <w:rPr>
          <w:color w:val="000000" w:themeColor="text1"/>
          <w:szCs w:val="21"/>
          <w14:textFill>
            <w14:solidFill>
              <w14:schemeClr w14:val="tx1"/>
            </w14:solidFill>
          </w14:textFill>
        </w:rPr>
      </w:pPr>
      <w:bookmarkStart w:id="47" w:name="_Hlk137045665"/>
      <w:r>
        <w:rPr>
          <w:rFonts w:hint="eastAsia"/>
          <w:color w:val="000000" w:themeColor="text1"/>
          <w:szCs w:val="21"/>
          <w14:textFill>
            <w14:solidFill>
              <w14:schemeClr w14:val="tx1"/>
            </w14:solidFill>
          </w14:textFill>
        </w:rPr>
        <w:t>重大的股权投资</w:t>
      </w:r>
    </w:p>
    <w:sdt>
      <w:sdtPr>
        <w:rPr>
          <w:rFonts w:hint="eastAsia"/>
          <w:color w:val="000000" w:themeColor="text1"/>
          <w14:textFill>
            <w14:solidFill>
              <w14:schemeClr w14:val="tx1"/>
            </w14:solidFill>
          </w14:textFill>
        </w:rPr>
        <w:alias w:val="是否适用：重大的股权投资[双击切换]"/>
        <w:tag w:val="_GBC_9d4d997d9f994cccbb938afa207cfaf2"/>
        <w:id w:val="1992595688"/>
        <w:placeholder>
          <w:docPart w:val="GBC22222222222222222222222222222"/>
        </w:placeholder>
      </w:sdtPr>
      <w:sdtEndPr>
        <w:rPr>
          <w:rFonts w:hint="eastAsia"/>
          <w:color w:val="000000" w:themeColor="text1"/>
          <w14:textFill>
            <w14:solidFill>
              <w14:schemeClr w14:val="tx1"/>
            </w14:solidFill>
          </w14:textFill>
        </w:rPr>
      </w:sdtEndPr>
      <w:sdtContent>
        <w:p w14:paraId="6F13072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806051D">
      <w:pPr>
        <w:rPr>
          <w:color w:val="000000" w:themeColor="text1"/>
          <w14:textFill>
            <w14:solidFill>
              <w14:schemeClr w14:val="tx1"/>
            </w14:solidFill>
          </w14:textFill>
        </w:rPr>
      </w:pPr>
    </w:p>
    <w:bookmarkEnd w:id="47"/>
    <w:p w14:paraId="29FEFEE1">
      <w:pPr>
        <w:pStyle w:val="6"/>
        <w:numPr>
          <w:ilvl w:val="0"/>
          <w:numId w:val="11"/>
        </w:numPr>
        <w:tabs>
          <w:tab w:val="left" w:pos="360"/>
        </w:tabs>
        <w:ind w:left="0" w:firstLine="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重大的非股权</w:t>
      </w:r>
      <w:r>
        <w:rPr>
          <w:rFonts w:hint="eastAsia" w:ascii="宋体" w:hAnsi="宋体" w:cs="宋体"/>
          <w:color w:val="000000" w:themeColor="text1"/>
          <w:kern w:val="0"/>
          <w:szCs w:val="21"/>
          <w14:textFill>
            <w14:solidFill>
              <w14:schemeClr w14:val="tx1"/>
            </w14:solidFill>
          </w14:textFill>
        </w:rPr>
        <w:t>投资</w:t>
      </w:r>
    </w:p>
    <w:sdt>
      <w:sdtPr>
        <w:rPr>
          <w:rFonts w:hint="eastAsia"/>
          <w:color w:val="000000" w:themeColor="text1"/>
          <w14:textFill>
            <w14:solidFill>
              <w14:schemeClr w14:val="tx1"/>
            </w14:solidFill>
          </w14:textFill>
        </w:rPr>
        <w:alias w:val="是否适用：重大的非股权投资[双击切换]"/>
        <w:tag w:val="_GBC_ea7fdcb7583549f38c0db41e73af0a8b"/>
        <w:id w:val="725723280"/>
        <w:placeholder>
          <w:docPart w:val="GBC22222222222222222222222222222"/>
        </w:placeholder>
      </w:sdtPr>
      <w:sdtEndPr>
        <w:rPr>
          <w:rFonts w:hint="eastAsia"/>
          <w:color w:val="000000" w:themeColor="text1"/>
          <w14:textFill>
            <w14:solidFill>
              <w14:schemeClr w14:val="tx1"/>
            </w14:solidFill>
          </w14:textFill>
        </w:rPr>
      </w:sdtEndPr>
      <w:sdtContent>
        <w:p w14:paraId="3684D34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0AB41D0">
      <w:pPr>
        <w:rPr>
          <w:color w:val="000000" w:themeColor="text1"/>
          <w14:textFill>
            <w14:solidFill>
              <w14:schemeClr w14:val="tx1"/>
            </w14:solidFill>
          </w14:textFill>
        </w:rPr>
      </w:pPr>
    </w:p>
    <w:p w14:paraId="6508804F">
      <w:pPr>
        <w:pStyle w:val="6"/>
        <w:numPr>
          <w:ilvl w:val="0"/>
          <w:numId w:val="11"/>
        </w:numPr>
        <w:tabs>
          <w:tab w:val="left" w:pos="360"/>
        </w:tabs>
        <w:ind w:left="0" w:firstLine="0"/>
        <w:rPr>
          <w:rFonts w:hint="eastAsia" w:ascii="宋体" w:hAnsi="宋体" w:cs="宋体"/>
          <w:color w:val="000000" w:themeColor="text1"/>
          <w:kern w:val="0"/>
          <w:szCs w:val="21"/>
          <w14:textFill>
            <w14:solidFill>
              <w14:schemeClr w14:val="tx1"/>
            </w14:solidFill>
          </w14:textFill>
        </w:rPr>
      </w:pPr>
      <w:bookmarkStart w:id="48" w:name="_Hlk40532846"/>
      <w:bookmarkStart w:id="49" w:name="_Hlk137045755"/>
      <w:r>
        <w:rPr>
          <w:rFonts w:hint="eastAsia" w:ascii="宋体" w:hAnsi="宋体" w:cs="宋体"/>
          <w:color w:val="000000" w:themeColor="text1"/>
          <w:kern w:val="0"/>
          <w:szCs w:val="21"/>
          <w14:textFill>
            <w14:solidFill>
              <w14:schemeClr w14:val="tx1"/>
            </w14:solidFill>
          </w14:textFill>
        </w:rPr>
        <w:t>以公允价值计量的金融资产</w:t>
      </w:r>
    </w:p>
    <w:sdt>
      <w:sdtPr>
        <w:rPr>
          <w:rFonts w:hint="eastAsia"/>
          <w:color w:val="000000" w:themeColor="text1"/>
          <w14:textFill>
            <w14:solidFill>
              <w14:schemeClr w14:val="tx1"/>
            </w14:solidFill>
          </w14:textFill>
        </w:rPr>
        <w:alias w:val="是否适用：以公允价值计量的金融资产[双击切换]"/>
        <w:tag w:val="_GBC_541ff98e64424f46b08f9f3687c1ea7a"/>
        <w:id w:val="-408306924"/>
        <w:placeholder>
          <w:docPart w:val="GBC22222222222222222222222222222"/>
        </w:placeholder>
      </w:sdtPr>
      <w:sdtEndPr>
        <w:rPr>
          <w:rFonts w:hint="eastAsia"/>
          <w:color w:val="000000" w:themeColor="text1"/>
          <w14:textFill>
            <w14:solidFill>
              <w14:schemeClr w14:val="tx1"/>
            </w14:solidFill>
          </w14:textFill>
        </w:rPr>
      </w:sdtEndPr>
      <w:sdtContent>
        <w:p w14:paraId="122F35F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834E67E">
      <w:pPr>
        <w:rPr>
          <w:color w:val="000000" w:themeColor="text1"/>
          <w14:textFill>
            <w14:solidFill>
              <w14:schemeClr w14:val="tx1"/>
            </w14:solidFill>
          </w14:textFill>
        </w:rPr>
      </w:pPr>
    </w:p>
    <w:bookmarkEnd w:id="48"/>
    <w:p w14:paraId="607B535A">
      <w:pPr>
        <w:rPr>
          <w:color w:val="000000" w:themeColor="text1"/>
          <w14:textFill>
            <w14:solidFill>
              <w14:schemeClr w14:val="tx1"/>
            </w14:solidFill>
          </w14:textFill>
        </w:rPr>
      </w:pPr>
      <w:r>
        <w:rPr>
          <w:rFonts w:hint="eastAsia"/>
          <w:color w:val="000000" w:themeColor="text1"/>
          <w14:textFill>
            <w14:solidFill>
              <w14:schemeClr w14:val="tx1"/>
            </w14:solidFill>
          </w14:textFill>
        </w:rPr>
        <w:t>证券投资情况</w:t>
      </w:r>
    </w:p>
    <w:sdt>
      <w:sdtPr>
        <w:rPr>
          <w:color w:val="000000" w:themeColor="text1"/>
          <w14:textFill>
            <w14:solidFill>
              <w14:schemeClr w14:val="tx1"/>
            </w14:solidFill>
          </w14:textFill>
        </w:rPr>
        <w:alias w:val="是否适用：证券投资情况[双击切换]"/>
        <w:tag w:val="_GBC_5a8828b10b2a437a9b496037ef93ad06"/>
        <w:id w:val="1243224401"/>
        <w:placeholder>
          <w:docPart w:val="GBC22222222222222222222222222222"/>
        </w:placeholder>
      </w:sdtPr>
      <w:sdtEndPr>
        <w:rPr>
          <w:color w:val="000000" w:themeColor="text1"/>
          <w14:textFill>
            <w14:solidFill>
              <w14:schemeClr w14:val="tx1"/>
            </w14:solidFill>
          </w14:textFill>
        </w:rPr>
      </w:sdtEndPr>
      <w:sdtContent>
        <w:p w14:paraId="76398CE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8DF07EF">
      <w:pPr>
        <w:rPr>
          <w:color w:val="000000" w:themeColor="text1"/>
          <w14:textFill>
            <w14:solidFill>
              <w14:schemeClr w14:val="tx1"/>
            </w14:solidFill>
          </w14:textFill>
        </w:rPr>
      </w:pPr>
      <w:bookmarkStart w:id="50" w:name="_Hlk40533881"/>
    </w:p>
    <w:bookmarkEnd w:id="50"/>
    <w:p w14:paraId="3F400E1A">
      <w:pPr>
        <w:rPr>
          <w:color w:val="000000" w:themeColor="text1"/>
          <w14:textFill>
            <w14:solidFill>
              <w14:schemeClr w14:val="tx1"/>
            </w14:solidFill>
          </w14:textFill>
        </w:rPr>
      </w:pPr>
      <w:r>
        <w:rPr>
          <w:rFonts w:hint="eastAsia"/>
          <w:color w:val="000000" w:themeColor="text1"/>
          <w14:textFill>
            <w14:solidFill>
              <w14:schemeClr w14:val="tx1"/>
            </w14:solidFill>
          </w14:textFill>
        </w:rPr>
        <w:t>证券投资情况的说明</w:t>
      </w:r>
    </w:p>
    <w:sdt>
      <w:sdtPr>
        <w:rPr>
          <w:color w:val="000000" w:themeColor="text1"/>
          <w14:textFill>
            <w14:solidFill>
              <w14:schemeClr w14:val="tx1"/>
            </w14:solidFill>
          </w14:textFill>
        </w:rPr>
        <w:alias w:val="是否适用：证券投资情况的说明[双击切换]"/>
        <w:tag w:val="_GBC_8d1fa1a2f7a54e699abfdd630205bd35"/>
        <w:id w:val="-623299716"/>
        <w:placeholder>
          <w:docPart w:val="GBC22222222222222222222222222222"/>
        </w:placeholder>
      </w:sdtPr>
      <w:sdtEndPr>
        <w:rPr>
          <w:color w:val="000000" w:themeColor="text1"/>
          <w14:textFill>
            <w14:solidFill>
              <w14:schemeClr w14:val="tx1"/>
            </w14:solidFill>
          </w14:textFill>
        </w:rPr>
      </w:sdtEndPr>
      <w:sdtContent>
        <w:p w14:paraId="1769D0B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178CB14">
      <w:pPr>
        <w:rPr>
          <w:color w:val="000000" w:themeColor="text1"/>
          <w14:textFill>
            <w14:solidFill>
              <w14:schemeClr w14:val="tx1"/>
            </w14:solidFill>
          </w14:textFill>
        </w:rPr>
      </w:pPr>
    </w:p>
    <w:p w14:paraId="2213ACDD">
      <w:pPr>
        <w:rPr>
          <w:color w:val="000000" w:themeColor="text1"/>
          <w14:textFill>
            <w14:solidFill>
              <w14:schemeClr w14:val="tx1"/>
            </w14:solidFill>
          </w14:textFill>
        </w:rPr>
      </w:pPr>
      <w:bookmarkStart w:id="51" w:name="_Hlk40534809"/>
      <w:r>
        <w:rPr>
          <w:rFonts w:hint="eastAsia"/>
          <w:color w:val="000000" w:themeColor="text1"/>
          <w14:textFill>
            <w14:solidFill>
              <w14:schemeClr w14:val="tx1"/>
            </w14:solidFill>
          </w14:textFill>
        </w:rPr>
        <w:t>私募基金投资情况</w:t>
      </w:r>
    </w:p>
    <w:sdt>
      <w:sdtPr>
        <w:rPr>
          <w:color w:val="000000" w:themeColor="text1"/>
          <w14:textFill>
            <w14:solidFill>
              <w14:schemeClr w14:val="tx1"/>
            </w14:solidFill>
          </w14:textFill>
        </w:rPr>
        <w:alias w:val="是否适用：私募基金投资情况[双击切换]"/>
        <w:tag w:val="_GBC_56fccff6af834e4e8e9f8aea6f269d2f"/>
        <w:id w:val="-911920052"/>
        <w:placeholder>
          <w:docPart w:val="GBC22222222222222222222222222222"/>
        </w:placeholder>
      </w:sdtPr>
      <w:sdtEndPr>
        <w:rPr>
          <w:color w:val="000000" w:themeColor="text1"/>
          <w14:textFill>
            <w14:solidFill>
              <w14:schemeClr w14:val="tx1"/>
            </w14:solidFill>
          </w14:textFill>
        </w:rPr>
      </w:sdtEndPr>
      <w:sdtContent>
        <w:p w14:paraId="67DB51A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3D87CC9">
      <w:pPr>
        <w:rPr>
          <w:color w:val="000000" w:themeColor="text1"/>
          <w14:textFill>
            <w14:solidFill>
              <w14:schemeClr w14:val="tx1"/>
            </w14:solidFill>
          </w14:textFill>
        </w:rPr>
      </w:pPr>
    </w:p>
    <w:bookmarkEnd w:id="51"/>
    <w:p w14:paraId="0338144C">
      <w:pPr>
        <w:rPr>
          <w:color w:val="000000" w:themeColor="text1"/>
          <w14:textFill>
            <w14:solidFill>
              <w14:schemeClr w14:val="tx1"/>
            </w14:solidFill>
          </w14:textFill>
        </w:rPr>
      </w:pPr>
      <w:r>
        <w:rPr>
          <w:rFonts w:hint="eastAsia"/>
          <w:color w:val="000000" w:themeColor="text1"/>
          <w14:textFill>
            <w14:solidFill>
              <w14:schemeClr w14:val="tx1"/>
            </w14:solidFill>
          </w14:textFill>
        </w:rPr>
        <w:t>衍生品投资情况</w:t>
      </w:r>
    </w:p>
    <w:sdt>
      <w:sdtPr>
        <w:rPr>
          <w:rFonts w:hint="eastAsia"/>
          <w:color w:val="000000" w:themeColor="text1"/>
          <w14:textFill>
            <w14:solidFill>
              <w14:schemeClr w14:val="tx1"/>
            </w14:solidFill>
          </w14:textFill>
        </w:rPr>
        <w:alias w:val="是否适用：衍生品投资情况  [双击切换]"/>
        <w:tag w:val="_GBC_bfd154b38b804edbb19ff4896b6b9c42"/>
        <w:id w:val="1247066569"/>
        <w:placeholder>
          <w:docPart w:val="GBC22222222222222222222222222222"/>
        </w:placeholder>
      </w:sdtPr>
      <w:sdtEndPr>
        <w:rPr>
          <w:rFonts w:hint="eastAsia"/>
          <w:color w:val="000000" w:themeColor="text1"/>
          <w14:textFill>
            <w14:solidFill>
              <w14:schemeClr w14:val="tx1"/>
            </w14:solidFill>
          </w14:textFill>
        </w:rPr>
      </w:sdtEndPr>
      <w:sdtContent>
        <w:p w14:paraId="196F62F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133FF16">
      <w:pPr>
        <w:rPr>
          <w:color w:val="000000" w:themeColor="text1"/>
          <w14:textFill>
            <w14:solidFill>
              <w14:schemeClr w14:val="tx1"/>
            </w14:solidFill>
          </w14:textFill>
        </w:rPr>
      </w:pPr>
      <w:bookmarkStart w:id="52" w:name="_Hlk167797508"/>
      <w:bookmarkStart w:id="53" w:name="_Hlk155617745"/>
    </w:p>
    <w:p w14:paraId="22CDD4AC">
      <w:pPr>
        <w:rPr>
          <w:color w:val="000000" w:themeColor="text1"/>
          <w14:textFill>
            <w14:solidFill>
              <w14:schemeClr w14:val="tx1"/>
            </w14:solidFill>
          </w14:textFill>
        </w:rPr>
      </w:pPr>
    </w:p>
    <w:bookmarkEnd w:id="49"/>
    <w:bookmarkEnd w:id="52"/>
    <w:bookmarkEnd w:id="53"/>
    <w:p w14:paraId="4D64909E">
      <w:pPr>
        <w:pStyle w:val="4"/>
        <w:numPr>
          <w:ilvl w:val="0"/>
          <w:numId w:val="6"/>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重大资产和股权出售</w:t>
      </w:r>
    </w:p>
    <w:sdt>
      <w:sdtPr>
        <w:rPr>
          <w:rFonts w:hint="eastAsia"/>
          <w:color w:val="000000" w:themeColor="text1"/>
          <w14:textFill>
            <w14:solidFill>
              <w14:schemeClr w14:val="tx1"/>
            </w14:solidFill>
          </w14:textFill>
        </w:rPr>
        <w:alias w:val="是否适用：重大资产和股权出售[双击切换]"/>
        <w:tag w:val="_GBC_f566f251245e49238092032f065852be"/>
        <w:id w:val="-1919165595"/>
        <w:placeholder>
          <w:docPart w:val="GBC22222222222222222222222222222"/>
        </w:placeholder>
      </w:sdtPr>
      <w:sdtEndPr>
        <w:rPr>
          <w:rFonts w:hint="eastAsia"/>
          <w:color w:val="000000" w:themeColor="text1"/>
          <w14:textFill>
            <w14:solidFill>
              <w14:schemeClr w14:val="tx1"/>
            </w14:solidFill>
          </w14:textFill>
        </w:rPr>
      </w:sdtEndPr>
      <w:sdtContent>
        <w:p w14:paraId="260CD7D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5C10FCC">
      <w:pPr>
        <w:rPr>
          <w:color w:val="000000" w:themeColor="text1"/>
          <w14:textFill>
            <w14:solidFill>
              <w14:schemeClr w14:val="tx1"/>
            </w14:solidFill>
          </w14:textFill>
        </w:rPr>
      </w:pPr>
    </w:p>
    <w:p w14:paraId="6A87E3E4">
      <w:pPr>
        <w:pStyle w:val="4"/>
        <w:numPr>
          <w:ilvl w:val="0"/>
          <w:numId w:val="6"/>
        </w:numPr>
        <w:rPr>
          <w:rFonts w:hint="eastAsia" w:ascii="宋体" w:hAnsi="宋体"/>
          <w:color w:val="000000" w:themeColor="text1"/>
          <w14:textFill>
            <w14:solidFill>
              <w14:schemeClr w14:val="tx1"/>
            </w14:solidFill>
          </w14:textFill>
        </w:rPr>
      </w:pPr>
      <w:bookmarkStart w:id="54" w:name="_Hlk200011206"/>
      <w:r>
        <w:rPr>
          <w:rFonts w:hint="eastAsia" w:ascii="宋体" w:hAnsi="宋体"/>
          <w:color w:val="000000" w:themeColor="text1"/>
          <w14:textFill>
            <w14:solidFill>
              <w14:schemeClr w14:val="tx1"/>
            </w14:solidFill>
          </w14:textFill>
        </w:rPr>
        <w:t>主要控股参股公司分析</w:t>
      </w:r>
    </w:p>
    <w:sdt>
      <w:sdtPr>
        <w:rPr>
          <w:color w:val="000000" w:themeColor="text1"/>
          <w14:textFill>
            <w14:solidFill>
              <w14:schemeClr w14:val="tx1"/>
            </w14:solidFill>
          </w14:textFill>
        </w:rPr>
        <w:alias w:val="是否适用：主要控股参股公司分析[双击切换]"/>
        <w:tag w:val="_GBC_3f3bd67865a44413bcd1143c0df7558d"/>
        <w:id w:val="-848476701"/>
        <w:placeholder>
          <w:docPart w:val="GBC22222222222222222222222222222"/>
        </w:placeholder>
      </w:sdtPr>
      <w:sdtEndPr>
        <w:rPr>
          <w:color w:val="000000" w:themeColor="text1"/>
          <w14:textFill>
            <w14:solidFill>
              <w14:schemeClr w14:val="tx1"/>
            </w14:solidFill>
          </w14:textFill>
        </w:rPr>
      </w:sdtEndPr>
      <w:sdtContent>
        <w:p w14:paraId="7A3E996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E904D73"/>
    <w:p w14:paraId="10F81BCF">
      <w:r>
        <w:rPr>
          <w:rFonts w:hint="eastAsia"/>
        </w:rPr>
        <w:t>主要子公司及对公司净利润影响达10%以上的参股公司情况</w:t>
      </w:r>
    </w:p>
    <w:sdt>
      <w:sdtPr>
        <w:rPr>
          <w:rFonts w:hint="eastAsia"/>
          <w:color w:val="000000"/>
        </w:rPr>
        <w:alias w:val="是否适用：主要子公司及对公司净利润影响达10%以上的参股公司情况[双击切换]"/>
        <w:tag w:val="_GBC_4b9f7b6cc7ff4175a466417ec956e9a1"/>
        <w:id w:val="1653331398"/>
        <w:placeholder>
          <w:docPart w:val="GBC22222222222222222222222222222"/>
        </w:placeholder>
      </w:sdtPr>
      <w:sdtEndPr>
        <w:rPr>
          <w:rFonts w:hint="eastAsia"/>
          <w:color w:val="000000"/>
        </w:rPr>
      </w:sdtEndPr>
      <w:sdtContent>
        <w:p w14:paraId="194F7E50">
          <w:pPr>
            <w:rPr>
              <w:color w:val="000000"/>
            </w:rPr>
          </w:pPr>
          <w:r>
            <w:rPr>
              <w:rFonts w:hint="eastAsia" w:ascii="宋体" w:hAnsi="宋体"/>
              <w:color w:val="000000"/>
            </w:rPr>
            <w:fldChar w:fldCharType="begin"/>
          </w:r>
          <w:r>
            <w:rPr>
              <w:rFonts w:hint="eastAsia" w:ascii="宋体" w:hAnsi="宋体"/>
              <w:color w:val="000000"/>
            </w:rPr>
            <w:instrText xml:space="preserve"> MACROBUTTON  SnrToggleCheckbox √适用 </w:instrText>
          </w:r>
          <w:r>
            <w:rPr>
              <w:rFonts w:hint="eastAsia" w:ascii="宋体" w:hAnsi="宋体"/>
              <w:color w:val="000000"/>
            </w:rPr>
            <w:fldChar w:fldCharType="end"/>
          </w:r>
          <w:r>
            <w:rPr>
              <w:rFonts w:hint="eastAsia" w:ascii="宋体" w:hAnsi="宋体"/>
              <w:color w:val="000000"/>
            </w:rPr>
            <w:fldChar w:fldCharType="begin"/>
          </w:r>
          <w:r>
            <w:rPr>
              <w:rFonts w:hint="eastAsia" w:ascii="宋体" w:hAnsi="宋体"/>
              <w:color w:val="000000"/>
            </w:rPr>
            <w:instrText xml:space="preserve"> MACROBUTTON  SnrToggleCheckbox □不适用 </w:instrText>
          </w:r>
          <w:r>
            <w:rPr>
              <w:rFonts w:hint="eastAsia" w:ascii="宋体" w:hAnsi="宋体"/>
              <w:color w:val="000000"/>
            </w:rPr>
            <w:fldChar w:fldCharType="end"/>
          </w:r>
        </w:p>
      </w:sdtContent>
    </w:sdt>
    <w:p w14:paraId="19AD79B0">
      <w:pPr>
        <w:jc w:val="right"/>
        <w:rPr>
          <w:color w:val="000000"/>
        </w:rPr>
      </w:pPr>
      <w:r>
        <w:rPr>
          <w:rFonts w:hint="eastAsia"/>
          <w:color w:val="000000"/>
        </w:rPr>
        <w:t>单位：</w:t>
      </w:r>
      <w:sdt>
        <w:sdtPr>
          <w:rPr>
            <w:rFonts w:hint="eastAsia"/>
            <w:color w:val="000000"/>
          </w:rPr>
          <w:alias w:val="单位：主要控股参股公司分析"/>
          <w:tag w:val="_GBC_ce7ca356e78b431aa58669bcbfe4f636"/>
          <w:id w:val="206336611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rPr>
        </w:sdtEndPr>
        <w:sdtContent>
          <w:r>
            <w:rPr>
              <w:rFonts w:hint="eastAsia"/>
              <w:color w:val="000000"/>
            </w:rPr>
            <w:t>万元</w:t>
          </w:r>
        </w:sdtContent>
      </w:sdt>
      <w:r>
        <w:rPr>
          <w:rFonts w:hint="eastAsia"/>
          <w:color w:val="000000"/>
        </w:rPr>
        <w:t xml:space="preserve"> 币种：</w:t>
      </w:r>
      <w:sdt>
        <w:sdtPr>
          <w:rPr>
            <w:rFonts w:hint="eastAsia"/>
            <w:color w:val="000000"/>
          </w:rPr>
          <w:alias w:val="币种：主要控股参股公司分析"/>
          <w:tag w:val="_GBC_d54cbb72b883465cb4a40fd97ee74139"/>
          <w:id w:val="-21103480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rPr>
        </w:sdtEndPr>
        <w:sdtContent>
          <w:r>
            <w:rPr>
              <w:rFonts w:hint="eastAsia"/>
              <w:color w:val="000000"/>
            </w:rPr>
            <w:t>人民币</w:t>
          </w:r>
        </w:sdtContent>
      </w:sdt>
      <w:r>
        <w:rPr>
          <w:rFonts w:hint="eastAsia"/>
          <w:color w:val="000000"/>
        </w:rPr>
        <w:t xml:space="preserve"> </w:t>
      </w:r>
    </w:p>
    <w:tbl>
      <w:tblPr>
        <w:tblStyle w:val="37"/>
        <w:tblW w:w="5675" w:type="pct"/>
        <w:tblInd w:w="-1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2880"/>
        <w:gridCol w:w="5768"/>
        <w:gridCol w:w="1133"/>
        <w:gridCol w:w="1422"/>
        <w:gridCol w:w="1133"/>
        <w:gridCol w:w="1133"/>
        <w:gridCol w:w="1136"/>
        <w:gridCol w:w="1130"/>
      </w:tblGrid>
      <w:tr w14:paraId="5523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sdt>
          <w:sdtPr>
            <w:tag w:val="_PLD_511822bad18243ca984a448b1d5e9c6d"/>
            <w:id w:val="323094188"/>
          </w:sdtPr>
          <w:sdtContent>
            <w:tc>
              <w:tcPr>
                <w:tcW w:w="915" w:type="pct"/>
              </w:tcPr>
              <w:p w14:paraId="2F221860">
                <w:pPr>
                  <w:kinsoku w:val="0"/>
                  <w:overflowPunct w:val="0"/>
                  <w:autoSpaceDE w:val="0"/>
                  <w:autoSpaceDN w:val="0"/>
                  <w:adjustRightInd w:val="0"/>
                  <w:snapToGrid w:val="0"/>
                  <w:jc w:val="center"/>
                </w:pPr>
                <w:r>
                  <w:t>公司名称</w:t>
                </w:r>
              </w:p>
            </w:tc>
          </w:sdtContent>
        </w:sdt>
        <w:sdt>
          <w:sdtPr>
            <w:tag w:val="_PLD_504000c87b6441849362fe7fcd841ffd"/>
            <w:id w:val="711466453"/>
          </w:sdtPr>
          <w:sdtContent>
            <w:tc>
              <w:tcPr>
                <w:tcW w:w="1833" w:type="pct"/>
              </w:tcPr>
              <w:p w14:paraId="4A0DE0A2">
                <w:pPr>
                  <w:kinsoku w:val="0"/>
                  <w:overflowPunct w:val="0"/>
                  <w:autoSpaceDE w:val="0"/>
                  <w:autoSpaceDN w:val="0"/>
                  <w:adjustRightInd w:val="0"/>
                  <w:snapToGrid w:val="0"/>
                  <w:jc w:val="center"/>
                </w:pPr>
                <w:r>
                  <w:t>主要业务</w:t>
                </w:r>
              </w:p>
            </w:tc>
          </w:sdtContent>
        </w:sdt>
        <w:sdt>
          <w:sdtPr>
            <w:tag w:val="_PLD_4e755197acd74c7c8f261f7362539fe2"/>
            <w:id w:val="-789431756"/>
          </w:sdtPr>
          <w:sdtContent>
            <w:tc>
              <w:tcPr>
                <w:tcW w:w="360" w:type="pct"/>
              </w:tcPr>
              <w:p w14:paraId="116F84D1">
                <w:pPr>
                  <w:kinsoku w:val="0"/>
                  <w:overflowPunct w:val="0"/>
                  <w:autoSpaceDE w:val="0"/>
                  <w:autoSpaceDN w:val="0"/>
                  <w:adjustRightInd w:val="0"/>
                  <w:snapToGrid w:val="0"/>
                  <w:jc w:val="center"/>
                </w:pPr>
                <w:r>
                  <w:t>注册资本</w:t>
                </w:r>
              </w:p>
            </w:tc>
          </w:sdtContent>
        </w:sdt>
        <w:sdt>
          <w:sdtPr>
            <w:tag w:val="_PLD_198557953dd6417b8383682dc2f22f88"/>
            <w:id w:val="596532984"/>
          </w:sdtPr>
          <w:sdtContent>
            <w:tc>
              <w:tcPr>
                <w:tcW w:w="452" w:type="pct"/>
              </w:tcPr>
              <w:p w14:paraId="7E46F0DB">
                <w:pPr>
                  <w:kinsoku w:val="0"/>
                  <w:overflowPunct w:val="0"/>
                  <w:autoSpaceDE w:val="0"/>
                  <w:autoSpaceDN w:val="0"/>
                  <w:adjustRightInd w:val="0"/>
                  <w:snapToGrid w:val="0"/>
                  <w:jc w:val="center"/>
                </w:pPr>
                <w:r>
                  <w:t>总资产</w:t>
                </w:r>
              </w:p>
            </w:tc>
          </w:sdtContent>
        </w:sdt>
        <w:sdt>
          <w:sdtPr>
            <w:tag w:val="_PLD_970ef0a1e0e447cebd29209c05ba1fc2"/>
            <w:id w:val="-1494475151"/>
          </w:sdtPr>
          <w:sdtContent>
            <w:tc>
              <w:tcPr>
                <w:tcW w:w="360" w:type="pct"/>
              </w:tcPr>
              <w:p w14:paraId="029304D6">
                <w:pPr>
                  <w:kinsoku w:val="0"/>
                  <w:overflowPunct w:val="0"/>
                  <w:autoSpaceDE w:val="0"/>
                  <w:autoSpaceDN w:val="0"/>
                  <w:adjustRightInd w:val="0"/>
                  <w:snapToGrid w:val="0"/>
                  <w:jc w:val="center"/>
                </w:pPr>
                <w:r>
                  <w:t>净资产</w:t>
                </w:r>
              </w:p>
            </w:tc>
          </w:sdtContent>
        </w:sdt>
        <w:sdt>
          <w:sdtPr>
            <w:tag w:val="_PLD_0181251db664423ba29eb5f6a1e81eec"/>
            <w:id w:val="418990477"/>
          </w:sdtPr>
          <w:sdtContent>
            <w:tc>
              <w:tcPr>
                <w:tcW w:w="360" w:type="pct"/>
              </w:tcPr>
              <w:p w14:paraId="5D2D4235">
                <w:pPr>
                  <w:kinsoku w:val="0"/>
                  <w:overflowPunct w:val="0"/>
                  <w:autoSpaceDE w:val="0"/>
                  <w:autoSpaceDN w:val="0"/>
                  <w:adjustRightInd w:val="0"/>
                  <w:snapToGrid w:val="0"/>
                  <w:jc w:val="center"/>
                </w:pPr>
                <w:r>
                  <w:t>营业收入</w:t>
                </w:r>
              </w:p>
            </w:tc>
          </w:sdtContent>
        </w:sdt>
        <w:sdt>
          <w:sdtPr>
            <w:tag w:val="_PLD_a3b6a5568dbe49adac1f2f6a8954c8d8"/>
            <w:id w:val="-13150084"/>
          </w:sdtPr>
          <w:sdtContent>
            <w:tc>
              <w:tcPr>
                <w:tcW w:w="361" w:type="pct"/>
              </w:tcPr>
              <w:p w14:paraId="2C51DB80">
                <w:pPr>
                  <w:kinsoku w:val="0"/>
                  <w:overflowPunct w:val="0"/>
                  <w:autoSpaceDE w:val="0"/>
                  <w:autoSpaceDN w:val="0"/>
                  <w:adjustRightInd w:val="0"/>
                  <w:snapToGrid w:val="0"/>
                  <w:jc w:val="center"/>
                </w:pPr>
                <w:r>
                  <w:t>营业利润</w:t>
                </w:r>
              </w:p>
            </w:tc>
          </w:sdtContent>
        </w:sdt>
        <w:sdt>
          <w:sdtPr>
            <w:tag w:val="_PLD_a6776b47f9a845978fbed08d37050d0e"/>
            <w:id w:val="-414087164"/>
          </w:sdtPr>
          <w:sdtContent>
            <w:tc>
              <w:tcPr>
                <w:tcW w:w="359" w:type="pct"/>
              </w:tcPr>
              <w:p w14:paraId="5B5E8BB9">
                <w:pPr>
                  <w:kinsoku w:val="0"/>
                  <w:overflowPunct w:val="0"/>
                  <w:autoSpaceDE w:val="0"/>
                  <w:autoSpaceDN w:val="0"/>
                  <w:adjustRightInd w:val="0"/>
                  <w:snapToGrid w:val="0"/>
                  <w:jc w:val="center"/>
                </w:pPr>
                <w:r>
                  <w:t>净利润</w:t>
                </w:r>
              </w:p>
            </w:tc>
          </w:sdtContent>
        </w:sdt>
      </w:tr>
      <w:tr w14:paraId="6B68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411B7E21">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荣成荣东食品有限公司</w:t>
            </w:r>
          </w:p>
        </w:tc>
        <w:tc>
          <w:tcPr>
            <w:tcW w:w="1833" w:type="pct"/>
            <w:vAlign w:val="center"/>
          </w:tcPr>
          <w:p w14:paraId="56C298DF">
            <w:pPr>
              <w:kinsoku w:val="0"/>
              <w:overflowPunct w:val="0"/>
              <w:autoSpaceDE w:val="0"/>
              <w:autoSpaceDN w:val="0"/>
              <w:adjustRightInd w:val="0"/>
              <w:snapToGrid w:val="0"/>
              <w:rPr>
                <w:rFonts w:hint="eastAsia" w:ascii="宋体" w:hAnsi="宋体"/>
                <w:sz w:val="18"/>
                <w:szCs w:val="18"/>
              </w:rPr>
            </w:pPr>
            <w:r>
              <w:rPr>
                <w:rFonts w:ascii="宋体" w:hAnsi="宋体"/>
                <w:sz w:val="18"/>
                <w:szCs w:val="18"/>
              </w:rPr>
              <w:t>速冻调制食品加工与销售</w:t>
            </w:r>
            <w:r>
              <w:rPr>
                <w:rFonts w:hint="eastAsia" w:ascii="宋体" w:hAnsi="宋体"/>
                <w:sz w:val="18"/>
                <w:szCs w:val="18"/>
              </w:rPr>
              <w:t>。</w:t>
            </w:r>
          </w:p>
        </w:tc>
        <w:tc>
          <w:tcPr>
            <w:tcW w:w="360" w:type="pct"/>
            <w:vAlign w:val="center"/>
          </w:tcPr>
          <w:p w14:paraId="026F7789">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200</w:t>
            </w:r>
            <w:r>
              <w:rPr>
                <w:rFonts w:hint="eastAsia" w:ascii="宋体" w:hAnsi="宋体"/>
                <w:sz w:val="18"/>
                <w:szCs w:val="18"/>
              </w:rPr>
              <w:t>万美元</w:t>
            </w:r>
          </w:p>
        </w:tc>
        <w:tc>
          <w:tcPr>
            <w:tcW w:w="452" w:type="pct"/>
            <w:vAlign w:val="center"/>
          </w:tcPr>
          <w:p w14:paraId="0949720E">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4,709.05</w:t>
            </w:r>
          </w:p>
        </w:tc>
        <w:tc>
          <w:tcPr>
            <w:tcW w:w="360" w:type="pct"/>
            <w:vAlign w:val="center"/>
          </w:tcPr>
          <w:p w14:paraId="61A927CD">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1,969.69</w:t>
            </w:r>
          </w:p>
        </w:tc>
        <w:tc>
          <w:tcPr>
            <w:tcW w:w="360" w:type="pct"/>
            <w:vAlign w:val="center"/>
          </w:tcPr>
          <w:p w14:paraId="3168D475">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4,028.15</w:t>
            </w:r>
          </w:p>
        </w:tc>
        <w:tc>
          <w:tcPr>
            <w:tcW w:w="361" w:type="pct"/>
            <w:vAlign w:val="center"/>
          </w:tcPr>
          <w:p w14:paraId="1DAB53C3">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-70.37</w:t>
            </w:r>
          </w:p>
        </w:tc>
        <w:tc>
          <w:tcPr>
            <w:tcW w:w="359" w:type="pct"/>
            <w:vAlign w:val="center"/>
          </w:tcPr>
          <w:p w14:paraId="50B92FB6">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-70.31</w:t>
            </w:r>
          </w:p>
        </w:tc>
      </w:tr>
      <w:tr w14:paraId="149F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1B154909">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荣成荣山食品有限公司</w:t>
            </w:r>
          </w:p>
        </w:tc>
        <w:tc>
          <w:tcPr>
            <w:tcW w:w="1833" w:type="pct"/>
            <w:vAlign w:val="center"/>
          </w:tcPr>
          <w:p w14:paraId="1A9FA109">
            <w:pPr>
              <w:kinsoku w:val="0"/>
              <w:overflowPunct w:val="0"/>
              <w:autoSpaceDE w:val="0"/>
              <w:autoSpaceDN w:val="0"/>
              <w:adjustRightInd w:val="0"/>
              <w:snapToGrid w:val="0"/>
              <w:rPr>
                <w:rFonts w:hint="eastAsia" w:ascii="宋体" w:hAnsi="宋体"/>
                <w:sz w:val="18"/>
                <w:szCs w:val="18"/>
              </w:rPr>
            </w:pPr>
            <w:r>
              <w:rPr>
                <w:rFonts w:ascii="宋体" w:hAnsi="宋体"/>
                <w:sz w:val="18"/>
                <w:szCs w:val="18"/>
              </w:rPr>
              <w:t>速冻调制食品加工与销售</w:t>
            </w:r>
            <w:r>
              <w:rPr>
                <w:rFonts w:hint="eastAsia" w:ascii="宋体" w:hAnsi="宋体"/>
                <w:sz w:val="18"/>
                <w:szCs w:val="18"/>
              </w:rPr>
              <w:t>。</w:t>
            </w:r>
          </w:p>
        </w:tc>
        <w:tc>
          <w:tcPr>
            <w:tcW w:w="360" w:type="pct"/>
            <w:vAlign w:val="center"/>
          </w:tcPr>
          <w:p w14:paraId="78F183AC">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20</w:t>
            </w:r>
            <w:bookmarkStart w:id="55" w:name="OLE_LINK49"/>
            <w:r>
              <w:rPr>
                <w:rFonts w:hint="eastAsia" w:ascii="宋体" w:hAnsi="宋体" w:cs="Times New Roman"/>
                <w:sz w:val="18"/>
                <w:szCs w:val="18"/>
              </w:rPr>
              <w:t>0</w:t>
            </w:r>
            <w:r>
              <w:rPr>
                <w:rFonts w:hint="eastAsia" w:ascii="宋体" w:hAnsi="宋体"/>
                <w:sz w:val="18"/>
                <w:szCs w:val="18"/>
              </w:rPr>
              <w:t>万美元</w:t>
            </w:r>
            <w:bookmarkEnd w:id="55"/>
          </w:p>
        </w:tc>
        <w:tc>
          <w:tcPr>
            <w:tcW w:w="452" w:type="pct"/>
            <w:vAlign w:val="center"/>
          </w:tcPr>
          <w:p w14:paraId="64556088">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4,819.62</w:t>
            </w:r>
          </w:p>
        </w:tc>
        <w:tc>
          <w:tcPr>
            <w:tcW w:w="360" w:type="pct"/>
            <w:vAlign w:val="center"/>
          </w:tcPr>
          <w:p w14:paraId="3A6535C5">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1,992.78</w:t>
            </w:r>
          </w:p>
        </w:tc>
        <w:tc>
          <w:tcPr>
            <w:tcW w:w="360" w:type="pct"/>
            <w:vAlign w:val="center"/>
          </w:tcPr>
          <w:p w14:paraId="57CCA3C7">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5,652.87</w:t>
            </w:r>
          </w:p>
        </w:tc>
        <w:tc>
          <w:tcPr>
            <w:tcW w:w="361" w:type="pct"/>
            <w:vAlign w:val="center"/>
          </w:tcPr>
          <w:p w14:paraId="60B3E1A2">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-58.53</w:t>
            </w:r>
          </w:p>
        </w:tc>
        <w:tc>
          <w:tcPr>
            <w:tcW w:w="359" w:type="pct"/>
            <w:vAlign w:val="center"/>
          </w:tcPr>
          <w:p w14:paraId="6FE3E39B">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-58.16</w:t>
            </w:r>
          </w:p>
        </w:tc>
      </w:tr>
      <w:tr w14:paraId="65D8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4E32F749">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荣成荣康食品有限公司</w:t>
            </w:r>
          </w:p>
        </w:tc>
        <w:tc>
          <w:tcPr>
            <w:tcW w:w="1833" w:type="pct"/>
            <w:vAlign w:val="center"/>
          </w:tcPr>
          <w:p w14:paraId="144577F3">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水产品冷冻加工与销售。</w:t>
            </w:r>
          </w:p>
        </w:tc>
        <w:tc>
          <w:tcPr>
            <w:tcW w:w="360" w:type="pct"/>
            <w:vAlign w:val="center"/>
          </w:tcPr>
          <w:p w14:paraId="4817633E">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1,200</w:t>
            </w:r>
            <w:r>
              <w:rPr>
                <w:rFonts w:hint="eastAsia" w:ascii="宋体" w:hAnsi="宋体"/>
                <w:sz w:val="18"/>
                <w:szCs w:val="18"/>
              </w:rPr>
              <w:t>万美元</w:t>
            </w:r>
          </w:p>
        </w:tc>
        <w:tc>
          <w:tcPr>
            <w:tcW w:w="452" w:type="pct"/>
            <w:vAlign w:val="center"/>
          </w:tcPr>
          <w:p w14:paraId="444723AE">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6,162.23</w:t>
            </w:r>
          </w:p>
        </w:tc>
        <w:tc>
          <w:tcPr>
            <w:tcW w:w="360" w:type="pct"/>
            <w:vAlign w:val="center"/>
          </w:tcPr>
          <w:p w14:paraId="7830A219">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-5,584.01</w:t>
            </w:r>
          </w:p>
        </w:tc>
        <w:tc>
          <w:tcPr>
            <w:tcW w:w="360" w:type="pct"/>
            <w:vAlign w:val="center"/>
          </w:tcPr>
          <w:p w14:paraId="7CC79BC1">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1,260.17</w:t>
            </w:r>
          </w:p>
        </w:tc>
        <w:tc>
          <w:tcPr>
            <w:tcW w:w="361" w:type="pct"/>
            <w:vAlign w:val="center"/>
          </w:tcPr>
          <w:p w14:paraId="10AF32ED">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186.48</w:t>
            </w:r>
          </w:p>
        </w:tc>
        <w:tc>
          <w:tcPr>
            <w:tcW w:w="359" w:type="pct"/>
            <w:vAlign w:val="center"/>
          </w:tcPr>
          <w:p w14:paraId="2C4172A9">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178.69</w:t>
            </w:r>
          </w:p>
        </w:tc>
      </w:tr>
      <w:tr w14:paraId="0462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3C96FF5D">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荣成荣广食品有限公司</w:t>
            </w:r>
          </w:p>
        </w:tc>
        <w:tc>
          <w:tcPr>
            <w:tcW w:w="1833" w:type="pct"/>
            <w:vAlign w:val="center"/>
          </w:tcPr>
          <w:p w14:paraId="07CF69B5">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水产品冷冻加工与销售、速冻调制食品生产与销售。</w:t>
            </w:r>
          </w:p>
        </w:tc>
        <w:tc>
          <w:tcPr>
            <w:tcW w:w="360" w:type="pct"/>
            <w:vAlign w:val="center"/>
          </w:tcPr>
          <w:p w14:paraId="3B16ECD7">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100</w:t>
            </w:r>
            <w:r>
              <w:rPr>
                <w:rFonts w:hint="eastAsia" w:ascii="宋体" w:hAnsi="宋体"/>
                <w:sz w:val="18"/>
                <w:szCs w:val="18"/>
              </w:rPr>
              <w:t>万美元</w:t>
            </w:r>
          </w:p>
        </w:tc>
        <w:tc>
          <w:tcPr>
            <w:tcW w:w="452" w:type="pct"/>
            <w:vAlign w:val="center"/>
          </w:tcPr>
          <w:p w14:paraId="7988D4C3">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6,686.26</w:t>
            </w:r>
          </w:p>
        </w:tc>
        <w:tc>
          <w:tcPr>
            <w:tcW w:w="360" w:type="pct"/>
            <w:vAlign w:val="center"/>
          </w:tcPr>
          <w:p w14:paraId="115722D2">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657.50</w:t>
            </w:r>
          </w:p>
        </w:tc>
        <w:tc>
          <w:tcPr>
            <w:tcW w:w="360" w:type="pct"/>
            <w:vAlign w:val="center"/>
          </w:tcPr>
          <w:p w14:paraId="56DF8E01">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4,975.52</w:t>
            </w:r>
          </w:p>
        </w:tc>
        <w:tc>
          <w:tcPr>
            <w:tcW w:w="361" w:type="pct"/>
            <w:vAlign w:val="center"/>
          </w:tcPr>
          <w:p w14:paraId="5957B3A6">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43.56</w:t>
            </w:r>
          </w:p>
        </w:tc>
        <w:tc>
          <w:tcPr>
            <w:tcW w:w="359" w:type="pct"/>
            <w:vAlign w:val="center"/>
          </w:tcPr>
          <w:p w14:paraId="1493C7BE">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43.56</w:t>
            </w:r>
          </w:p>
        </w:tc>
      </w:tr>
      <w:tr w14:paraId="2B7E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4F3EEA4D">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荣成荣健食品有限公司</w:t>
            </w:r>
          </w:p>
        </w:tc>
        <w:tc>
          <w:tcPr>
            <w:tcW w:w="1833" w:type="pct"/>
            <w:vAlign w:val="center"/>
          </w:tcPr>
          <w:p w14:paraId="3BAF7B2B">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干海参、盐渍海参的加工与销售。</w:t>
            </w:r>
          </w:p>
        </w:tc>
        <w:tc>
          <w:tcPr>
            <w:tcW w:w="360" w:type="pct"/>
            <w:vAlign w:val="center"/>
          </w:tcPr>
          <w:p w14:paraId="5614E960">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80</w:t>
            </w:r>
            <w:r>
              <w:rPr>
                <w:rFonts w:hint="eastAsia" w:ascii="宋体" w:hAnsi="宋体"/>
                <w:sz w:val="18"/>
                <w:szCs w:val="18"/>
              </w:rPr>
              <w:t>万美元</w:t>
            </w:r>
          </w:p>
        </w:tc>
        <w:tc>
          <w:tcPr>
            <w:tcW w:w="452" w:type="pct"/>
            <w:vAlign w:val="center"/>
          </w:tcPr>
          <w:p w14:paraId="7B49F006">
            <w:pPr>
              <w:kinsoku w:val="0"/>
              <w:overflowPunct w:val="0"/>
              <w:autoSpaceDE w:val="0"/>
              <w:autoSpaceDN w:val="0"/>
              <w:adjustRightInd w:val="0"/>
              <w:snapToGrid w:val="0"/>
              <w:jc w:val="right"/>
              <w:rPr>
                <w:rFonts w:hint="eastAsia" w:ascii="宋体" w:hAnsi="宋体"/>
                <w:sz w:val="18"/>
                <w:szCs w:val="18"/>
              </w:rPr>
            </w:pPr>
          </w:p>
        </w:tc>
        <w:tc>
          <w:tcPr>
            <w:tcW w:w="360" w:type="pct"/>
            <w:vAlign w:val="center"/>
          </w:tcPr>
          <w:p w14:paraId="5E8A0273">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-1,527.98</w:t>
            </w:r>
          </w:p>
        </w:tc>
        <w:tc>
          <w:tcPr>
            <w:tcW w:w="360" w:type="pct"/>
            <w:vAlign w:val="center"/>
          </w:tcPr>
          <w:p w14:paraId="6F8CE1BF">
            <w:pPr>
              <w:kinsoku w:val="0"/>
              <w:overflowPunct w:val="0"/>
              <w:autoSpaceDE w:val="0"/>
              <w:autoSpaceDN w:val="0"/>
              <w:adjustRightInd w:val="0"/>
              <w:snapToGrid w:val="0"/>
              <w:jc w:val="right"/>
              <w:rPr>
                <w:rFonts w:hint="eastAsia" w:ascii="宋体" w:hAnsi="宋体"/>
                <w:sz w:val="18"/>
                <w:szCs w:val="18"/>
              </w:rPr>
            </w:pPr>
          </w:p>
        </w:tc>
        <w:tc>
          <w:tcPr>
            <w:tcW w:w="361" w:type="pct"/>
            <w:vAlign w:val="center"/>
          </w:tcPr>
          <w:p w14:paraId="0ABD52C7">
            <w:pPr>
              <w:kinsoku w:val="0"/>
              <w:overflowPunct w:val="0"/>
              <w:autoSpaceDE w:val="0"/>
              <w:autoSpaceDN w:val="0"/>
              <w:adjustRightInd w:val="0"/>
              <w:snapToGrid w:val="0"/>
              <w:jc w:val="right"/>
              <w:rPr>
                <w:rFonts w:hint="eastAsia" w:ascii="宋体" w:hAnsi="宋体"/>
                <w:sz w:val="18"/>
                <w:szCs w:val="18"/>
              </w:rPr>
            </w:pPr>
          </w:p>
        </w:tc>
        <w:tc>
          <w:tcPr>
            <w:tcW w:w="359" w:type="pct"/>
            <w:vAlign w:val="center"/>
          </w:tcPr>
          <w:p w14:paraId="1C1D4F79">
            <w:pPr>
              <w:kinsoku w:val="0"/>
              <w:overflowPunct w:val="0"/>
              <w:autoSpaceDE w:val="0"/>
              <w:autoSpaceDN w:val="0"/>
              <w:adjustRightInd w:val="0"/>
              <w:snapToGrid w:val="0"/>
              <w:jc w:val="right"/>
              <w:rPr>
                <w:rFonts w:hint="eastAsia" w:ascii="宋体" w:hAnsi="宋体"/>
                <w:sz w:val="18"/>
                <w:szCs w:val="18"/>
              </w:rPr>
            </w:pPr>
          </w:p>
        </w:tc>
      </w:tr>
      <w:tr w14:paraId="4A8E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309DF7FD">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荣成荣进食品有限公司</w:t>
            </w:r>
          </w:p>
        </w:tc>
        <w:tc>
          <w:tcPr>
            <w:tcW w:w="1833" w:type="pct"/>
            <w:vAlign w:val="center"/>
          </w:tcPr>
          <w:p w14:paraId="373F71A3">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速冻调制食品的加工与销售。</w:t>
            </w:r>
          </w:p>
        </w:tc>
        <w:tc>
          <w:tcPr>
            <w:tcW w:w="360" w:type="pct"/>
            <w:vAlign w:val="center"/>
          </w:tcPr>
          <w:p w14:paraId="17F7540E">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996</w:t>
            </w:r>
            <w:r>
              <w:rPr>
                <w:rFonts w:hint="eastAsia" w:ascii="宋体" w:hAnsi="宋体"/>
                <w:sz w:val="18"/>
                <w:szCs w:val="18"/>
              </w:rPr>
              <w:t>万</w:t>
            </w:r>
          </w:p>
        </w:tc>
        <w:tc>
          <w:tcPr>
            <w:tcW w:w="452" w:type="pct"/>
            <w:vAlign w:val="center"/>
          </w:tcPr>
          <w:p w14:paraId="06606EC3">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2,664.28</w:t>
            </w:r>
          </w:p>
        </w:tc>
        <w:tc>
          <w:tcPr>
            <w:tcW w:w="360" w:type="pct"/>
            <w:vAlign w:val="center"/>
          </w:tcPr>
          <w:p w14:paraId="3C85E1DE">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591.71</w:t>
            </w:r>
          </w:p>
        </w:tc>
        <w:tc>
          <w:tcPr>
            <w:tcW w:w="360" w:type="pct"/>
            <w:vAlign w:val="center"/>
          </w:tcPr>
          <w:p w14:paraId="7736CFDF">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2,667.06</w:t>
            </w:r>
          </w:p>
        </w:tc>
        <w:tc>
          <w:tcPr>
            <w:tcW w:w="361" w:type="pct"/>
            <w:vAlign w:val="center"/>
          </w:tcPr>
          <w:p w14:paraId="0CD19022">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76.04</w:t>
            </w:r>
          </w:p>
        </w:tc>
        <w:tc>
          <w:tcPr>
            <w:tcW w:w="359" w:type="pct"/>
            <w:vAlign w:val="center"/>
          </w:tcPr>
          <w:p w14:paraId="5E930E0A">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76.05</w:t>
            </w:r>
          </w:p>
        </w:tc>
      </w:tr>
      <w:tr w14:paraId="2F5E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5770CE72">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山东好当家海洋捕捞有限公司</w:t>
            </w:r>
          </w:p>
        </w:tc>
        <w:tc>
          <w:tcPr>
            <w:tcW w:w="1833" w:type="pct"/>
            <w:vAlign w:val="center"/>
          </w:tcPr>
          <w:p w14:paraId="1DACC16F">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海洋捕捞，以下限分公司经营：水产品冷冻加工销售，鱼粉、鱼油加工与销售，盐渍海带加工、销售。</w:t>
            </w:r>
          </w:p>
        </w:tc>
        <w:tc>
          <w:tcPr>
            <w:tcW w:w="360" w:type="pct"/>
            <w:vAlign w:val="center"/>
          </w:tcPr>
          <w:p w14:paraId="078586E2">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30,000</w:t>
            </w:r>
            <w:r>
              <w:rPr>
                <w:rFonts w:hint="eastAsia" w:ascii="宋体" w:hAnsi="宋体"/>
                <w:sz w:val="18"/>
                <w:szCs w:val="18"/>
              </w:rPr>
              <w:t>万</w:t>
            </w:r>
          </w:p>
        </w:tc>
        <w:tc>
          <w:tcPr>
            <w:tcW w:w="452" w:type="pct"/>
            <w:vAlign w:val="center"/>
          </w:tcPr>
          <w:p w14:paraId="2894517D">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68,770.11</w:t>
            </w:r>
          </w:p>
        </w:tc>
        <w:tc>
          <w:tcPr>
            <w:tcW w:w="360" w:type="pct"/>
            <w:vAlign w:val="center"/>
          </w:tcPr>
          <w:p w14:paraId="5D06E387">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23,221.06</w:t>
            </w:r>
          </w:p>
        </w:tc>
        <w:tc>
          <w:tcPr>
            <w:tcW w:w="360" w:type="pct"/>
            <w:vAlign w:val="center"/>
          </w:tcPr>
          <w:p w14:paraId="6C5397F1">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16,843.83</w:t>
            </w:r>
          </w:p>
        </w:tc>
        <w:tc>
          <w:tcPr>
            <w:tcW w:w="361" w:type="pct"/>
            <w:vAlign w:val="center"/>
          </w:tcPr>
          <w:p w14:paraId="5DF8F9F3">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2,066.17</w:t>
            </w:r>
          </w:p>
        </w:tc>
        <w:tc>
          <w:tcPr>
            <w:tcW w:w="359" w:type="pct"/>
            <w:vAlign w:val="center"/>
          </w:tcPr>
          <w:p w14:paraId="3399D3CB">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1,619.67</w:t>
            </w:r>
          </w:p>
        </w:tc>
      </w:tr>
      <w:tr w14:paraId="4381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647F4C81">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山东好当家海洋食品销售有限公司</w:t>
            </w:r>
          </w:p>
        </w:tc>
        <w:tc>
          <w:tcPr>
            <w:tcW w:w="1833" w:type="pct"/>
            <w:vAlign w:val="center"/>
          </w:tcPr>
          <w:p w14:paraId="02A6D160">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批发零售预包装食品、乳制品，泡发海参，包装装饰设计服务，房屋租赁。</w:t>
            </w:r>
          </w:p>
        </w:tc>
        <w:tc>
          <w:tcPr>
            <w:tcW w:w="360" w:type="pct"/>
            <w:vAlign w:val="center"/>
          </w:tcPr>
          <w:p w14:paraId="54BB018D">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1,000</w:t>
            </w:r>
            <w:r>
              <w:rPr>
                <w:rFonts w:hint="eastAsia" w:ascii="宋体" w:hAnsi="宋体"/>
                <w:sz w:val="18"/>
                <w:szCs w:val="18"/>
              </w:rPr>
              <w:t>万</w:t>
            </w:r>
          </w:p>
        </w:tc>
        <w:tc>
          <w:tcPr>
            <w:tcW w:w="452" w:type="pct"/>
            <w:vAlign w:val="center"/>
          </w:tcPr>
          <w:p w14:paraId="2537687A">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4,764.32</w:t>
            </w:r>
          </w:p>
        </w:tc>
        <w:tc>
          <w:tcPr>
            <w:tcW w:w="360" w:type="pct"/>
            <w:vAlign w:val="center"/>
          </w:tcPr>
          <w:p w14:paraId="59AFCA2A">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-9,522.49</w:t>
            </w:r>
          </w:p>
        </w:tc>
        <w:tc>
          <w:tcPr>
            <w:tcW w:w="360" w:type="pct"/>
            <w:vAlign w:val="center"/>
          </w:tcPr>
          <w:p w14:paraId="47EB8FCA">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3,231.83</w:t>
            </w:r>
          </w:p>
        </w:tc>
        <w:tc>
          <w:tcPr>
            <w:tcW w:w="361" w:type="pct"/>
            <w:vAlign w:val="center"/>
          </w:tcPr>
          <w:p w14:paraId="32F80CC1">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114.26</w:t>
            </w:r>
          </w:p>
        </w:tc>
        <w:tc>
          <w:tcPr>
            <w:tcW w:w="359" w:type="pct"/>
            <w:vAlign w:val="center"/>
          </w:tcPr>
          <w:p w14:paraId="710E0FD1">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119.86</w:t>
            </w:r>
          </w:p>
        </w:tc>
      </w:tr>
      <w:tr w14:paraId="1D92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637A3FE9">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威海海翔食品检测服务有限公司</w:t>
            </w:r>
          </w:p>
        </w:tc>
        <w:tc>
          <w:tcPr>
            <w:tcW w:w="1833" w:type="pct"/>
            <w:vAlign w:val="center"/>
          </w:tcPr>
          <w:p w14:paraId="63F2B44B">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食品检测服务。</w:t>
            </w:r>
          </w:p>
        </w:tc>
        <w:tc>
          <w:tcPr>
            <w:tcW w:w="360" w:type="pct"/>
            <w:vAlign w:val="center"/>
          </w:tcPr>
          <w:p w14:paraId="70FB9B9A">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2,000</w:t>
            </w:r>
            <w:r>
              <w:rPr>
                <w:rFonts w:hint="eastAsia" w:ascii="宋体" w:hAnsi="宋体"/>
                <w:sz w:val="18"/>
                <w:szCs w:val="18"/>
              </w:rPr>
              <w:t>万</w:t>
            </w:r>
          </w:p>
        </w:tc>
        <w:tc>
          <w:tcPr>
            <w:tcW w:w="452" w:type="pct"/>
            <w:vAlign w:val="center"/>
          </w:tcPr>
          <w:p w14:paraId="7F8D5488">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2,599.30</w:t>
            </w:r>
          </w:p>
        </w:tc>
        <w:tc>
          <w:tcPr>
            <w:tcW w:w="360" w:type="pct"/>
            <w:vAlign w:val="center"/>
          </w:tcPr>
          <w:p w14:paraId="6BF0F3B1">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1,544.24</w:t>
            </w:r>
          </w:p>
        </w:tc>
        <w:tc>
          <w:tcPr>
            <w:tcW w:w="360" w:type="pct"/>
            <w:vAlign w:val="center"/>
          </w:tcPr>
          <w:p w14:paraId="15C1CB1C">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79.05</w:t>
            </w:r>
          </w:p>
        </w:tc>
        <w:tc>
          <w:tcPr>
            <w:tcW w:w="361" w:type="pct"/>
            <w:vAlign w:val="center"/>
          </w:tcPr>
          <w:p w14:paraId="4699A3C0">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-10.01</w:t>
            </w:r>
          </w:p>
        </w:tc>
        <w:tc>
          <w:tcPr>
            <w:tcW w:w="359" w:type="pct"/>
            <w:vAlign w:val="center"/>
          </w:tcPr>
          <w:p w14:paraId="0F2BC788">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-9.81</w:t>
            </w:r>
          </w:p>
        </w:tc>
      </w:tr>
      <w:tr w14:paraId="33ED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150D6069">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好当家乳山荣佳食品有限公司</w:t>
            </w:r>
          </w:p>
        </w:tc>
        <w:tc>
          <w:tcPr>
            <w:tcW w:w="1833" w:type="pct"/>
            <w:vAlign w:val="center"/>
          </w:tcPr>
          <w:p w14:paraId="3D386BCB">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果蔬罐头、畜禽水产罐头生产、销售。水产品冷冻储存及初级加工、销售。</w:t>
            </w:r>
          </w:p>
        </w:tc>
        <w:tc>
          <w:tcPr>
            <w:tcW w:w="360" w:type="pct"/>
            <w:vAlign w:val="center"/>
          </w:tcPr>
          <w:p w14:paraId="388C27CF">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5,000</w:t>
            </w:r>
            <w:r>
              <w:rPr>
                <w:rFonts w:hint="eastAsia" w:ascii="宋体" w:hAnsi="宋体"/>
                <w:sz w:val="18"/>
                <w:szCs w:val="18"/>
              </w:rPr>
              <w:t>万</w:t>
            </w:r>
          </w:p>
        </w:tc>
        <w:tc>
          <w:tcPr>
            <w:tcW w:w="452" w:type="pct"/>
            <w:vAlign w:val="center"/>
          </w:tcPr>
          <w:p w14:paraId="73DFFA9A">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4,605.25</w:t>
            </w:r>
          </w:p>
        </w:tc>
        <w:tc>
          <w:tcPr>
            <w:tcW w:w="360" w:type="pct"/>
            <w:vAlign w:val="center"/>
          </w:tcPr>
          <w:p w14:paraId="729DCDF1">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-2,635.72</w:t>
            </w:r>
          </w:p>
        </w:tc>
        <w:tc>
          <w:tcPr>
            <w:tcW w:w="360" w:type="pct"/>
            <w:vAlign w:val="center"/>
          </w:tcPr>
          <w:p w14:paraId="2AF29B40">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644.19</w:t>
            </w:r>
          </w:p>
        </w:tc>
        <w:tc>
          <w:tcPr>
            <w:tcW w:w="361" w:type="pct"/>
            <w:vAlign w:val="center"/>
          </w:tcPr>
          <w:p w14:paraId="383AB41A">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-333.32</w:t>
            </w:r>
          </w:p>
        </w:tc>
        <w:tc>
          <w:tcPr>
            <w:tcW w:w="359" w:type="pct"/>
            <w:vAlign w:val="center"/>
          </w:tcPr>
          <w:p w14:paraId="3F1C18B8">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-332.55</w:t>
            </w:r>
          </w:p>
        </w:tc>
      </w:tr>
      <w:tr w14:paraId="7FBC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2CA7D39C">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山东海普盾生物科技有限公司</w:t>
            </w:r>
          </w:p>
        </w:tc>
        <w:tc>
          <w:tcPr>
            <w:tcW w:w="1833" w:type="pct"/>
            <w:vAlign w:val="center"/>
          </w:tcPr>
          <w:p w14:paraId="3D6DC770">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海参饮料、好当家软胶囊、糖果的加工、销售，海参、海蜇、生物技术研究开发，化妆品的销售。</w:t>
            </w:r>
          </w:p>
        </w:tc>
        <w:tc>
          <w:tcPr>
            <w:tcW w:w="360" w:type="pct"/>
            <w:vAlign w:val="center"/>
          </w:tcPr>
          <w:p w14:paraId="3788DD45">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12,100</w:t>
            </w:r>
            <w:r>
              <w:rPr>
                <w:rFonts w:hint="eastAsia" w:ascii="宋体" w:hAnsi="宋体"/>
                <w:sz w:val="18"/>
                <w:szCs w:val="18"/>
              </w:rPr>
              <w:t>万</w:t>
            </w:r>
          </w:p>
        </w:tc>
        <w:tc>
          <w:tcPr>
            <w:tcW w:w="452" w:type="pct"/>
            <w:vAlign w:val="center"/>
          </w:tcPr>
          <w:p w14:paraId="189D61C8">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11,040.72</w:t>
            </w:r>
          </w:p>
        </w:tc>
        <w:tc>
          <w:tcPr>
            <w:tcW w:w="360" w:type="pct"/>
            <w:vAlign w:val="center"/>
          </w:tcPr>
          <w:p w14:paraId="68BCF498">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10,096.68</w:t>
            </w:r>
          </w:p>
        </w:tc>
        <w:tc>
          <w:tcPr>
            <w:tcW w:w="360" w:type="pct"/>
            <w:vAlign w:val="center"/>
          </w:tcPr>
          <w:p w14:paraId="34005B3D">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567.99</w:t>
            </w:r>
          </w:p>
        </w:tc>
        <w:tc>
          <w:tcPr>
            <w:tcW w:w="361" w:type="pct"/>
            <w:vAlign w:val="center"/>
          </w:tcPr>
          <w:p w14:paraId="0CB8FBD8">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-171.99</w:t>
            </w:r>
          </w:p>
        </w:tc>
        <w:tc>
          <w:tcPr>
            <w:tcW w:w="359" w:type="pct"/>
            <w:vAlign w:val="center"/>
          </w:tcPr>
          <w:p w14:paraId="2FA2484A">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-169.90</w:t>
            </w:r>
          </w:p>
        </w:tc>
      </w:tr>
      <w:tr w14:paraId="3F52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6BAEBE2A">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山东好当家海森药业有限公司</w:t>
            </w:r>
          </w:p>
        </w:tc>
        <w:tc>
          <w:tcPr>
            <w:tcW w:w="1833" w:type="pct"/>
            <w:vAlign w:val="center"/>
          </w:tcPr>
          <w:p w14:paraId="29C24446">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片剂、硬胶囊剂、颗粒剂制造销售，中药材的初加工销售。</w:t>
            </w:r>
          </w:p>
        </w:tc>
        <w:tc>
          <w:tcPr>
            <w:tcW w:w="360" w:type="pct"/>
            <w:vAlign w:val="center"/>
          </w:tcPr>
          <w:p w14:paraId="1CC20461">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5,000</w:t>
            </w:r>
            <w:r>
              <w:rPr>
                <w:rFonts w:hint="eastAsia" w:ascii="宋体" w:hAnsi="宋体"/>
                <w:sz w:val="18"/>
                <w:szCs w:val="18"/>
              </w:rPr>
              <w:t>万</w:t>
            </w:r>
          </w:p>
        </w:tc>
        <w:tc>
          <w:tcPr>
            <w:tcW w:w="452" w:type="pct"/>
            <w:vAlign w:val="center"/>
          </w:tcPr>
          <w:p w14:paraId="5A2EB3A3">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7,099.68</w:t>
            </w:r>
          </w:p>
        </w:tc>
        <w:tc>
          <w:tcPr>
            <w:tcW w:w="360" w:type="pct"/>
            <w:vAlign w:val="center"/>
          </w:tcPr>
          <w:p w14:paraId="4CAE491C">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407.96</w:t>
            </w:r>
          </w:p>
        </w:tc>
        <w:tc>
          <w:tcPr>
            <w:tcW w:w="360" w:type="pct"/>
            <w:vAlign w:val="center"/>
          </w:tcPr>
          <w:p w14:paraId="5537894B">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304.76</w:t>
            </w:r>
          </w:p>
        </w:tc>
        <w:tc>
          <w:tcPr>
            <w:tcW w:w="361" w:type="pct"/>
            <w:vAlign w:val="center"/>
          </w:tcPr>
          <w:p w14:paraId="4E9ADF15">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-159.00</w:t>
            </w:r>
          </w:p>
        </w:tc>
        <w:tc>
          <w:tcPr>
            <w:tcW w:w="359" w:type="pct"/>
            <w:vAlign w:val="center"/>
          </w:tcPr>
          <w:p w14:paraId="266D047E">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-157.76</w:t>
            </w:r>
          </w:p>
        </w:tc>
      </w:tr>
      <w:tr w14:paraId="7A5B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4D334024">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荣成市荣顺塑料管业有限公司</w:t>
            </w:r>
          </w:p>
        </w:tc>
        <w:tc>
          <w:tcPr>
            <w:tcW w:w="1833" w:type="pct"/>
            <w:vAlign w:val="center"/>
          </w:tcPr>
          <w:p w14:paraId="42307D6B">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塑料管及塑料制品的生产与销售。</w:t>
            </w:r>
          </w:p>
        </w:tc>
        <w:tc>
          <w:tcPr>
            <w:tcW w:w="360" w:type="pct"/>
            <w:vAlign w:val="center"/>
          </w:tcPr>
          <w:p w14:paraId="594851A1">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500</w:t>
            </w:r>
            <w:r>
              <w:rPr>
                <w:rFonts w:hint="eastAsia" w:ascii="宋体" w:hAnsi="宋体"/>
                <w:sz w:val="18"/>
                <w:szCs w:val="18"/>
              </w:rPr>
              <w:t>万</w:t>
            </w:r>
          </w:p>
        </w:tc>
        <w:tc>
          <w:tcPr>
            <w:tcW w:w="452" w:type="pct"/>
            <w:vAlign w:val="center"/>
          </w:tcPr>
          <w:p w14:paraId="46706C92">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2,373.14</w:t>
            </w:r>
          </w:p>
        </w:tc>
        <w:tc>
          <w:tcPr>
            <w:tcW w:w="360" w:type="pct"/>
            <w:vAlign w:val="center"/>
          </w:tcPr>
          <w:p w14:paraId="62020A22">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1,007.21</w:t>
            </w:r>
          </w:p>
        </w:tc>
        <w:tc>
          <w:tcPr>
            <w:tcW w:w="360" w:type="pct"/>
            <w:vAlign w:val="center"/>
          </w:tcPr>
          <w:p w14:paraId="034BA62D">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387.72</w:t>
            </w:r>
          </w:p>
        </w:tc>
        <w:tc>
          <w:tcPr>
            <w:tcW w:w="361" w:type="pct"/>
            <w:vAlign w:val="center"/>
          </w:tcPr>
          <w:p w14:paraId="0832CE70">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-17.39</w:t>
            </w:r>
          </w:p>
        </w:tc>
        <w:tc>
          <w:tcPr>
            <w:tcW w:w="359" w:type="pct"/>
            <w:vAlign w:val="center"/>
          </w:tcPr>
          <w:p w14:paraId="20265A1C">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-0.77</w:t>
            </w:r>
          </w:p>
        </w:tc>
      </w:tr>
      <w:tr w14:paraId="5649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2A840696">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荣成好当家远洋渔业有限公司</w:t>
            </w:r>
          </w:p>
        </w:tc>
        <w:tc>
          <w:tcPr>
            <w:tcW w:w="1833" w:type="pct"/>
            <w:vAlign w:val="center"/>
          </w:tcPr>
          <w:p w14:paraId="25FD6736">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海水捕捞销售</w:t>
            </w:r>
            <w:r>
              <w:rPr>
                <w:rFonts w:hint="eastAsia" w:ascii="宋体" w:hAnsi="宋体" w:cs="Times New Roman"/>
                <w:sz w:val="18"/>
                <w:szCs w:val="18"/>
              </w:rPr>
              <w:t>;</w:t>
            </w:r>
            <w:r>
              <w:rPr>
                <w:rFonts w:hint="eastAsia" w:ascii="宋体" w:hAnsi="宋体"/>
                <w:sz w:val="18"/>
                <w:szCs w:val="18"/>
              </w:rPr>
              <w:t>经营备案范围内的货物和技术的进出口业务。</w:t>
            </w:r>
          </w:p>
        </w:tc>
        <w:tc>
          <w:tcPr>
            <w:tcW w:w="360" w:type="pct"/>
            <w:vAlign w:val="center"/>
          </w:tcPr>
          <w:p w14:paraId="056D375F">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8,000</w:t>
            </w:r>
            <w:r>
              <w:rPr>
                <w:rFonts w:hint="eastAsia" w:ascii="宋体" w:hAnsi="宋体"/>
                <w:sz w:val="18"/>
                <w:szCs w:val="18"/>
              </w:rPr>
              <w:t>万</w:t>
            </w:r>
          </w:p>
        </w:tc>
        <w:tc>
          <w:tcPr>
            <w:tcW w:w="452" w:type="pct"/>
            <w:vAlign w:val="center"/>
          </w:tcPr>
          <w:p w14:paraId="49F1E631">
            <w:pPr>
              <w:kinsoku w:val="0"/>
              <w:overflowPunct w:val="0"/>
              <w:autoSpaceDE w:val="0"/>
              <w:autoSpaceDN w:val="0"/>
              <w:adjustRightInd w:val="0"/>
              <w:snapToGrid w:val="0"/>
              <w:jc w:val="right"/>
              <w:rPr>
                <w:rFonts w:hint="eastAsia" w:ascii="宋体" w:hAnsi="宋体"/>
                <w:sz w:val="18"/>
                <w:szCs w:val="18"/>
              </w:rPr>
            </w:pPr>
          </w:p>
        </w:tc>
        <w:tc>
          <w:tcPr>
            <w:tcW w:w="360" w:type="pct"/>
            <w:vAlign w:val="center"/>
          </w:tcPr>
          <w:p w14:paraId="6018C5DB">
            <w:pPr>
              <w:kinsoku w:val="0"/>
              <w:overflowPunct w:val="0"/>
              <w:autoSpaceDE w:val="0"/>
              <w:autoSpaceDN w:val="0"/>
              <w:adjustRightInd w:val="0"/>
              <w:snapToGrid w:val="0"/>
              <w:jc w:val="right"/>
              <w:rPr>
                <w:rFonts w:hint="eastAsia" w:ascii="宋体" w:hAnsi="宋体"/>
                <w:sz w:val="18"/>
                <w:szCs w:val="18"/>
              </w:rPr>
            </w:pPr>
          </w:p>
        </w:tc>
        <w:tc>
          <w:tcPr>
            <w:tcW w:w="360" w:type="pct"/>
            <w:vAlign w:val="center"/>
          </w:tcPr>
          <w:p w14:paraId="316B5D84">
            <w:pPr>
              <w:kinsoku w:val="0"/>
              <w:overflowPunct w:val="0"/>
              <w:autoSpaceDE w:val="0"/>
              <w:autoSpaceDN w:val="0"/>
              <w:adjustRightInd w:val="0"/>
              <w:snapToGrid w:val="0"/>
              <w:jc w:val="right"/>
              <w:rPr>
                <w:rFonts w:hint="eastAsia" w:ascii="宋体" w:hAnsi="宋体"/>
                <w:sz w:val="18"/>
                <w:szCs w:val="18"/>
              </w:rPr>
            </w:pPr>
          </w:p>
        </w:tc>
        <w:tc>
          <w:tcPr>
            <w:tcW w:w="361" w:type="pct"/>
            <w:vAlign w:val="center"/>
          </w:tcPr>
          <w:p w14:paraId="7EEF6D90">
            <w:pPr>
              <w:kinsoku w:val="0"/>
              <w:overflowPunct w:val="0"/>
              <w:autoSpaceDE w:val="0"/>
              <w:autoSpaceDN w:val="0"/>
              <w:adjustRightInd w:val="0"/>
              <w:snapToGrid w:val="0"/>
              <w:jc w:val="right"/>
              <w:rPr>
                <w:rFonts w:hint="eastAsia" w:ascii="宋体" w:hAnsi="宋体"/>
                <w:sz w:val="18"/>
                <w:szCs w:val="18"/>
              </w:rPr>
            </w:pPr>
          </w:p>
        </w:tc>
        <w:tc>
          <w:tcPr>
            <w:tcW w:w="359" w:type="pct"/>
            <w:vAlign w:val="center"/>
          </w:tcPr>
          <w:p w14:paraId="424B1AA2">
            <w:pPr>
              <w:kinsoku w:val="0"/>
              <w:overflowPunct w:val="0"/>
              <w:autoSpaceDE w:val="0"/>
              <w:autoSpaceDN w:val="0"/>
              <w:adjustRightInd w:val="0"/>
              <w:snapToGrid w:val="0"/>
              <w:jc w:val="right"/>
              <w:rPr>
                <w:rFonts w:hint="eastAsia" w:ascii="宋体" w:hAnsi="宋体"/>
                <w:sz w:val="18"/>
                <w:szCs w:val="18"/>
              </w:rPr>
            </w:pPr>
          </w:p>
        </w:tc>
      </w:tr>
      <w:tr w14:paraId="595D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5FA460F0">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防城港市好当家海洋捕捞有限公司</w:t>
            </w:r>
          </w:p>
        </w:tc>
        <w:tc>
          <w:tcPr>
            <w:tcW w:w="1833" w:type="pct"/>
            <w:vAlign w:val="center"/>
          </w:tcPr>
          <w:p w14:paraId="4027B5F9">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海洋捕捞的项目投资。</w:t>
            </w:r>
          </w:p>
        </w:tc>
        <w:tc>
          <w:tcPr>
            <w:tcW w:w="360" w:type="pct"/>
            <w:vAlign w:val="center"/>
          </w:tcPr>
          <w:p w14:paraId="4E7CE2AE">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1,000</w:t>
            </w:r>
            <w:r>
              <w:rPr>
                <w:rFonts w:hint="eastAsia" w:ascii="宋体" w:hAnsi="宋体"/>
                <w:sz w:val="18"/>
                <w:szCs w:val="18"/>
              </w:rPr>
              <w:t>万</w:t>
            </w:r>
          </w:p>
        </w:tc>
        <w:tc>
          <w:tcPr>
            <w:tcW w:w="452" w:type="pct"/>
            <w:vAlign w:val="center"/>
          </w:tcPr>
          <w:p w14:paraId="28110328">
            <w:pPr>
              <w:kinsoku w:val="0"/>
              <w:overflowPunct w:val="0"/>
              <w:autoSpaceDE w:val="0"/>
              <w:autoSpaceDN w:val="0"/>
              <w:adjustRightInd w:val="0"/>
              <w:snapToGrid w:val="0"/>
              <w:jc w:val="right"/>
              <w:rPr>
                <w:rFonts w:hint="eastAsia" w:ascii="宋体" w:hAnsi="宋体"/>
                <w:sz w:val="18"/>
                <w:szCs w:val="18"/>
              </w:rPr>
            </w:pPr>
          </w:p>
        </w:tc>
        <w:tc>
          <w:tcPr>
            <w:tcW w:w="360" w:type="pct"/>
            <w:vAlign w:val="center"/>
          </w:tcPr>
          <w:p w14:paraId="2FB2D61F">
            <w:pPr>
              <w:kinsoku w:val="0"/>
              <w:overflowPunct w:val="0"/>
              <w:autoSpaceDE w:val="0"/>
              <w:autoSpaceDN w:val="0"/>
              <w:adjustRightInd w:val="0"/>
              <w:snapToGrid w:val="0"/>
              <w:jc w:val="right"/>
              <w:rPr>
                <w:rFonts w:hint="eastAsia" w:ascii="宋体" w:hAnsi="宋体"/>
                <w:sz w:val="18"/>
                <w:szCs w:val="18"/>
              </w:rPr>
            </w:pPr>
          </w:p>
        </w:tc>
        <w:tc>
          <w:tcPr>
            <w:tcW w:w="360" w:type="pct"/>
            <w:vAlign w:val="center"/>
          </w:tcPr>
          <w:p w14:paraId="7ACD2CC3">
            <w:pPr>
              <w:kinsoku w:val="0"/>
              <w:overflowPunct w:val="0"/>
              <w:autoSpaceDE w:val="0"/>
              <w:autoSpaceDN w:val="0"/>
              <w:adjustRightInd w:val="0"/>
              <w:snapToGrid w:val="0"/>
              <w:jc w:val="right"/>
              <w:rPr>
                <w:rFonts w:hint="eastAsia" w:ascii="宋体" w:hAnsi="宋体"/>
                <w:sz w:val="18"/>
                <w:szCs w:val="18"/>
              </w:rPr>
            </w:pPr>
          </w:p>
        </w:tc>
        <w:tc>
          <w:tcPr>
            <w:tcW w:w="361" w:type="pct"/>
            <w:vAlign w:val="center"/>
          </w:tcPr>
          <w:p w14:paraId="2C3B3C50">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22.55</w:t>
            </w:r>
          </w:p>
        </w:tc>
        <w:tc>
          <w:tcPr>
            <w:tcW w:w="359" w:type="pct"/>
            <w:vAlign w:val="center"/>
          </w:tcPr>
          <w:p w14:paraId="77858C1F">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22.55</w:t>
            </w:r>
          </w:p>
        </w:tc>
      </w:tr>
      <w:tr w14:paraId="3D67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70C140A1">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山东好当家调理食品销售有限公司</w:t>
            </w:r>
          </w:p>
        </w:tc>
        <w:tc>
          <w:tcPr>
            <w:tcW w:w="1833" w:type="pct"/>
            <w:vAlign w:val="center"/>
          </w:tcPr>
          <w:p w14:paraId="40D96436">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批发兼零售预包装食品兼散装食品，乳制品（不含婴幼儿配方乳粉）。</w:t>
            </w:r>
          </w:p>
        </w:tc>
        <w:tc>
          <w:tcPr>
            <w:tcW w:w="360" w:type="pct"/>
            <w:vAlign w:val="center"/>
          </w:tcPr>
          <w:p w14:paraId="6EE6520B">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1,000</w:t>
            </w:r>
            <w:r>
              <w:rPr>
                <w:rFonts w:hint="eastAsia" w:ascii="宋体" w:hAnsi="宋体"/>
                <w:sz w:val="18"/>
                <w:szCs w:val="18"/>
              </w:rPr>
              <w:t>万</w:t>
            </w:r>
          </w:p>
        </w:tc>
        <w:tc>
          <w:tcPr>
            <w:tcW w:w="452" w:type="pct"/>
            <w:vAlign w:val="center"/>
          </w:tcPr>
          <w:p w14:paraId="14E65574">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845.89</w:t>
            </w:r>
          </w:p>
        </w:tc>
        <w:tc>
          <w:tcPr>
            <w:tcW w:w="360" w:type="pct"/>
            <w:vAlign w:val="center"/>
          </w:tcPr>
          <w:p w14:paraId="6368F484">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792.06</w:t>
            </w:r>
          </w:p>
        </w:tc>
        <w:tc>
          <w:tcPr>
            <w:tcW w:w="360" w:type="pct"/>
            <w:vAlign w:val="center"/>
          </w:tcPr>
          <w:p w14:paraId="4C7960B1">
            <w:pPr>
              <w:kinsoku w:val="0"/>
              <w:overflowPunct w:val="0"/>
              <w:autoSpaceDE w:val="0"/>
              <w:autoSpaceDN w:val="0"/>
              <w:adjustRightInd w:val="0"/>
              <w:snapToGrid w:val="0"/>
              <w:jc w:val="right"/>
              <w:rPr>
                <w:rFonts w:hint="eastAsia" w:ascii="宋体" w:hAnsi="宋体"/>
                <w:sz w:val="18"/>
                <w:szCs w:val="18"/>
              </w:rPr>
            </w:pPr>
          </w:p>
        </w:tc>
        <w:tc>
          <w:tcPr>
            <w:tcW w:w="361" w:type="pct"/>
            <w:vAlign w:val="center"/>
          </w:tcPr>
          <w:p w14:paraId="677F3FFD">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-3.72</w:t>
            </w:r>
          </w:p>
        </w:tc>
        <w:tc>
          <w:tcPr>
            <w:tcW w:w="359" w:type="pct"/>
            <w:vAlign w:val="center"/>
          </w:tcPr>
          <w:p w14:paraId="17C6B703">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-3.72</w:t>
            </w:r>
          </w:p>
        </w:tc>
      </w:tr>
      <w:tr w14:paraId="29EC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4CD8FBE6">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日照好当家荣海水产有限公司</w:t>
            </w:r>
          </w:p>
        </w:tc>
        <w:tc>
          <w:tcPr>
            <w:tcW w:w="1833" w:type="pct"/>
            <w:vAlign w:val="center"/>
          </w:tcPr>
          <w:p w14:paraId="3B44795A">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水产品冷冻加工销售、货物专用运输、纸箱包装、网具加工销售。</w:t>
            </w:r>
          </w:p>
        </w:tc>
        <w:tc>
          <w:tcPr>
            <w:tcW w:w="360" w:type="pct"/>
            <w:vAlign w:val="center"/>
          </w:tcPr>
          <w:p w14:paraId="4CF04085">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2,000</w:t>
            </w:r>
            <w:r>
              <w:rPr>
                <w:rFonts w:hint="eastAsia" w:ascii="宋体" w:hAnsi="宋体"/>
                <w:sz w:val="18"/>
                <w:szCs w:val="18"/>
              </w:rPr>
              <w:t>万</w:t>
            </w:r>
          </w:p>
        </w:tc>
        <w:tc>
          <w:tcPr>
            <w:tcW w:w="452" w:type="pct"/>
            <w:vAlign w:val="center"/>
          </w:tcPr>
          <w:p w14:paraId="37E80B74">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1,043.65</w:t>
            </w:r>
          </w:p>
        </w:tc>
        <w:tc>
          <w:tcPr>
            <w:tcW w:w="360" w:type="pct"/>
            <w:vAlign w:val="center"/>
          </w:tcPr>
          <w:p w14:paraId="5C0C3283">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974.23</w:t>
            </w:r>
          </w:p>
        </w:tc>
        <w:tc>
          <w:tcPr>
            <w:tcW w:w="360" w:type="pct"/>
            <w:vAlign w:val="center"/>
          </w:tcPr>
          <w:p w14:paraId="5AFAAF78">
            <w:pPr>
              <w:kinsoku w:val="0"/>
              <w:overflowPunct w:val="0"/>
              <w:autoSpaceDE w:val="0"/>
              <w:autoSpaceDN w:val="0"/>
              <w:adjustRightInd w:val="0"/>
              <w:snapToGrid w:val="0"/>
              <w:jc w:val="right"/>
              <w:rPr>
                <w:rFonts w:hint="eastAsia" w:ascii="宋体" w:hAnsi="宋体"/>
                <w:sz w:val="18"/>
                <w:szCs w:val="18"/>
              </w:rPr>
            </w:pPr>
          </w:p>
        </w:tc>
        <w:tc>
          <w:tcPr>
            <w:tcW w:w="361" w:type="pct"/>
            <w:vAlign w:val="center"/>
          </w:tcPr>
          <w:p w14:paraId="5E2A6D4D">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-0.01</w:t>
            </w:r>
          </w:p>
        </w:tc>
        <w:tc>
          <w:tcPr>
            <w:tcW w:w="359" w:type="pct"/>
            <w:vAlign w:val="center"/>
          </w:tcPr>
          <w:p w14:paraId="1CB01398">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-0.01</w:t>
            </w:r>
          </w:p>
        </w:tc>
      </w:tr>
      <w:tr w14:paraId="4EAB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vAlign w:val="center"/>
          </w:tcPr>
          <w:p w14:paraId="6C755AF2">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山东参源育苗有限公司</w:t>
            </w:r>
          </w:p>
        </w:tc>
        <w:tc>
          <w:tcPr>
            <w:tcW w:w="1833" w:type="pct"/>
            <w:vAlign w:val="center"/>
          </w:tcPr>
          <w:p w14:paraId="6D2EE94D">
            <w:pPr>
              <w:kinsoku w:val="0"/>
              <w:overflowPunct w:val="0"/>
              <w:autoSpaceDE w:val="0"/>
              <w:autoSpaceDN w:val="0"/>
              <w:adjustRightInd w:val="0"/>
              <w:snapToGrid w:val="0"/>
              <w:rPr>
                <w:rFonts w:hint="eastAsia" w:ascii="宋体" w:hAnsi="宋体"/>
                <w:sz w:val="18"/>
                <w:szCs w:val="18"/>
              </w:rPr>
            </w:pPr>
            <w:r>
              <w:rPr>
                <w:rFonts w:hint="eastAsia" w:ascii="宋体" w:hAnsi="宋体"/>
                <w:sz w:val="18"/>
                <w:szCs w:val="18"/>
              </w:rPr>
              <w:t>水产苗种生产（依法须经批准的项目，经相关部门批准后方可开展经营活动，具体经营项目以审批结果为准）</w:t>
            </w:r>
          </w:p>
        </w:tc>
        <w:tc>
          <w:tcPr>
            <w:tcW w:w="360" w:type="pct"/>
            <w:vAlign w:val="center"/>
          </w:tcPr>
          <w:p w14:paraId="3BB924B0">
            <w:pPr>
              <w:kinsoku w:val="0"/>
              <w:overflowPunct w:val="0"/>
              <w:autoSpaceDE w:val="0"/>
              <w:autoSpaceDN w:val="0"/>
              <w:adjustRightInd w:val="0"/>
              <w:snapToGrid w:val="0"/>
              <w:jc w:val="right"/>
              <w:rPr>
                <w:rFonts w:hint="eastAsia" w:ascii="宋体" w:hAnsi="宋体"/>
                <w:sz w:val="18"/>
                <w:szCs w:val="18"/>
              </w:rPr>
            </w:pPr>
            <w:r>
              <w:rPr>
                <w:rFonts w:hint="eastAsia" w:ascii="宋体" w:hAnsi="宋体" w:cs="Times New Roman"/>
                <w:sz w:val="18"/>
                <w:szCs w:val="18"/>
              </w:rPr>
              <w:t>12,000</w:t>
            </w:r>
            <w:r>
              <w:rPr>
                <w:rFonts w:hint="eastAsia" w:ascii="宋体" w:hAnsi="宋体"/>
                <w:sz w:val="18"/>
                <w:szCs w:val="18"/>
              </w:rPr>
              <w:t>万</w:t>
            </w:r>
          </w:p>
        </w:tc>
        <w:tc>
          <w:tcPr>
            <w:tcW w:w="452" w:type="pct"/>
            <w:vAlign w:val="center"/>
          </w:tcPr>
          <w:p w14:paraId="48C13533">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44,794.53</w:t>
            </w:r>
          </w:p>
        </w:tc>
        <w:tc>
          <w:tcPr>
            <w:tcW w:w="360" w:type="pct"/>
            <w:vAlign w:val="center"/>
          </w:tcPr>
          <w:p w14:paraId="3722C762">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11,249.03</w:t>
            </w:r>
          </w:p>
        </w:tc>
        <w:tc>
          <w:tcPr>
            <w:tcW w:w="360" w:type="pct"/>
            <w:vAlign w:val="center"/>
          </w:tcPr>
          <w:p w14:paraId="4C47DCFB">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2,167.96</w:t>
            </w:r>
          </w:p>
        </w:tc>
        <w:tc>
          <w:tcPr>
            <w:tcW w:w="361" w:type="pct"/>
            <w:vAlign w:val="center"/>
          </w:tcPr>
          <w:p w14:paraId="7BF575FA">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-246.23</w:t>
            </w:r>
          </w:p>
        </w:tc>
        <w:tc>
          <w:tcPr>
            <w:tcW w:w="359" w:type="pct"/>
            <w:vAlign w:val="center"/>
          </w:tcPr>
          <w:p w14:paraId="12BBEE23">
            <w:pPr>
              <w:kinsoku w:val="0"/>
              <w:overflowPunct w:val="0"/>
              <w:autoSpaceDE w:val="0"/>
              <w:autoSpaceDN w:val="0"/>
              <w:adjustRightInd w:val="0"/>
              <w:snapToGrid w:val="0"/>
              <w:jc w:val="right"/>
              <w:rPr>
                <w:rFonts w:hint="eastAsia" w:ascii="宋体" w:hAnsi="宋体"/>
                <w:sz w:val="18"/>
                <w:szCs w:val="18"/>
              </w:rPr>
            </w:pPr>
            <w:r>
              <w:rPr>
                <w:rFonts w:hint="eastAsia" w:ascii="宋体" w:hAnsi="宋体"/>
                <w:sz w:val="18"/>
                <w:szCs w:val="18"/>
              </w:rPr>
              <w:t>-246.23</w:t>
            </w:r>
          </w:p>
        </w:tc>
      </w:tr>
      <w:tr w14:paraId="731B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15" w:type="pct"/>
          </w:tcPr>
          <w:p w14:paraId="1FB4FDE4">
            <w:pPr>
              <w:kinsoku w:val="0"/>
              <w:overflowPunct w:val="0"/>
              <w:autoSpaceDE w:val="0"/>
              <w:autoSpaceDN w:val="0"/>
              <w:adjustRightInd w:val="0"/>
              <w:snapToGrid w:val="0"/>
              <w:jc w:val="center"/>
              <w:rPr>
                <w:sz w:val="18"/>
                <w:szCs w:val="18"/>
              </w:rPr>
            </w:pPr>
            <w:r>
              <w:rPr>
                <w:rFonts w:hint="eastAsia" w:ascii="宋体" w:hAnsi="宋体"/>
                <w:sz w:val="18"/>
                <w:szCs w:val="18"/>
              </w:rPr>
              <w:t>小　　计</w:t>
            </w:r>
          </w:p>
        </w:tc>
        <w:tc>
          <w:tcPr>
            <w:tcW w:w="1833" w:type="pct"/>
          </w:tcPr>
          <w:p w14:paraId="7D7CD2D7">
            <w:pPr>
              <w:kinsoku w:val="0"/>
              <w:overflowPunct w:val="0"/>
              <w:autoSpaceDE w:val="0"/>
              <w:autoSpaceDN w:val="0"/>
              <w:adjustRightInd w:val="0"/>
              <w:snapToGrid w:val="0"/>
              <w:rPr>
                <w:sz w:val="18"/>
                <w:szCs w:val="18"/>
              </w:rPr>
            </w:pPr>
          </w:p>
        </w:tc>
        <w:tc>
          <w:tcPr>
            <w:tcW w:w="360" w:type="pct"/>
          </w:tcPr>
          <w:p w14:paraId="38B17918">
            <w:pPr>
              <w:kinsoku w:val="0"/>
              <w:overflowPunct w:val="0"/>
              <w:autoSpaceDE w:val="0"/>
              <w:autoSpaceDN w:val="0"/>
              <w:adjustRightInd w:val="0"/>
              <w:snapToGrid w:val="0"/>
              <w:jc w:val="right"/>
              <w:rPr>
                <w:sz w:val="18"/>
                <w:szCs w:val="18"/>
              </w:rPr>
            </w:pPr>
          </w:p>
        </w:tc>
        <w:tc>
          <w:tcPr>
            <w:tcW w:w="452" w:type="pct"/>
            <w:vAlign w:val="center"/>
          </w:tcPr>
          <w:p w14:paraId="0B7F5248">
            <w:pPr>
              <w:kinsoku w:val="0"/>
              <w:overflowPunct w:val="0"/>
              <w:autoSpaceDE w:val="0"/>
              <w:autoSpaceDN w:val="0"/>
              <w:adjustRightInd w:val="0"/>
              <w:snapToGrid w:val="0"/>
              <w:jc w:val="right"/>
              <w:rPr>
                <w:rFonts w:hint="eastAsia" w:asciiTheme="minorEastAsia" w:hAnsiTheme="minorEastAsia" w:eastAsiaTheme="minorEastAsia"/>
                <w:sz w:val="18"/>
                <w:szCs w:val="18"/>
              </w:rPr>
            </w:pPr>
            <w:r>
              <w:rPr>
                <w:rFonts w:hint="eastAsia" w:asciiTheme="minorEastAsia" w:hAnsiTheme="minorEastAsia" w:eastAsiaTheme="minorEastAsia"/>
                <w:color w:val="000000"/>
                <w:sz w:val="18"/>
                <w:szCs w:val="18"/>
              </w:rPr>
              <w:t>172,978.03</w:t>
            </w:r>
          </w:p>
        </w:tc>
        <w:tc>
          <w:tcPr>
            <w:tcW w:w="360" w:type="pct"/>
            <w:vAlign w:val="center"/>
          </w:tcPr>
          <w:p w14:paraId="2E844F5A">
            <w:pPr>
              <w:kinsoku w:val="0"/>
              <w:overflowPunct w:val="0"/>
              <w:autoSpaceDE w:val="0"/>
              <w:autoSpaceDN w:val="0"/>
              <w:adjustRightInd w:val="0"/>
              <w:snapToGrid w:val="0"/>
              <w:jc w:val="right"/>
              <w:rPr>
                <w:rFonts w:hint="eastAsia" w:asciiTheme="minorEastAsia" w:hAnsiTheme="minorEastAsia" w:eastAsiaTheme="minorEastAsia"/>
                <w:sz w:val="18"/>
                <w:szCs w:val="18"/>
              </w:rPr>
            </w:pPr>
            <w:r>
              <w:rPr>
                <w:rFonts w:hint="eastAsia" w:asciiTheme="minorEastAsia" w:hAnsiTheme="minorEastAsia" w:eastAsiaTheme="minorEastAsia"/>
                <w:color w:val="000000"/>
                <w:sz w:val="18"/>
                <w:szCs w:val="18"/>
              </w:rPr>
              <w:t>35,233.95</w:t>
            </w:r>
          </w:p>
        </w:tc>
        <w:tc>
          <w:tcPr>
            <w:tcW w:w="360" w:type="pct"/>
            <w:vAlign w:val="center"/>
          </w:tcPr>
          <w:p w14:paraId="24E4F634">
            <w:pPr>
              <w:kinsoku w:val="0"/>
              <w:overflowPunct w:val="0"/>
              <w:autoSpaceDE w:val="0"/>
              <w:autoSpaceDN w:val="0"/>
              <w:adjustRightInd w:val="0"/>
              <w:snapToGrid w:val="0"/>
              <w:jc w:val="right"/>
              <w:rPr>
                <w:rFonts w:hint="eastAsia" w:asciiTheme="minorEastAsia" w:hAnsiTheme="minorEastAsia" w:eastAsiaTheme="minorEastAsia"/>
                <w:sz w:val="18"/>
                <w:szCs w:val="18"/>
              </w:rPr>
            </w:pPr>
            <w:r>
              <w:rPr>
                <w:rFonts w:hint="eastAsia" w:asciiTheme="minorEastAsia" w:hAnsiTheme="minorEastAsia" w:eastAsiaTheme="minorEastAsia"/>
                <w:color w:val="000000"/>
                <w:sz w:val="18"/>
                <w:szCs w:val="18"/>
              </w:rPr>
              <w:t>42,811.10</w:t>
            </w:r>
          </w:p>
        </w:tc>
        <w:tc>
          <w:tcPr>
            <w:tcW w:w="361" w:type="pct"/>
            <w:vAlign w:val="center"/>
          </w:tcPr>
          <w:p w14:paraId="7EC5FFCE">
            <w:pPr>
              <w:kinsoku w:val="0"/>
              <w:overflowPunct w:val="0"/>
              <w:autoSpaceDE w:val="0"/>
              <w:autoSpaceDN w:val="0"/>
              <w:adjustRightInd w:val="0"/>
              <w:snapToGrid w:val="0"/>
              <w:jc w:val="right"/>
              <w:rPr>
                <w:rFonts w:hint="eastAsia" w:asciiTheme="minorEastAsia" w:hAnsiTheme="minorEastAsia" w:eastAsiaTheme="minorEastAsia"/>
                <w:sz w:val="18"/>
                <w:szCs w:val="18"/>
              </w:rPr>
            </w:pPr>
            <w:r>
              <w:rPr>
                <w:rFonts w:hint="eastAsia" w:asciiTheme="minorEastAsia" w:hAnsiTheme="minorEastAsia" w:eastAsiaTheme="minorEastAsia"/>
                <w:color w:val="000000"/>
                <w:sz w:val="18"/>
                <w:szCs w:val="18"/>
              </w:rPr>
              <w:t>1,438.49</w:t>
            </w:r>
          </w:p>
        </w:tc>
        <w:tc>
          <w:tcPr>
            <w:tcW w:w="359" w:type="pct"/>
            <w:vAlign w:val="center"/>
          </w:tcPr>
          <w:p w14:paraId="0CF376A7">
            <w:pPr>
              <w:kinsoku w:val="0"/>
              <w:overflowPunct w:val="0"/>
              <w:autoSpaceDE w:val="0"/>
              <w:autoSpaceDN w:val="0"/>
              <w:adjustRightInd w:val="0"/>
              <w:snapToGrid w:val="0"/>
              <w:jc w:val="right"/>
              <w:rPr>
                <w:rFonts w:hint="eastAsia" w:asciiTheme="minorEastAsia" w:hAnsiTheme="minorEastAsia" w:eastAsiaTheme="minorEastAsia"/>
                <w:sz w:val="18"/>
                <w:szCs w:val="18"/>
              </w:rPr>
            </w:pPr>
            <w:r>
              <w:rPr>
                <w:rFonts w:hint="eastAsia" w:asciiTheme="minorEastAsia" w:hAnsiTheme="minorEastAsia" w:eastAsiaTheme="minorEastAsia"/>
                <w:color w:val="000000"/>
                <w:sz w:val="18"/>
                <w:szCs w:val="18"/>
              </w:rPr>
              <w:t>1,011.16</w:t>
            </w:r>
          </w:p>
        </w:tc>
      </w:tr>
    </w:tbl>
    <w:p w14:paraId="05B10938"/>
    <w:p w14:paraId="73BB6103">
      <w:r>
        <w:rPr>
          <w:rFonts w:hint="eastAsia"/>
        </w:rPr>
        <w:t>报告期内取得和处置子公司的情况</w:t>
      </w:r>
    </w:p>
    <w:sdt>
      <w:sdtPr>
        <w:rPr>
          <w:rFonts w:hint="eastAsia"/>
          <w:color w:val="000000"/>
        </w:rPr>
        <w:alias w:val="是否适用：报告期内取得和处置子公司的情况[双击切换]"/>
        <w:tag w:val="_GBC_317312bfb3a94aa5a285111b44182c04"/>
        <w:id w:val="-695154064"/>
        <w:placeholder>
          <w:docPart w:val="GBC22222222222222222222222222222"/>
        </w:placeholder>
      </w:sdtPr>
      <w:sdtEndPr>
        <w:rPr>
          <w:rFonts w:hint="eastAsia"/>
          <w:color w:val="000000"/>
        </w:rPr>
      </w:sdtEndPr>
      <w:sdtContent>
        <w:p w14:paraId="22A0335E">
          <w:pPr>
            <w:rPr>
              <w:color w:val="000000"/>
            </w:rPr>
          </w:pPr>
          <w:r>
            <w:rPr>
              <w:rFonts w:hint="eastAsia" w:ascii="宋体" w:hAnsi="宋体"/>
              <w:color w:val="000000"/>
            </w:rPr>
            <w:fldChar w:fldCharType="begin"/>
          </w:r>
          <w:r>
            <w:rPr>
              <w:rFonts w:hint="eastAsia" w:ascii="宋体" w:hAnsi="宋体"/>
              <w:color w:val="000000"/>
            </w:rPr>
            <w:instrText xml:space="preserve"> MACROBUTTON  SnrToggleCheckbox □适用 </w:instrText>
          </w:r>
          <w:r>
            <w:rPr>
              <w:rFonts w:hint="eastAsia" w:ascii="宋体" w:hAnsi="宋体"/>
              <w:color w:val="000000"/>
            </w:rPr>
            <w:fldChar w:fldCharType="end"/>
          </w:r>
          <w:r>
            <w:rPr>
              <w:rFonts w:hint="eastAsia" w:ascii="宋体" w:hAnsi="宋体"/>
              <w:color w:val="000000"/>
            </w:rPr>
            <w:fldChar w:fldCharType="begin"/>
          </w:r>
          <w:r>
            <w:rPr>
              <w:rFonts w:hint="eastAsia" w:ascii="宋体" w:hAnsi="宋体"/>
              <w:color w:val="000000"/>
            </w:rPr>
            <w:instrText xml:space="preserve"> MACROBUTTON  SnrToggleCheckbox √不适用 </w:instrText>
          </w:r>
          <w:r>
            <w:rPr>
              <w:rFonts w:hint="eastAsia" w:ascii="宋体" w:hAnsi="宋体"/>
              <w:color w:val="000000"/>
            </w:rPr>
            <w:fldChar w:fldCharType="end"/>
          </w:r>
        </w:p>
      </w:sdtContent>
    </w:sdt>
    <w:p w14:paraId="633B09EA"/>
    <w:p w14:paraId="76DF68E6">
      <w:r>
        <w:rPr>
          <w:rFonts w:hint="eastAsia"/>
        </w:rPr>
        <w:t>其他说明</w:t>
      </w:r>
    </w:p>
    <w:sdt>
      <w:sdtPr>
        <w:rPr>
          <w:rFonts w:hint="eastAsia"/>
          <w:color w:val="000000"/>
        </w:rPr>
        <w:alias w:val="是否适用：主要控股参股公司分析其他说明[双击切换]"/>
        <w:tag w:val="_GBC_97a87b72cb0240beb3adbde0107adfd5"/>
        <w:id w:val="-1828668068"/>
        <w:placeholder>
          <w:docPart w:val="GBC22222222222222222222222222222"/>
        </w:placeholder>
      </w:sdtPr>
      <w:sdtEndPr>
        <w:rPr>
          <w:rFonts w:hint="eastAsia"/>
          <w:color w:val="000000"/>
        </w:rPr>
      </w:sdtEndPr>
      <w:sdtContent>
        <w:p w14:paraId="73C831E4">
          <w:pPr>
            <w:rPr>
              <w:color w:val="000000" w:themeColor="text1"/>
              <w14:textFill>
                <w14:solidFill>
                  <w14:schemeClr w14:val="tx1"/>
                </w14:solidFill>
              </w14:textFill>
            </w:rPr>
          </w:pPr>
          <w:r>
            <w:rPr>
              <w:rFonts w:hint="eastAsia" w:ascii="宋体" w:hAnsi="宋体"/>
              <w:color w:val="000000"/>
            </w:rPr>
            <w:fldChar w:fldCharType="begin"/>
          </w:r>
          <w:r>
            <w:rPr>
              <w:rFonts w:hint="eastAsia" w:ascii="宋体" w:hAnsi="宋体"/>
              <w:color w:val="000000"/>
            </w:rPr>
            <w:instrText xml:space="preserve"> MACROBUTTON  SnrToggleCheckbox □适用 </w:instrText>
          </w:r>
          <w:r>
            <w:rPr>
              <w:rFonts w:hint="eastAsia" w:ascii="宋体" w:hAnsi="宋体"/>
              <w:color w:val="000000"/>
            </w:rPr>
            <w:fldChar w:fldCharType="end"/>
          </w:r>
          <w:r>
            <w:rPr>
              <w:rFonts w:hint="eastAsia" w:ascii="宋体" w:hAnsi="宋体"/>
              <w:color w:val="000000"/>
            </w:rPr>
            <w:fldChar w:fldCharType="begin"/>
          </w:r>
          <w:r>
            <w:rPr>
              <w:rFonts w:hint="eastAsia" w:ascii="宋体" w:hAnsi="宋体"/>
              <w:color w:val="000000"/>
            </w:rPr>
            <w:instrText xml:space="preserve"> MACROBUTTON  SnrToggleCheckbox √不适用 </w:instrText>
          </w:r>
          <w:r>
            <w:rPr>
              <w:rFonts w:hint="eastAsia" w:ascii="宋体" w:hAnsi="宋体"/>
              <w:color w:val="000000"/>
            </w:rPr>
            <w:fldChar w:fldCharType="end"/>
          </w:r>
        </w:p>
      </w:sdtContent>
    </w:sdt>
    <w:p w14:paraId="622EFF39">
      <w:pPr>
        <w:rPr>
          <w:color w:val="000000" w:themeColor="text1"/>
          <w14:textFill>
            <w14:solidFill>
              <w14:schemeClr w14:val="tx1"/>
            </w14:solidFill>
          </w14:textFill>
        </w:rPr>
      </w:pPr>
    </w:p>
    <w:bookmarkEnd w:id="54"/>
    <w:p w14:paraId="4002103D">
      <w:pPr>
        <w:rPr>
          <w:color w:val="000000" w:themeColor="text1"/>
          <w14:textFill>
            <w14:solidFill>
              <w14:schemeClr w14:val="tx1"/>
            </w14:solidFill>
          </w14:textFill>
        </w:rPr>
      </w:pPr>
    </w:p>
    <w:p w14:paraId="2A35C888">
      <w:pPr>
        <w:pStyle w:val="4"/>
        <w:numPr>
          <w:ilvl w:val="0"/>
          <w:numId w:val="6"/>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公司控制的结构化主体情况</w:t>
      </w:r>
    </w:p>
    <w:sdt>
      <w:sdtPr>
        <w:rPr>
          <w:rFonts w:hint="eastAsia"/>
          <w:color w:val="000000" w:themeColor="text1"/>
          <w14:textFill>
            <w14:solidFill>
              <w14:schemeClr w14:val="tx1"/>
            </w14:solidFill>
          </w14:textFill>
        </w:rPr>
        <w:alias w:val="是否适用：公司控制的结构化主体情况[双击切换]"/>
        <w:tag w:val="_GBC_6dee8f13bc9a4596ad3e5af6f90f0b8b"/>
        <w:id w:val="-2056926850"/>
        <w:placeholder>
          <w:docPart w:val="GBC22222222222222222222222222222"/>
        </w:placeholder>
      </w:sdtPr>
      <w:sdtEndPr>
        <w:rPr>
          <w:rFonts w:hint="eastAsia"/>
          <w:color w:val="000000" w:themeColor="text1"/>
          <w14:textFill>
            <w14:solidFill>
              <w14:schemeClr w14:val="tx1"/>
            </w14:solidFill>
          </w14:textFill>
        </w:rPr>
      </w:sdtEndPr>
      <w:sdtContent>
        <w:p w14:paraId="6C5AD11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31518DA">
      <w:pPr>
        <w:rPr>
          <w:color w:val="000000" w:themeColor="text1"/>
          <w14:textFill>
            <w14:solidFill>
              <w14:schemeClr w14:val="tx1"/>
            </w14:solidFill>
          </w14:textFill>
        </w:rPr>
      </w:pPr>
    </w:p>
    <w:p w14:paraId="0B6762CD">
      <w:pPr>
        <w:pStyle w:val="3"/>
        <w:numPr>
          <w:ilvl w:val="0"/>
          <w:numId w:val="5"/>
        </w:numPr>
        <w:tabs>
          <w:tab w:val="left" w:pos="426"/>
        </w:tabs>
        <w:ind w:left="422" w:hanging="422"/>
        <w:jc w:val="left"/>
        <w:rPr>
          <w:rFonts w:hint="eastAsia"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其他披露事项</w:t>
      </w:r>
    </w:p>
    <w:p w14:paraId="184612D7">
      <w:pPr>
        <w:pStyle w:val="4"/>
        <w:numPr>
          <w:ilvl w:val="0"/>
          <w:numId w:val="12"/>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可能面对的风险</w:t>
      </w:r>
    </w:p>
    <w:sdt>
      <w:sdtPr>
        <w:rPr>
          <w:rFonts w:hint="eastAsia"/>
          <w:color w:val="000000" w:themeColor="text1"/>
          <w14:textFill>
            <w14:solidFill>
              <w14:schemeClr w14:val="tx1"/>
            </w14:solidFill>
          </w14:textFill>
        </w:rPr>
        <w:alias w:val="是否适用：可能面对的风险[双击切换]"/>
        <w:tag w:val="_GBC_2a971d8ab5884d3eb5547ede4e1e17c9"/>
        <w:id w:val="635383083"/>
        <w:placeholder>
          <w:docPart w:val="GBC22222222222222222222222222222"/>
        </w:placeholder>
      </w:sdtPr>
      <w:sdtEndPr>
        <w:rPr>
          <w:rFonts w:hint="eastAsia"/>
          <w:color w:val="000000" w:themeColor="text1"/>
          <w14:textFill>
            <w14:solidFill>
              <w14:schemeClr w14:val="tx1"/>
            </w14:solidFill>
          </w14:textFill>
        </w:rPr>
      </w:sdtEndPr>
      <w:sdtContent>
        <w:p w14:paraId="534D76B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rFonts w:hint="eastAsia"/>
        </w:rPr>
        <w:alias w:val="公司可能面对的风险"/>
        <w:tag w:val="_GBC_6e03b01ba4f1453dbc563404b41bfdbc"/>
        <w:id w:val="377826321"/>
        <w:placeholder>
          <w:docPart w:val="GBC22222222222222222222222222222"/>
        </w:placeholder>
      </w:sdtPr>
      <w:sdtEndPr>
        <w:rPr>
          <w:rFonts w:hint="default"/>
          <w:color w:val="000000" w:themeColor="text1"/>
          <w14:textFill>
            <w14:solidFill>
              <w14:schemeClr w14:val="tx1"/>
            </w14:solidFill>
          </w14:textFill>
        </w:rPr>
      </w:sdtEndPr>
      <w:sdtContent>
        <w:p w14:paraId="0682CF6A">
          <w:pPr>
            <w:spacing w:line="360" w:lineRule="auto"/>
            <w:ind w:firstLine="420" w:firstLineChars="200"/>
          </w:pPr>
          <w:sdt>
            <w:sdtPr>
              <w:alias w:val="公司可能面对的风险"/>
              <w:tag w:val="_GBC_6e03b01ba4f1453dbc563404b41bfdbc"/>
              <w:id w:val="628744842"/>
            </w:sdtPr>
            <w:sdtEndPr>
              <w:rPr>
                <w:color w:val="000000" w:themeColor="text1"/>
                <w14:textFill>
                  <w14:solidFill>
                    <w14:schemeClr w14:val="tx1"/>
                  </w14:solidFill>
                </w14:textFill>
              </w:rPr>
            </w:sdtEndPr>
            <w:sdtContent>
              <w:r>
                <w:rPr>
                  <w:rFonts w:hint="eastAsia"/>
                </w:rPr>
                <w:t>（</w:t>
              </w:r>
              <w:r>
                <w:t>1</w:t>
              </w:r>
              <w:r>
                <w:rPr>
                  <w:rFonts w:hint="eastAsia"/>
                </w:rPr>
                <w:t>）行业内部竞争风险</w:t>
              </w:r>
              <w:r>
                <w:rPr>
                  <w:rFonts w:cs="Times New Roman"/>
                </w:rPr>
                <w:t>​</w:t>
              </w:r>
            </w:sdtContent>
          </w:sdt>
        </w:p>
        <w:p w14:paraId="5E6DC999">
          <w:pPr>
            <w:spacing w:line="360" w:lineRule="auto"/>
            <w:ind w:firstLine="420" w:firstLineChars="200"/>
          </w:pPr>
          <w:r>
            <w:rPr>
              <w:rFonts w:hint="eastAsia"/>
            </w:rPr>
            <w:t>国内沿海及山东省周边水产养殖产业高度集聚，行业准入门槛偏低，市场经营主体数量众多，行业竞争充分。当前行业竞争主要围绕产品品类、品质等级、销售价格、渠道资源等核心维度展开。若公司未来无法持续维持品种、品质、成本及价格方面的核心竞争优势，将面临市场份额被挤压、盈利空间持续收窄的压力，对公司持续稳定经营和整体经营效益造成不利影响。</w:t>
          </w:r>
          <w:r>
            <w:rPr>
              <w:rFonts w:cs="Times New Roman"/>
            </w:rPr>
            <w:t>​</w:t>
          </w:r>
        </w:p>
        <w:p w14:paraId="71940201">
          <w:pPr>
            <w:spacing w:line="360" w:lineRule="auto"/>
            <w:ind w:firstLine="420" w:firstLineChars="200"/>
          </w:pPr>
          <w:r>
            <w:rPr>
              <w:rFonts w:hint="eastAsia"/>
            </w:rPr>
            <w:t>应对措施：公司深耕海水养殖领域多年，积累了成熟的养殖运营经验与深厚的行业资源积淀，是国内规模领先的海珍品养殖基地，规模化经营优势与规模效应突出。目前公司拥有5万亩围堰海参养殖面积，规模化、集约化的养殖布局构筑了稳固的行业地位，为业务稳健发展夯实资源根基。技术层面，公司持续推进养殖技术研发与落地应用，掌握多项海水养殖核心技术，养殖标准化、科学化水平位居行业前列。同时，公司搭建了“育苗—养成—加工—销售”全产业链一体化经营体系，形成了规模、技术、区位、成本、营销多维协同的核心竞争壁垒。在此基础上，公司聚焦海参系列高端海洋保健食品的精深加工与研发生产，打造高品质、高安全性的海洋健康产品，塑造高端品牌形象。此外，公司持续搭建线上线下融合的立体化营销体系，通过强化品牌建设、精细化生产管理、拓展新兴市场、迭代升级生产技术等多元举措，持续提升产品附加值与核心竞争力，巩固并扩大行业领先优势，有效对冲行业竞争风险。</w:t>
          </w:r>
          <w:r>
            <w:rPr>
              <w:rFonts w:cs="Times New Roman"/>
            </w:rPr>
            <w:t>​</w:t>
          </w:r>
        </w:p>
        <w:p w14:paraId="561DD2ED">
          <w:pPr>
            <w:spacing w:line="360" w:lineRule="auto"/>
            <w:ind w:firstLine="420" w:firstLineChars="200"/>
          </w:pPr>
          <w:r>
            <w:rPr>
              <w:rFonts w:hint="eastAsia"/>
            </w:rPr>
            <w:t>（</w:t>
          </w:r>
          <w:r>
            <w:t>2</w:t>
          </w:r>
          <w:r>
            <w:rPr>
              <w:rFonts w:hint="eastAsia"/>
            </w:rPr>
            <w:t>）汇率波动风险</w:t>
          </w:r>
          <w:r>
            <w:rPr>
              <w:rFonts w:cs="Times New Roman"/>
            </w:rPr>
            <w:t>​</w:t>
          </w:r>
        </w:p>
        <w:p w14:paraId="55BC4B6B">
          <w:pPr>
            <w:spacing w:line="360" w:lineRule="auto"/>
            <w:ind w:firstLine="420" w:firstLineChars="200"/>
          </w:pPr>
          <w:r>
            <w:rPr>
              <w:rFonts w:hint="eastAsia"/>
            </w:rPr>
            <w:t>公司冷冻调理食品业务主要出口日本，业务结算以日元为主要币种。日元兑人民币汇率存在常态化、持续性波动特征，汇率变动将直接影响出口收入的人民币折算金额。若后续日元出现贬值，公司日元货款结汇后的人民币收入将相应减少，直接压缩出口业务盈利空间，对公司整体盈利水平产生不利冲击。</w:t>
          </w:r>
          <w:r>
            <w:rPr>
              <w:rFonts w:cs="Times New Roman"/>
            </w:rPr>
            <w:t>​</w:t>
          </w:r>
        </w:p>
        <w:p w14:paraId="096D7D84">
          <w:pPr>
            <w:spacing w:line="360" w:lineRule="auto"/>
            <w:ind w:firstLine="420" w:firstLineChars="200"/>
          </w:pPr>
          <w:r>
            <w:rPr>
              <w:rFonts w:hint="eastAsia"/>
            </w:rPr>
            <w:t>应对措施：公司建立常态化汇率监测机制，持续跟踪国际外汇市场走势与宏观汇率变动动态，结合进出口业务实际，灵活择优结算币种与结算模式，持续优化资金结算结构。同时，公司强化全员外汇风险防控意识，提升汇率走势研判与专业化分析能力，对进出口业务全流程实施精细化风险管控。此外，公司主动运用远期结售汇等专业金融避险工具，常态化开展远期结售汇业务，有效对冲汇率波动带来的经营不确定性，锁定出口业务收益，平抑汇率波动对公司经营业绩的负面影响。</w:t>
          </w:r>
          <w:r>
            <w:rPr>
              <w:rFonts w:cs="Times New Roman"/>
            </w:rPr>
            <w:t>​</w:t>
          </w:r>
        </w:p>
        <w:p w14:paraId="4874D717">
          <w:pPr>
            <w:spacing w:line="360" w:lineRule="auto"/>
            <w:ind w:firstLine="420" w:firstLineChars="200"/>
          </w:pPr>
          <w:r>
            <w:rPr>
              <w:rFonts w:hint="eastAsia"/>
            </w:rPr>
            <w:t>（</w:t>
          </w:r>
          <w:r>
            <w:t>3</w:t>
          </w:r>
          <w:r>
            <w:rPr>
              <w:rFonts w:hint="eastAsia"/>
            </w:rPr>
            <w:t>）融资风险</w:t>
          </w:r>
          <w:r>
            <w:rPr>
              <w:rFonts w:cs="Times New Roman"/>
            </w:rPr>
            <w:t>​</w:t>
          </w:r>
        </w:p>
        <w:p w14:paraId="3685DDA8">
          <w:pPr>
            <w:spacing w:line="360" w:lineRule="auto"/>
            <w:ind w:firstLine="420" w:firstLineChars="200"/>
          </w:pPr>
          <w:r>
            <w:rPr>
              <w:rFonts w:hint="eastAsia"/>
            </w:rPr>
            <w:t>随着公司业务规模持续扩张、经营版图稳步拓展，公司日常经营、项目建设及业务扩张对持续性、稳定性资金供给的需求持续提升。若未来宏观信贷政策收紧、行业融资环境恶化，或公司自身融资渠道受限、融资能力无法匹配业务发展速度，将导致资金供给不足，进而影响日常经营周转、在建项目推进及整体业务扩张，对公司长远发展造成不利影响。</w:t>
          </w:r>
          <w:r>
            <w:rPr>
              <w:rFonts w:cs="Times New Roman"/>
            </w:rPr>
            <w:t>​</w:t>
          </w:r>
        </w:p>
        <w:p w14:paraId="2303713D">
          <w:pPr>
            <w:spacing w:line="360" w:lineRule="auto"/>
            <w:ind w:firstLine="420" w:firstLineChars="200"/>
          </w:pPr>
          <w:r>
            <w:rPr>
              <w:rFonts w:hint="eastAsia"/>
            </w:rPr>
            <w:t>应对措施：为保障经营与扩张的资金需求、缓解资金运营压力，公司从资金管控、合作渠道、资本平台三方面完善融资管理体系。一是推进资金精细化管理，高效盘活存量资金、优化资金配置结构、提升资金周转效率与使用效益，压降资金运营成本，缓解内部资金压力。二是深化银企战略合作，稳固与各大商业银行的长期合作关系，积极拓展外资银行等新型合作渠道，丰富间接融资方式，保障信贷资金持续稳定供给。三是充分依托资本市场平台，积极拓展直接融资渠道，持续优化融资结构、降低综合融资成本，为公司主营业务稳健运营、产业规模化扩张提供充足资金保障，支撑企业长期高质量发展。</w:t>
          </w:r>
          <w:r>
            <w:rPr>
              <w:rFonts w:cs="Times New Roman"/>
            </w:rPr>
            <w:t>​</w:t>
          </w:r>
        </w:p>
        <w:p w14:paraId="561BEF46">
          <w:pPr>
            <w:spacing w:line="360" w:lineRule="auto"/>
            <w:ind w:firstLine="420" w:firstLineChars="200"/>
          </w:pPr>
          <w:r>
            <w:rPr>
              <w:rFonts w:hint="eastAsia"/>
            </w:rPr>
            <w:t>（</w:t>
          </w:r>
          <w:r>
            <w:t>4</w:t>
          </w:r>
          <w:r>
            <w:rPr>
              <w:rFonts w:hint="eastAsia"/>
            </w:rPr>
            <w:t>）自然资源与政策环境风险</w:t>
          </w:r>
          <w:r>
            <w:rPr>
              <w:rFonts w:cs="Times New Roman"/>
            </w:rPr>
            <w:t>​</w:t>
          </w:r>
        </w:p>
        <w:p w14:paraId="3A058794">
          <w:pPr>
            <w:spacing w:line="360" w:lineRule="auto"/>
            <w:ind w:firstLine="420" w:firstLineChars="200"/>
          </w:pPr>
          <w:r>
            <w:rPr>
              <w:rFonts w:hint="eastAsia"/>
            </w:rPr>
            <w:t>公司养殖核心业务与海洋自然资源、海域政策、生态环境高度关联。近年来，国家持续加大海洋生态保护力度，海洋资源管控、海域使用、水产养殖行业监管相关法律法规日趋严格。未来若出现渔业资源自然衰退、海域供给收紧、养殖许可及海域使用权相关政策调整等情况，将直接导致公司养殖空间受限、捕捞作业规模收缩。同时，海洋生态环境变化、极端海洋灾害等不可抗力因素，会造成海产品产能波动、产量不稳定，进而对公司经营业绩产生不利影响。</w:t>
          </w:r>
          <w:r>
            <w:rPr>
              <w:rFonts w:cs="Times New Roman"/>
            </w:rPr>
            <w:t>​</w:t>
          </w:r>
        </w:p>
        <w:p w14:paraId="6FED7FC4">
          <w:pPr>
            <w:spacing w:line="360" w:lineRule="auto"/>
            <w:ind w:firstLine="420" w:firstLineChars="200"/>
            <w:rPr>
              <w:color w:val="000000" w:themeColor="text1"/>
              <w14:textFill>
                <w14:solidFill>
                  <w14:schemeClr w14:val="tx1"/>
                </w14:solidFill>
              </w14:textFill>
            </w:rPr>
          </w:pPr>
          <w:r>
            <w:rPr>
              <w:rFonts w:hint="eastAsia"/>
            </w:rPr>
            <w:t>应对措施：公司始终坚持绿色可持续发展理念，严格遵守海洋资源保护、海域管理、水产养殖等相关法律法规及行业监管政策。经营层面，公司科学规划养殖布局，大力推广生态养殖模式，加强海域资源管护，积极配合渔业资源养护工作，合规开展养殖。产业层面，公司持续优化业务结构，延伸水产品精深加工产业链，降低对原始海洋自然资源的单一依赖，对冲资源波动风险。同时，公司建立政策动态跟踪机制，密切监测海洋管控、自然资源利用相关政策变动，提前优化经营布局、调整业务规划，全方位防范自然资源及行业政策变动带来的经营风险。</w:t>
          </w:r>
        </w:p>
      </w:sdtContent>
    </w:sdt>
    <w:p w14:paraId="054B8136">
      <w:pPr>
        <w:pStyle w:val="4"/>
        <w:numPr>
          <w:ilvl w:val="0"/>
          <w:numId w:val="12"/>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其他披露事项</w:t>
      </w:r>
    </w:p>
    <w:sdt>
      <w:sdtPr>
        <w:rPr>
          <w:rFonts w:hint="eastAsia"/>
          <w:color w:val="000000" w:themeColor="text1"/>
          <w14:textFill>
            <w14:solidFill>
              <w14:schemeClr w14:val="tx1"/>
            </w14:solidFill>
          </w14:textFill>
        </w:rPr>
        <w:alias w:val="是否适用：董事会其他需要披露的事项[双击切换]"/>
        <w:tag w:val="_GBC_4bd5ba6bf4044aee9ecd40a0c2fc29bf"/>
        <w:id w:val="-949626920"/>
        <w:placeholder>
          <w:docPart w:val="GBC22222222222222222222222222222"/>
        </w:placeholder>
      </w:sdtPr>
      <w:sdtEndPr>
        <w:rPr>
          <w:rFonts w:hint="eastAsia"/>
          <w:color w:val="000000" w:themeColor="text1"/>
          <w14:textFill>
            <w14:solidFill>
              <w14:schemeClr w14:val="tx1"/>
            </w14:solidFill>
          </w14:textFill>
        </w:rPr>
      </w:sdtEndPr>
      <w:sdtContent>
        <w:p w14:paraId="3CA8A39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C98FA27">
      <w:pPr>
        <w:rPr>
          <w:color w:val="000000" w:themeColor="text1"/>
          <w14:textFill>
            <w14:solidFill>
              <w14:schemeClr w14:val="tx1"/>
            </w14:solidFill>
          </w14:textFill>
        </w:rPr>
      </w:pPr>
    </w:p>
    <w:bookmarkEnd w:id="42"/>
    <w:bookmarkEnd w:id="43"/>
    <w:p w14:paraId="03C16E48">
      <w:pPr>
        <w:rPr>
          <w:color w:val="000000" w:themeColor="text1"/>
          <w14:textFill>
            <w14:solidFill>
              <w14:schemeClr w14:val="tx1"/>
            </w14:solidFill>
          </w14:textFill>
        </w:rPr>
        <w:sectPr>
          <w:pgSz w:w="16838" w:h="11906" w:orient="landscape"/>
          <w:pgMar w:top="1797" w:right="1525" w:bottom="1276" w:left="1440" w:header="851" w:footer="992" w:gutter="0"/>
          <w:cols w:space="425" w:num="1"/>
          <w:docGrid w:linePitch="312" w:charSpace="0"/>
        </w:sectPr>
      </w:pPr>
    </w:p>
    <w:p w14:paraId="2EB077E7">
      <w:pPr>
        <w:rPr>
          <w:color w:val="000000" w:themeColor="text1"/>
          <w14:textFill>
            <w14:solidFill>
              <w14:schemeClr w14:val="tx1"/>
            </w14:solidFill>
          </w14:textFill>
        </w:rPr>
      </w:pPr>
    </w:p>
    <w:p w14:paraId="42F4B827">
      <w:pPr>
        <w:pStyle w:val="2"/>
        <w:numPr>
          <w:ilvl w:val="0"/>
          <w:numId w:val="2"/>
        </w:numPr>
        <w:rPr>
          <w:rFonts w:hint="eastAsia" w:ascii="黑体" w:hAnsi="黑体"/>
          <w:color w:val="000000" w:themeColor="text1"/>
          <w14:textFill>
            <w14:solidFill>
              <w14:schemeClr w14:val="tx1"/>
            </w14:solidFill>
          </w14:textFill>
        </w:rPr>
      </w:pPr>
      <w:bookmarkStart w:id="56" w:name="_Toc76114275"/>
      <w:bookmarkStart w:id="57" w:name="_Toc236303308"/>
      <w:r>
        <w:rPr>
          <w:rFonts w:hint="eastAsia" w:ascii="黑体" w:hAnsi="黑体"/>
          <w:color w:val="000000" w:themeColor="text1"/>
          <w14:textFill>
            <w14:solidFill>
              <w14:schemeClr w14:val="tx1"/>
            </w14:solidFill>
          </w14:textFill>
        </w:rPr>
        <w:t>公司治理</w:t>
      </w:r>
      <w:bookmarkEnd w:id="56"/>
      <w:r>
        <w:rPr>
          <w:rFonts w:hint="eastAsia" w:ascii="黑体" w:hAnsi="黑体"/>
          <w:color w:val="000000" w:themeColor="text1"/>
          <w14:textFill>
            <w14:solidFill>
              <w14:schemeClr w14:val="tx1"/>
            </w14:solidFill>
          </w14:textFill>
        </w:rPr>
        <w:t>、环境和社会</w:t>
      </w:r>
      <w:bookmarkEnd w:id="57"/>
    </w:p>
    <w:p w14:paraId="414984D6">
      <w:pPr>
        <w:pStyle w:val="3"/>
        <w:numPr>
          <w:ilvl w:val="0"/>
          <w:numId w:val="13"/>
        </w:numPr>
        <w:tabs>
          <w:tab w:val="left" w:pos="426"/>
        </w:tabs>
        <w:jc w:val="left"/>
        <w:rPr>
          <w:rFonts w:hint="eastAsia" w:ascii="宋体" w:hAnsi="宋体"/>
          <w:color w:val="000000" w:themeColor="text1"/>
          <w14:textFill>
            <w14:solidFill>
              <w14:schemeClr w14:val="tx1"/>
            </w14:solidFill>
          </w14:textFill>
        </w:rPr>
      </w:pPr>
      <w:bookmarkStart w:id="58" w:name="_Toc342566009"/>
      <w:bookmarkStart w:id="59" w:name="_Toc342057949"/>
      <w:r>
        <w:rPr>
          <w:rFonts w:hint="eastAsia" w:ascii="宋体" w:hAnsi="宋体"/>
          <w:color w:val="000000" w:themeColor="text1"/>
          <w14:textFill>
            <w14:solidFill>
              <w14:schemeClr w14:val="tx1"/>
            </w14:solidFill>
          </w14:textFill>
        </w:rPr>
        <w:t>公司董事</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高级管理人员变动情况</w:t>
      </w:r>
      <w:bookmarkEnd w:id="58"/>
      <w:bookmarkEnd w:id="59"/>
    </w:p>
    <w:sdt>
      <w:sdtPr>
        <w:rPr>
          <w:color w:val="000000" w:themeColor="text1"/>
          <w14:textFill>
            <w14:solidFill>
              <w14:schemeClr w14:val="tx1"/>
            </w14:solidFill>
          </w14:textFill>
        </w:rPr>
        <w:alias w:val="是否适用：公司董事、监事、高级管理人员变动情况[双击切换]"/>
        <w:tag w:val="_GBC_001d837207464f1aaa52a7fb8cd9d226"/>
        <w:id w:val="-1008675052"/>
        <w:placeholder>
          <w:docPart w:val="GBC22222222222222222222222222222"/>
        </w:placeholder>
      </w:sdtPr>
      <w:sdtEndPr>
        <w:rPr>
          <w:color w:val="000000" w:themeColor="text1"/>
          <w14:textFill>
            <w14:solidFill>
              <w14:schemeClr w14:val="tx1"/>
            </w14:solidFill>
          </w14:textFill>
        </w:rPr>
      </w:sdtEndPr>
      <w:sdtContent>
        <w:p w14:paraId="3C79E95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2897"/>
        <w:gridCol w:w="3056"/>
        <w:gridCol w:w="2870"/>
      </w:tblGrid>
      <w:tr w14:paraId="1B96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sdt>
          <w:sdtPr>
            <w:tag w:val="_PLD_8d21520223e04755b8822b634d237604"/>
            <w:id w:val="-1773386725"/>
          </w:sdtPr>
          <w:sdtContent>
            <w:tc>
              <w:tcPr>
                <w:tcW w:w="1642" w:type="pct"/>
              </w:tcPr>
              <w:p w14:paraId="2BF8D7FD">
                <w:pPr>
                  <w:kinsoku w:val="0"/>
                  <w:overflowPunct w:val="0"/>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姓  名</w:t>
                </w:r>
              </w:p>
            </w:tc>
          </w:sdtContent>
        </w:sdt>
        <w:sdt>
          <w:sdtPr>
            <w:tag w:val="_PLD_fbd3bf633b6f43caac5e618a32167462"/>
            <w:id w:val="127291016"/>
          </w:sdtPr>
          <w:sdtContent>
            <w:tc>
              <w:tcPr>
                <w:tcW w:w="1732" w:type="pct"/>
              </w:tcPr>
              <w:p w14:paraId="0482DFA7">
                <w:pPr>
                  <w:kinsoku w:val="0"/>
                  <w:overflowPunct w:val="0"/>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担任的职务</w:t>
                </w:r>
              </w:p>
            </w:tc>
          </w:sdtContent>
        </w:sdt>
        <w:sdt>
          <w:sdtPr>
            <w:tag w:val="_PLD_32b7efb7e5ea42b9a9c73ad4470b3d12"/>
            <w:id w:val="527997165"/>
          </w:sdtPr>
          <w:sdtContent>
            <w:tc>
              <w:tcPr>
                <w:tcW w:w="1626" w:type="pct"/>
              </w:tcPr>
              <w:p w14:paraId="2BCABBDF">
                <w:pPr>
                  <w:kinsoku w:val="0"/>
                  <w:overflowPunct w:val="0"/>
                  <w:autoSpaceDE w:val="0"/>
                  <w:autoSpaceDN w:val="0"/>
                  <w:adjustRightInd w:val="0"/>
                  <w:snapToGrid w:val="0"/>
                  <w:jc w:val="center"/>
                  <w:rPr>
                    <w:color w:val="000000" w:themeColor="text1"/>
                    <w:highlight w:val="cyan"/>
                    <w14:textFill>
                      <w14:solidFill>
                        <w14:schemeClr w14:val="tx1"/>
                      </w14:solidFill>
                    </w14:textFill>
                  </w:rPr>
                </w:pPr>
                <w:r>
                  <w:rPr>
                    <w:rFonts w:hint="eastAsia"/>
                    <w:color w:val="000000" w:themeColor="text1"/>
                    <w14:textFill>
                      <w14:solidFill>
                        <w14:schemeClr w14:val="tx1"/>
                      </w14:solidFill>
                    </w14:textFill>
                  </w:rPr>
                  <w:t>变动情形</w:t>
                </w:r>
              </w:p>
            </w:tc>
          </w:sdtContent>
        </w:sdt>
      </w:tr>
      <w:tr w14:paraId="704F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642" w:type="pct"/>
          </w:tcPr>
          <w:p w14:paraId="6A9557C8">
            <w:pPr>
              <w:kinsoku w:val="0"/>
              <w:overflowPunct w:val="0"/>
              <w:autoSpaceDE w:val="0"/>
              <w:autoSpaceDN w:val="0"/>
              <w:adjustRightInd w:val="0"/>
              <w:snapToGrid w:val="0"/>
              <w:jc w:val="center"/>
            </w:pPr>
            <w:r>
              <w:rPr>
                <w:rFonts w:hint="eastAsia"/>
              </w:rPr>
              <w:t>张术森</w:t>
            </w:r>
          </w:p>
        </w:tc>
        <w:tc>
          <w:tcPr>
            <w:tcW w:w="1732" w:type="pct"/>
          </w:tcPr>
          <w:p w14:paraId="7E5581DF">
            <w:pPr>
              <w:kinsoku w:val="0"/>
              <w:overflowPunct w:val="0"/>
              <w:autoSpaceDE w:val="0"/>
              <w:autoSpaceDN w:val="0"/>
              <w:adjustRightInd w:val="0"/>
              <w:snapToGrid w:val="0"/>
              <w:jc w:val="center"/>
            </w:pPr>
            <w:bookmarkStart w:id="60" w:name="OLE_LINK2"/>
            <w:r>
              <w:rPr>
                <w:rFonts w:hint="eastAsia"/>
              </w:rPr>
              <w:t>非独立董事</w:t>
            </w:r>
            <w:bookmarkEnd w:id="60"/>
          </w:p>
        </w:tc>
        <w:sdt>
          <w:sdtPr>
            <w:rPr>
              <w:color w:val="000000" w:themeColor="text1"/>
              <w14:textFill>
                <w14:solidFill>
                  <w14:schemeClr w14:val="tx1"/>
                </w14:solidFill>
              </w14:textFill>
            </w:rPr>
            <w:alias w:val="公司董事、监事、高级管理人员的变动情形"/>
            <w:tag w:val="_GBC_466f24fb36cc4d949be4225fed8d37c7"/>
            <w:id w:val="-1544906920"/>
            <w:comboBox>
              <w:listItem w:displayText="聘任" w:value="聘任"/>
              <w:listItem w:displayText="离任" w:value="离任"/>
              <w:listItem w:displayText="解任" w:value="解任"/>
              <w:listItem w:displayText="选举" w:value="选举"/>
            </w:comboBox>
          </w:sdtPr>
          <w:sdtEndPr>
            <w:rPr>
              <w:color w:val="000000" w:themeColor="text1"/>
              <w14:textFill>
                <w14:solidFill>
                  <w14:schemeClr w14:val="tx1"/>
                </w14:solidFill>
              </w14:textFill>
            </w:rPr>
          </w:sdtEndPr>
          <w:sdtContent>
            <w:tc>
              <w:tcPr>
                <w:tcW w:w="1626" w:type="pct"/>
              </w:tcPr>
              <w:p w14:paraId="31644FA2">
                <w:pPr>
                  <w:kinsoku w:val="0"/>
                  <w:overflowPunct w:val="0"/>
                  <w:autoSpaceDE w:val="0"/>
                  <w:autoSpaceDN w:val="0"/>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离任</w:t>
                </w:r>
              </w:p>
            </w:tc>
          </w:sdtContent>
        </w:sdt>
      </w:tr>
      <w:tr w14:paraId="5E76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642" w:type="pct"/>
          </w:tcPr>
          <w:p w14:paraId="02493B21">
            <w:pPr>
              <w:kinsoku w:val="0"/>
              <w:overflowPunct w:val="0"/>
              <w:autoSpaceDE w:val="0"/>
              <w:autoSpaceDN w:val="0"/>
              <w:adjustRightInd w:val="0"/>
              <w:snapToGrid w:val="0"/>
              <w:jc w:val="center"/>
            </w:pPr>
            <w:r>
              <w:rPr>
                <w:rFonts w:hint="eastAsia"/>
              </w:rPr>
              <w:t>李八方</w:t>
            </w:r>
          </w:p>
        </w:tc>
        <w:tc>
          <w:tcPr>
            <w:tcW w:w="1732" w:type="pct"/>
          </w:tcPr>
          <w:p w14:paraId="4E6E215A">
            <w:pPr>
              <w:kinsoku w:val="0"/>
              <w:overflowPunct w:val="0"/>
              <w:autoSpaceDE w:val="0"/>
              <w:autoSpaceDN w:val="0"/>
              <w:adjustRightInd w:val="0"/>
              <w:snapToGrid w:val="0"/>
              <w:jc w:val="center"/>
            </w:pPr>
            <w:bookmarkStart w:id="61" w:name="OLE_LINK30"/>
            <w:r>
              <w:rPr>
                <w:rFonts w:hint="eastAsia"/>
              </w:rPr>
              <w:t>独立董事</w:t>
            </w:r>
            <w:bookmarkEnd w:id="61"/>
          </w:p>
        </w:tc>
        <w:tc>
          <w:tcPr>
            <w:tcW w:w="1626" w:type="pct"/>
          </w:tcPr>
          <w:p w14:paraId="720254A8">
            <w:pPr>
              <w:kinsoku w:val="0"/>
              <w:overflowPunct w:val="0"/>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离任</w:t>
            </w:r>
          </w:p>
        </w:tc>
      </w:tr>
      <w:tr w14:paraId="4AE8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642" w:type="pct"/>
          </w:tcPr>
          <w:p w14:paraId="13BE3DF9">
            <w:pPr>
              <w:kinsoku w:val="0"/>
              <w:overflowPunct w:val="0"/>
              <w:autoSpaceDE w:val="0"/>
              <w:autoSpaceDN w:val="0"/>
              <w:adjustRightInd w:val="0"/>
              <w:snapToGrid w:val="0"/>
              <w:jc w:val="center"/>
            </w:pPr>
            <w:r>
              <w:rPr>
                <w:rFonts w:hint="eastAsia"/>
              </w:rPr>
              <w:t>孙慧玲</w:t>
            </w:r>
          </w:p>
        </w:tc>
        <w:tc>
          <w:tcPr>
            <w:tcW w:w="1732" w:type="pct"/>
          </w:tcPr>
          <w:p w14:paraId="045C4583">
            <w:pPr>
              <w:kinsoku w:val="0"/>
              <w:overflowPunct w:val="0"/>
              <w:autoSpaceDE w:val="0"/>
              <w:autoSpaceDN w:val="0"/>
              <w:adjustRightInd w:val="0"/>
              <w:snapToGrid w:val="0"/>
              <w:jc w:val="center"/>
            </w:pPr>
            <w:r>
              <w:rPr>
                <w:rFonts w:hint="eastAsia"/>
              </w:rPr>
              <w:t>独立董事</w:t>
            </w:r>
          </w:p>
        </w:tc>
        <w:sdt>
          <w:sdtPr>
            <w:rPr>
              <w:color w:val="000000" w:themeColor="text1"/>
              <w14:textFill>
                <w14:solidFill>
                  <w14:schemeClr w14:val="tx1"/>
                </w14:solidFill>
              </w14:textFill>
            </w:rPr>
            <w:alias w:val="公司董事、监事、高级管理人员的变动情形"/>
            <w:tag w:val="_GBC_466f24fb36cc4d949be4225fed8d37c7"/>
            <w:id w:val="-1827584072"/>
            <w:comboBox>
              <w:listItem w:displayText="聘任" w:value="聘任"/>
              <w:listItem w:displayText="离任" w:value="离任"/>
              <w:listItem w:displayText="解任" w:value="解任"/>
              <w:listItem w:displayText="选举" w:value="选举"/>
            </w:comboBox>
          </w:sdtPr>
          <w:sdtEndPr>
            <w:rPr>
              <w:color w:val="000000" w:themeColor="text1"/>
              <w14:textFill>
                <w14:solidFill>
                  <w14:schemeClr w14:val="tx1"/>
                </w14:solidFill>
              </w14:textFill>
            </w:rPr>
          </w:sdtEndPr>
          <w:sdtContent>
            <w:tc>
              <w:tcPr>
                <w:tcW w:w="1626" w:type="pct"/>
              </w:tcPr>
              <w:p w14:paraId="62E37413">
                <w:pPr>
                  <w:kinsoku w:val="0"/>
                  <w:overflowPunct w:val="0"/>
                  <w:autoSpaceDE w:val="0"/>
                  <w:autoSpaceDN w:val="0"/>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离任</w:t>
                </w:r>
              </w:p>
            </w:tc>
          </w:sdtContent>
        </w:sdt>
      </w:tr>
      <w:tr w14:paraId="48C1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642" w:type="pct"/>
          </w:tcPr>
          <w:p w14:paraId="1A931CD1">
            <w:pPr>
              <w:kinsoku w:val="0"/>
              <w:overflowPunct w:val="0"/>
              <w:autoSpaceDE w:val="0"/>
              <w:autoSpaceDN w:val="0"/>
              <w:adjustRightInd w:val="0"/>
              <w:snapToGrid w:val="0"/>
              <w:jc w:val="center"/>
            </w:pPr>
            <w:r>
              <w:rPr>
                <w:rFonts w:hint="eastAsia"/>
              </w:rPr>
              <w:t>王清印</w:t>
            </w:r>
          </w:p>
        </w:tc>
        <w:tc>
          <w:tcPr>
            <w:tcW w:w="1732" w:type="pct"/>
          </w:tcPr>
          <w:p w14:paraId="18C532FA">
            <w:pPr>
              <w:kinsoku w:val="0"/>
              <w:overflowPunct w:val="0"/>
              <w:autoSpaceDE w:val="0"/>
              <w:autoSpaceDN w:val="0"/>
              <w:adjustRightInd w:val="0"/>
              <w:snapToGrid w:val="0"/>
              <w:jc w:val="center"/>
            </w:pPr>
            <w:r>
              <w:rPr>
                <w:rFonts w:hint="eastAsia"/>
              </w:rPr>
              <w:t>独立董事</w:t>
            </w:r>
          </w:p>
        </w:tc>
        <w:tc>
          <w:tcPr>
            <w:tcW w:w="1626" w:type="pct"/>
          </w:tcPr>
          <w:p w14:paraId="60416B5F">
            <w:pPr>
              <w:kinsoku w:val="0"/>
              <w:overflowPunct w:val="0"/>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选举</w:t>
            </w:r>
          </w:p>
        </w:tc>
      </w:tr>
      <w:tr w14:paraId="1E0D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642" w:type="pct"/>
          </w:tcPr>
          <w:p w14:paraId="546BD93A">
            <w:pPr>
              <w:kinsoku w:val="0"/>
              <w:overflowPunct w:val="0"/>
              <w:autoSpaceDE w:val="0"/>
              <w:autoSpaceDN w:val="0"/>
              <w:adjustRightInd w:val="0"/>
              <w:snapToGrid w:val="0"/>
              <w:jc w:val="center"/>
            </w:pPr>
            <w:r>
              <w:rPr>
                <w:rFonts w:hint="eastAsia"/>
              </w:rPr>
              <w:t>刘  淇</w:t>
            </w:r>
          </w:p>
        </w:tc>
        <w:tc>
          <w:tcPr>
            <w:tcW w:w="1732" w:type="pct"/>
          </w:tcPr>
          <w:p w14:paraId="487962FB">
            <w:pPr>
              <w:kinsoku w:val="0"/>
              <w:overflowPunct w:val="0"/>
              <w:autoSpaceDE w:val="0"/>
              <w:autoSpaceDN w:val="0"/>
              <w:adjustRightInd w:val="0"/>
              <w:snapToGrid w:val="0"/>
              <w:jc w:val="center"/>
            </w:pPr>
            <w:r>
              <w:rPr>
                <w:rFonts w:hint="eastAsia"/>
              </w:rPr>
              <w:t>独立董事</w:t>
            </w:r>
          </w:p>
        </w:tc>
        <w:tc>
          <w:tcPr>
            <w:tcW w:w="1626" w:type="pct"/>
          </w:tcPr>
          <w:p w14:paraId="73D71A03">
            <w:pPr>
              <w:kinsoku w:val="0"/>
              <w:overflowPunct w:val="0"/>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选举</w:t>
            </w:r>
          </w:p>
        </w:tc>
      </w:tr>
      <w:tr w14:paraId="5FDA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642" w:type="pct"/>
          </w:tcPr>
          <w:p w14:paraId="0B1DF51A">
            <w:pPr>
              <w:kinsoku w:val="0"/>
              <w:overflowPunct w:val="0"/>
              <w:autoSpaceDE w:val="0"/>
              <w:autoSpaceDN w:val="0"/>
              <w:adjustRightInd w:val="0"/>
              <w:snapToGrid w:val="0"/>
              <w:jc w:val="center"/>
            </w:pPr>
            <w:r>
              <w:rPr>
                <w:rFonts w:hint="eastAsia"/>
              </w:rPr>
              <w:t>杨志良</w:t>
            </w:r>
          </w:p>
        </w:tc>
        <w:tc>
          <w:tcPr>
            <w:tcW w:w="1732" w:type="pct"/>
          </w:tcPr>
          <w:p w14:paraId="175094C1">
            <w:pPr>
              <w:kinsoku w:val="0"/>
              <w:overflowPunct w:val="0"/>
              <w:autoSpaceDE w:val="0"/>
              <w:autoSpaceDN w:val="0"/>
              <w:adjustRightInd w:val="0"/>
              <w:snapToGrid w:val="0"/>
              <w:jc w:val="center"/>
            </w:pPr>
            <w:r>
              <w:rPr>
                <w:rFonts w:hint="eastAsia"/>
              </w:rPr>
              <w:t>职工董事</w:t>
            </w:r>
          </w:p>
        </w:tc>
        <w:tc>
          <w:tcPr>
            <w:tcW w:w="1626" w:type="pct"/>
          </w:tcPr>
          <w:p w14:paraId="09676D55">
            <w:pPr>
              <w:kinsoku w:val="0"/>
              <w:overflowPunct w:val="0"/>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选举</w:t>
            </w:r>
          </w:p>
        </w:tc>
      </w:tr>
      <w:tr w14:paraId="4AC6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642" w:type="pct"/>
          </w:tcPr>
          <w:p w14:paraId="4CF2FF38">
            <w:pPr>
              <w:kinsoku w:val="0"/>
              <w:overflowPunct w:val="0"/>
              <w:autoSpaceDE w:val="0"/>
              <w:autoSpaceDN w:val="0"/>
              <w:adjustRightInd w:val="0"/>
              <w:snapToGrid w:val="0"/>
              <w:jc w:val="center"/>
            </w:pPr>
            <w:r>
              <w:rPr>
                <w:rFonts w:hint="eastAsia"/>
              </w:rPr>
              <w:t>唐  骥</w:t>
            </w:r>
          </w:p>
        </w:tc>
        <w:tc>
          <w:tcPr>
            <w:tcW w:w="1732" w:type="pct"/>
          </w:tcPr>
          <w:p w14:paraId="2135DFE9">
            <w:pPr>
              <w:kinsoku w:val="0"/>
              <w:overflowPunct w:val="0"/>
              <w:autoSpaceDE w:val="0"/>
              <w:autoSpaceDN w:val="0"/>
              <w:adjustRightInd w:val="0"/>
              <w:snapToGrid w:val="0"/>
              <w:jc w:val="center"/>
            </w:pPr>
            <w:r>
              <w:rPr>
                <w:rFonts w:hint="eastAsia"/>
              </w:rPr>
              <w:t>非独立董事</w:t>
            </w:r>
          </w:p>
        </w:tc>
        <w:tc>
          <w:tcPr>
            <w:tcW w:w="1626" w:type="pct"/>
          </w:tcPr>
          <w:p w14:paraId="2ADBBBF2">
            <w:pPr>
              <w:kinsoku w:val="0"/>
              <w:overflowPunct w:val="0"/>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选举</w:t>
            </w:r>
          </w:p>
        </w:tc>
      </w:tr>
      <w:tr w14:paraId="7616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642" w:type="pct"/>
          </w:tcPr>
          <w:p w14:paraId="29D30613">
            <w:pPr>
              <w:kinsoku w:val="0"/>
              <w:overflowPunct w:val="0"/>
              <w:autoSpaceDE w:val="0"/>
              <w:autoSpaceDN w:val="0"/>
              <w:adjustRightInd w:val="0"/>
              <w:snapToGrid w:val="0"/>
              <w:jc w:val="center"/>
            </w:pPr>
            <w:r>
              <w:rPr>
                <w:rFonts w:hint="eastAsia"/>
              </w:rPr>
              <w:t>宋晓辉</w:t>
            </w:r>
          </w:p>
        </w:tc>
        <w:tc>
          <w:tcPr>
            <w:tcW w:w="1732" w:type="pct"/>
          </w:tcPr>
          <w:p w14:paraId="1F9CC1CC">
            <w:pPr>
              <w:kinsoku w:val="0"/>
              <w:overflowPunct w:val="0"/>
              <w:autoSpaceDE w:val="0"/>
              <w:autoSpaceDN w:val="0"/>
              <w:adjustRightInd w:val="0"/>
              <w:snapToGrid w:val="0"/>
              <w:jc w:val="center"/>
            </w:pPr>
            <w:r>
              <w:rPr>
                <w:rFonts w:hint="eastAsia"/>
              </w:rPr>
              <w:t>董事会秘书</w:t>
            </w:r>
          </w:p>
        </w:tc>
        <w:tc>
          <w:tcPr>
            <w:tcW w:w="1626" w:type="pct"/>
          </w:tcPr>
          <w:p w14:paraId="5BC3801B">
            <w:pPr>
              <w:kinsoku w:val="0"/>
              <w:overflowPunct w:val="0"/>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聘任</w:t>
            </w:r>
          </w:p>
        </w:tc>
      </w:tr>
    </w:tbl>
    <w:p w14:paraId="564EAB91">
      <w:pPr>
        <w:rPr>
          <w:color w:val="000000" w:themeColor="text1"/>
          <w14:textFill>
            <w14:solidFill>
              <w14:schemeClr w14:val="tx1"/>
            </w14:solidFill>
          </w14:textFill>
        </w:rPr>
      </w:pPr>
    </w:p>
    <w:p w14:paraId="2318C87F">
      <w:pPr>
        <w:rPr>
          <w:color w:val="000000" w:themeColor="text1"/>
          <w14:textFill>
            <w14:solidFill>
              <w14:schemeClr w14:val="tx1"/>
            </w14:solidFill>
          </w14:textFill>
        </w:rPr>
      </w:pPr>
      <w:r>
        <w:rPr>
          <w:rFonts w:hint="eastAsia"/>
          <w:color w:val="000000" w:themeColor="text1"/>
          <w14:textFill>
            <w14:solidFill>
              <w14:schemeClr w14:val="tx1"/>
            </w14:solidFill>
          </w14:textFill>
        </w:rPr>
        <w:t>公司董事、高级管理人员变动的情况说明</w:t>
      </w:r>
    </w:p>
    <w:sdt>
      <w:sdtPr>
        <w:rPr>
          <w:rFonts w:hint="eastAsia"/>
          <w:color w:val="000000" w:themeColor="text1"/>
          <w14:textFill>
            <w14:solidFill>
              <w14:schemeClr w14:val="tx1"/>
            </w14:solidFill>
          </w14:textFill>
        </w:rPr>
        <w:alias w:val="是否适用：公司董事、监事、高级管理人员变动的情况说明 [双击切换]"/>
        <w:tag w:val="_GBC_1eda708e71a542fa89f6ad1bb8abbf70"/>
        <w:id w:val="152488546"/>
        <w:placeholder>
          <w:docPart w:val="GBC22222222222222222222222222222"/>
        </w:placeholder>
      </w:sdtPr>
      <w:sdtEndPr>
        <w:rPr>
          <w:rFonts w:hint="eastAsia"/>
          <w:color w:val="000000" w:themeColor="text1"/>
          <w14:textFill>
            <w14:solidFill>
              <w14:schemeClr w14:val="tx1"/>
            </w14:solidFill>
          </w14:textFill>
        </w:rPr>
      </w:sdtEndPr>
      <w:sdtContent>
        <w:p w14:paraId="08D07C6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rFonts w:hint="eastAsia"/>
          <w:color w:val="000000" w:themeColor="text1"/>
          <w14:textFill>
            <w14:solidFill>
              <w14:schemeClr w14:val="tx1"/>
            </w14:solidFill>
          </w14:textFill>
        </w:rPr>
        <w:alias w:val="公司董事、监事、高级管理人员变动的情况说明"/>
        <w:tag w:val="_GBC_f2e7651aeda04cb8847fc3d49af6315f"/>
        <w:id w:val="1990359717"/>
        <w:placeholder>
          <w:docPart w:val="GBC22222222222222222222222222222"/>
        </w:placeholder>
      </w:sdtPr>
      <w:sdtEndPr>
        <w:rPr>
          <w:rFonts w:hint="default"/>
          <w:color w:val="000000" w:themeColor="text1"/>
          <w14:textFill>
            <w14:solidFill>
              <w14:schemeClr w14:val="tx1"/>
            </w14:solidFill>
          </w14:textFill>
        </w:rPr>
      </w:sdtEndPr>
      <w:sdtContent>
        <w:p w14:paraId="4141C4E6">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非独立董事</w:t>
          </w:r>
          <w:r>
            <w:rPr>
              <w:rFonts w:hint="eastAsia"/>
              <w:color w:val="000000" w:themeColor="text1"/>
              <w14:textFill>
                <w14:solidFill>
                  <w14:schemeClr w14:val="tx1"/>
                </w14:solidFill>
              </w14:textFill>
            </w:rPr>
            <w:t xml:space="preserve"> 张术森</w:t>
          </w:r>
          <w:r>
            <w:rPr>
              <w:color w:val="000000" w:themeColor="text1"/>
              <w14:textFill>
                <w14:solidFill>
                  <w14:schemeClr w14:val="tx1"/>
                </w14:solidFill>
              </w14:textFill>
            </w:rPr>
            <w:t xml:space="preserve">先生：本届董事任期届满，经本人确认，任期结束后不再申请连任下一届董事会董事； </w:t>
          </w:r>
        </w:p>
        <w:p w14:paraId="132B95F5">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独立董事</w:t>
          </w:r>
          <w:r>
            <w:rPr>
              <w:rFonts w:hint="eastAsia"/>
              <w:color w:val="000000" w:themeColor="text1"/>
              <w14:textFill>
                <w14:solidFill>
                  <w14:schemeClr w14:val="tx1"/>
                </w14:solidFill>
              </w14:textFill>
            </w:rPr>
            <w:t xml:space="preserve"> 李八方</w:t>
          </w:r>
          <w:r>
            <w:rPr>
              <w:color w:val="000000" w:themeColor="text1"/>
              <w14:textFill>
                <w14:solidFill>
                  <w14:schemeClr w14:val="tx1"/>
                </w14:solidFill>
              </w14:textFill>
            </w:rPr>
            <w:t xml:space="preserve">先生：综合个人工作规划，本届独立董事任期届满后不再续任； </w:t>
          </w:r>
        </w:p>
        <w:p w14:paraId="0A2488C9">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 xml:space="preserve">独立董事 </w:t>
          </w:r>
          <w:r>
            <w:rPr>
              <w:rFonts w:hint="eastAsia"/>
              <w:color w:val="000000" w:themeColor="text1"/>
              <w14:textFill>
                <w14:solidFill>
                  <w14:schemeClr w14:val="tx1"/>
                </w14:solidFill>
              </w14:textFill>
            </w:rPr>
            <w:t>孙慧玲女士</w:t>
          </w:r>
          <w:r>
            <w:rPr>
              <w:color w:val="000000" w:themeColor="text1"/>
              <w14:textFill>
                <w14:solidFill>
                  <w14:schemeClr w14:val="tx1"/>
                </w14:solidFill>
              </w14:textFill>
            </w:rPr>
            <w:t>：截至本届任期届满，其已连续两届担任公司独立董事，连续任职满六年。根据《上市公司独立董事管理办法》相关规定，独立董事在同一上市公司连续任职不得超过六年，因此本届任期结束后不再参与下一届独立董事提名、不再连任。</w:t>
          </w:r>
        </w:p>
        <w:p w14:paraId="2A7A95DB">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4、</w:t>
          </w:r>
          <w:bookmarkStart w:id="62" w:name="OLE_LINK34"/>
          <w:r>
            <w:rPr>
              <w:rFonts w:hint="eastAsia"/>
              <w:color w:val="000000" w:themeColor="text1"/>
              <w14:textFill>
                <w14:solidFill>
                  <w14:schemeClr w14:val="tx1"/>
                </w14:solidFill>
              </w14:textFill>
            </w:rPr>
            <w:t>独立董事 王清印先生：公司召开股东会，对独立董事采用累积投票制进行选举，王清印先生当选为公司新一届董事会独立董事，任期自本次股东会审议通过之日起三年；</w:t>
          </w:r>
          <w:bookmarkEnd w:id="62"/>
        </w:p>
        <w:p w14:paraId="4F87E31A">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5、独立董事</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刘淇先生：公司召开股东会，对独立董事采用累积投票制进行选举，刘淇先生当选为公司新一届董事会独立董事，任期自本次股东会审议通过之日起三年；</w:t>
          </w:r>
        </w:p>
        <w:p w14:paraId="36A04403">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6、职工董事 杨志良先生：公司召开职工代表大会，经民主表决，选举杨志良为新一届董事会职工代表董事，任期与本届董事会一致，自职工代表大会审议通过之日起生效； </w:t>
          </w:r>
        </w:p>
        <w:p w14:paraId="3D5DFB62">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7、非独立董事 唐骥先生：公司召开股东会，采用累积投票制选举唐骥为新一届董事会非独立董事，任期自股东会审议通过之日起三年； </w:t>
          </w:r>
        </w:p>
        <w:p w14:paraId="5981C5B4">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8、董事会秘书 宋晓辉先生：公司召开新一届董事会第一次会议，审议通过聘任议案，聘任宋晓辉为公司董事会秘书，任期同本届董事会董事任期。  </w:t>
          </w:r>
        </w:p>
        <w:p w14:paraId="628A61D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本次换届选举、聘任程序符合《公司法》《上市公司治理准则》及《公司章程》相关规定，新一届董事会人员结构合规，独立董事占比满足监管要求。</w:t>
          </w:r>
        </w:p>
      </w:sdtContent>
    </w:sdt>
    <w:p w14:paraId="71D8013E">
      <w:pPr>
        <w:pStyle w:val="3"/>
        <w:numPr>
          <w:ilvl w:val="0"/>
          <w:numId w:val="13"/>
        </w:numPr>
        <w:tabs>
          <w:tab w:val="left" w:pos="426"/>
        </w:tabs>
        <w:ind w:left="422" w:hanging="422"/>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利润分配或资本公积金转增预案</w:t>
      </w:r>
    </w:p>
    <w:p w14:paraId="06B491B3">
      <w:pPr>
        <w:rPr>
          <w:b/>
          <w:bCs w:val="0"/>
          <w:color w:val="000000" w:themeColor="text1"/>
          <w14:textFill>
            <w14:solidFill>
              <w14:schemeClr w14:val="tx1"/>
            </w14:solidFill>
          </w14:textFill>
        </w:rPr>
      </w:pPr>
      <w:r>
        <w:rPr>
          <w:b/>
          <w:color w:val="000000" w:themeColor="text1"/>
          <w14:textFill>
            <w14:solidFill>
              <w14:schemeClr w14:val="tx1"/>
            </w14:solidFill>
          </w14:textFill>
        </w:rPr>
        <w:t>半年度拟定的利润分配预案、公积金转增股本预案</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8"/>
        <w:gridCol w:w="4405"/>
      </w:tblGrid>
      <w:tr w14:paraId="35AE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dee68179c02c4ccc8a9b8d7e3f70f2c6"/>
            <w:id w:val="1714311936"/>
          </w:sdtPr>
          <w:sdtContent>
            <w:tc>
              <w:tcPr>
                <w:tcW w:w="4524" w:type="dxa"/>
              </w:tcPr>
              <w:p w14:paraId="58464256">
                <w:pPr>
                  <w:widowControl w:val="0"/>
                  <w:jc w:val="both"/>
                  <w:rPr>
                    <w:color w:val="000000" w:themeColor="text1"/>
                    <w14:textFill>
                      <w14:solidFill>
                        <w14:schemeClr w14:val="tx1"/>
                      </w14:solidFill>
                    </w14:textFill>
                  </w:rPr>
                </w:pPr>
                <w:r>
                  <w:rPr>
                    <w:color w:val="000000" w:themeColor="text1"/>
                    <w14:textFill>
                      <w14:solidFill>
                        <w14:schemeClr w14:val="tx1"/>
                      </w14:solidFill>
                    </w14:textFill>
                  </w:rPr>
                  <w:t>是否分配或转增</w:t>
                </w:r>
              </w:p>
            </w:tc>
          </w:sdtContent>
        </w:sdt>
        <w:sdt>
          <w:sdtPr>
            <w:rPr>
              <w:rFonts w:hint="eastAsia"/>
              <w:color w:val="000000" w:themeColor="text1"/>
              <w14:textFill>
                <w14:solidFill>
                  <w14:schemeClr w14:val="tx1"/>
                </w14:solidFill>
              </w14:textFill>
            </w:rPr>
            <w:alias w:val="是否分配或转增"/>
            <w:tag w:val="_GBC_1aa3bb539f35454da0536200efcc4f60"/>
            <w:id w:val="2137979085"/>
            <w:comboBox>
              <w:listItem w:displayText="是" w:value="true"/>
              <w:listItem w:displayText="否" w:value="false"/>
            </w:comboBox>
          </w:sdtPr>
          <w:sdtEndPr>
            <w:rPr>
              <w:rFonts w:hint="eastAsia"/>
              <w:color w:val="000000" w:themeColor="text1"/>
              <w14:textFill>
                <w14:solidFill>
                  <w14:schemeClr w14:val="tx1"/>
                </w14:solidFill>
              </w14:textFill>
            </w:rPr>
          </w:sdtEndPr>
          <w:sdtContent>
            <w:tc>
              <w:tcPr>
                <w:tcW w:w="4524" w:type="dxa"/>
              </w:tcPr>
              <w:p w14:paraId="1A6BD3EE">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否</w:t>
                </w:r>
              </w:p>
            </w:tc>
          </w:sdtContent>
        </w:sdt>
      </w:tr>
      <w:tr w14:paraId="65F2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tcPr>
          <w:p w14:paraId="74220D44">
            <w:pPr>
              <w:widowControl w:val="0"/>
              <w:jc w:val="both"/>
              <w:rPr>
                <w:color w:val="000000" w:themeColor="text1"/>
                <w14:textFill>
                  <w14:solidFill>
                    <w14:schemeClr w14:val="tx1"/>
                  </w14:solidFill>
                </w14:textFill>
              </w:rPr>
            </w:pPr>
            <w:r>
              <w:rPr>
                <w:color w:val="000000" w:themeColor="text1"/>
                <w14:textFill>
                  <w14:solidFill>
                    <w14:schemeClr w14:val="tx1"/>
                  </w14:solidFill>
                </w14:textFill>
              </w:rPr>
              <w:t>每10股送红股数（股）</w:t>
            </w:r>
          </w:p>
        </w:tc>
        <w:tc>
          <w:tcPr>
            <w:tcW w:w="4524" w:type="dxa"/>
          </w:tcPr>
          <w:p w14:paraId="5963D513">
            <w:pPr>
              <w:widowControl w:val="0"/>
              <w:jc w:val="right"/>
            </w:pPr>
            <w:r>
              <w:rPr>
                <w:rFonts w:hint="eastAsia"/>
              </w:rPr>
              <w:t>不适用</w:t>
            </w:r>
          </w:p>
        </w:tc>
      </w:tr>
      <w:tr w14:paraId="0FA50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tcPr>
          <w:p w14:paraId="149B5E4D">
            <w:pPr>
              <w:widowControl w:val="0"/>
              <w:jc w:val="both"/>
              <w:rPr>
                <w:color w:val="000000" w:themeColor="text1"/>
                <w14:textFill>
                  <w14:solidFill>
                    <w14:schemeClr w14:val="tx1"/>
                  </w14:solidFill>
                </w14:textFill>
              </w:rPr>
            </w:pPr>
            <w:r>
              <w:rPr>
                <w:color w:val="000000" w:themeColor="text1"/>
                <w14:textFill>
                  <w14:solidFill>
                    <w14:schemeClr w14:val="tx1"/>
                  </w14:solidFill>
                </w14:textFill>
              </w:rPr>
              <w:t>每10股派息数(元)（含税）</w:t>
            </w:r>
          </w:p>
        </w:tc>
        <w:tc>
          <w:tcPr>
            <w:tcW w:w="4524" w:type="dxa"/>
          </w:tcPr>
          <w:p w14:paraId="277D5EA8">
            <w:pPr>
              <w:widowControl w:val="0"/>
              <w:jc w:val="right"/>
            </w:pPr>
            <w:r>
              <w:rPr>
                <w:rFonts w:hint="eastAsia"/>
              </w:rPr>
              <w:t>不适用</w:t>
            </w:r>
          </w:p>
        </w:tc>
      </w:tr>
      <w:tr w14:paraId="185F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tcPr>
          <w:p w14:paraId="49E6102A">
            <w:pPr>
              <w:widowControl w:val="0"/>
              <w:jc w:val="both"/>
              <w:rPr>
                <w:color w:val="000000" w:themeColor="text1"/>
                <w14:textFill>
                  <w14:solidFill>
                    <w14:schemeClr w14:val="tx1"/>
                  </w14:solidFill>
                </w14:textFill>
              </w:rPr>
            </w:pPr>
            <w:r>
              <w:rPr>
                <w:color w:val="000000" w:themeColor="text1"/>
                <w14:textFill>
                  <w14:solidFill>
                    <w14:schemeClr w14:val="tx1"/>
                  </w14:solidFill>
                </w14:textFill>
              </w:rPr>
              <w:t>每10股转增数（股）</w:t>
            </w:r>
          </w:p>
        </w:tc>
        <w:tc>
          <w:tcPr>
            <w:tcW w:w="4524" w:type="dxa"/>
          </w:tcPr>
          <w:p w14:paraId="1A06F7DF">
            <w:pPr>
              <w:widowControl w:val="0"/>
              <w:jc w:val="right"/>
            </w:pPr>
            <w:r>
              <w:rPr>
                <w:rFonts w:hint="eastAsia"/>
              </w:rPr>
              <w:t>不适用</w:t>
            </w:r>
          </w:p>
        </w:tc>
      </w:tr>
      <w:tr w14:paraId="716E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6f4b1db2793f4d00b5b11589fa8a57fc"/>
            <w:id w:val="1282151085"/>
          </w:sdtPr>
          <w:sdtContent>
            <w:tc>
              <w:tcPr>
                <w:tcW w:w="9048" w:type="dxa"/>
                <w:gridSpan w:val="2"/>
              </w:tcPr>
              <w:p w14:paraId="3312C075">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利润分配或资本公积金转增预案的相关情况说明</w:t>
                </w:r>
              </w:p>
            </w:tc>
          </w:sdtContent>
        </w:sdt>
      </w:tr>
      <w:tr w14:paraId="7890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8" w:type="dxa"/>
            <w:gridSpan w:val="2"/>
          </w:tcPr>
          <w:p w14:paraId="297E97C3">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不适用</w:t>
            </w:r>
          </w:p>
        </w:tc>
      </w:tr>
    </w:tbl>
    <w:p w14:paraId="69A20D66">
      <w:pPr>
        <w:rPr>
          <w:color w:val="000000" w:themeColor="text1"/>
          <w14:textFill>
            <w14:solidFill>
              <w14:schemeClr w14:val="tx1"/>
            </w14:solidFill>
          </w14:textFill>
        </w:rPr>
      </w:pPr>
    </w:p>
    <w:p w14:paraId="08E8FDC4">
      <w:pPr>
        <w:pStyle w:val="3"/>
        <w:numPr>
          <w:ilvl w:val="0"/>
          <w:numId w:val="13"/>
        </w:numPr>
        <w:tabs>
          <w:tab w:val="left" w:pos="426"/>
        </w:tabs>
        <w:ind w:left="422" w:hanging="422"/>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公司股权激励计划、员工持股计划或其他员工激励措施的情况及其影响</w:t>
      </w:r>
    </w:p>
    <w:p w14:paraId="6D5BF768">
      <w:pPr>
        <w:pStyle w:val="4"/>
        <w:numPr>
          <w:ilvl w:val="1"/>
          <w:numId w:val="14"/>
        </w:numPr>
        <w:rPr>
          <w:rFonts w:hint="eastAsia" w:ascii="宋体" w:hAnsi="宋体"/>
          <w:color w:val="000000" w:themeColor="text1"/>
          <w:kern w:val="44"/>
          <w14:textFill>
            <w14:solidFill>
              <w14:schemeClr w14:val="tx1"/>
            </w14:solidFill>
          </w14:textFill>
        </w:rPr>
      </w:pPr>
      <w:bookmarkStart w:id="63" w:name="_Hlk74641818"/>
      <w:r>
        <w:rPr>
          <w:rFonts w:hint="eastAsia" w:ascii="宋体" w:hAnsi="宋体"/>
          <w:color w:val="000000" w:themeColor="text1"/>
          <w:kern w:val="44"/>
          <w14:textFill>
            <w14:solidFill>
              <w14:schemeClr w14:val="tx1"/>
            </w14:solidFill>
          </w14:textFill>
        </w:rPr>
        <w:t>相关股权激励事项已在临时公告披露且后续实施无进展或变化的</w:t>
      </w:r>
    </w:p>
    <w:sdt>
      <w:sdtPr>
        <w:rPr>
          <w:color w:val="000000" w:themeColor="text1"/>
          <w14:textFill>
            <w14:solidFill>
              <w14:schemeClr w14:val="tx1"/>
            </w14:solidFill>
          </w14:textFill>
        </w:rPr>
        <w:alias w:val="是否适用：相关激励事项已在临时公告披露且后续实施无进展或变化的[双击切换]"/>
        <w:tag w:val="_GBC_3c43a5cea9ef47daa40f133532dcd63c"/>
        <w:id w:val="-960101221"/>
        <w:placeholder>
          <w:docPart w:val="GBC22222222222222222222222222222"/>
        </w:placeholder>
      </w:sdtPr>
      <w:sdtEndPr>
        <w:rPr>
          <w:color w:val="000000" w:themeColor="text1"/>
          <w14:textFill>
            <w14:solidFill>
              <w14:schemeClr w14:val="tx1"/>
            </w14:solidFill>
          </w14:textFill>
        </w:rPr>
      </w:sdtEndPr>
      <w:sdtContent>
        <w:p w14:paraId="7C2F3B4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B010ACC">
      <w:pPr>
        <w:rPr>
          <w:color w:val="000000" w:themeColor="text1"/>
          <w14:textFill>
            <w14:solidFill>
              <w14:schemeClr w14:val="tx1"/>
            </w14:solidFill>
          </w14:textFill>
        </w:rPr>
      </w:pPr>
    </w:p>
    <w:bookmarkEnd w:id="63"/>
    <w:p w14:paraId="32081A63">
      <w:pPr>
        <w:pStyle w:val="4"/>
        <w:numPr>
          <w:ilvl w:val="1"/>
          <w:numId w:val="14"/>
        </w:numPr>
        <w:rPr>
          <w:rFonts w:hint="eastAsia"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临时公告未披露或有后续进展的激励情况</w:t>
      </w:r>
    </w:p>
    <w:p w14:paraId="7BE91F7A">
      <w:pPr>
        <w:rPr>
          <w:color w:val="000000" w:themeColor="text1"/>
          <w14:textFill>
            <w14:solidFill>
              <w14:schemeClr w14:val="tx1"/>
            </w14:solidFill>
          </w14:textFill>
        </w:rPr>
      </w:pPr>
      <w:r>
        <w:rPr>
          <w:rFonts w:hint="eastAsia"/>
          <w:color w:val="000000" w:themeColor="text1"/>
          <w14:textFill>
            <w14:solidFill>
              <w14:schemeClr w14:val="tx1"/>
            </w14:solidFill>
          </w14:textFill>
        </w:rPr>
        <w:t>股权激励情况</w:t>
      </w:r>
    </w:p>
    <w:sdt>
      <w:sdtPr>
        <w:rPr>
          <w:color w:val="000000" w:themeColor="text1"/>
          <w14:textFill>
            <w14:solidFill>
              <w14:schemeClr w14:val="tx1"/>
            </w14:solidFill>
          </w14:textFill>
        </w:rPr>
        <w:alias w:val="是否适用：股权激励情况[双击切换]"/>
        <w:tag w:val="_GBC_388221bc7be24cdca55be337256c8bc1"/>
        <w:id w:val="-219204031"/>
        <w:placeholder>
          <w:docPart w:val="GBC22222222222222222222222222222"/>
        </w:placeholder>
      </w:sdtPr>
      <w:sdtEndPr>
        <w:rPr>
          <w:color w:val="000000" w:themeColor="text1"/>
          <w14:textFill>
            <w14:solidFill>
              <w14:schemeClr w14:val="tx1"/>
            </w14:solidFill>
          </w14:textFill>
        </w:rPr>
      </w:sdtEndPr>
      <w:sdtContent>
        <w:p w14:paraId="3969918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2005B15">
      <w:pPr>
        <w:rPr>
          <w:color w:val="000000" w:themeColor="text1"/>
          <w14:textFill>
            <w14:solidFill>
              <w14:schemeClr w14:val="tx1"/>
            </w14:solidFill>
          </w14:textFill>
        </w:rPr>
      </w:pPr>
    </w:p>
    <w:p w14:paraId="02B2FE36">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p w14:paraId="27CF1F55">
      <w:pPr>
        <w:rPr>
          <w:color w:val="000000" w:themeColor="text1"/>
          <w14:textFill>
            <w14:solidFill>
              <w14:schemeClr w14:val="tx1"/>
            </w14:solidFill>
          </w14:textFill>
        </w:rPr>
      </w:pPr>
      <w:sdt>
        <w:sdtPr>
          <w:rPr>
            <w:rFonts w:hint="eastAsia"/>
            <w:color w:val="000000" w:themeColor="text1"/>
            <w14:textFill>
              <w14:solidFill>
                <w14:schemeClr w14:val="tx1"/>
              </w14:solidFill>
            </w14:textFill>
          </w:rPr>
          <w:alias w:val="是否适用：股权激励情况的说明[双击切换]"/>
          <w:tag w:val="_GBC_e5a032ecd3e24335b29a38809f65a990"/>
          <w:id w:val="960925065"/>
          <w:placeholder>
            <w:docPart w:val="GBC22222222222222222222222222222"/>
          </w:placeholder>
        </w:sdtPr>
        <w:sdtEndPr>
          <w:rPr>
            <w:rFonts w:hint="eastAsia"/>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p w14:paraId="4FF1BED2">
      <w:pPr>
        <w:rPr>
          <w:color w:val="000000" w:themeColor="text1"/>
          <w14:textFill>
            <w14:solidFill>
              <w14:schemeClr w14:val="tx1"/>
            </w14:solidFill>
          </w14:textFill>
        </w:rPr>
      </w:pPr>
    </w:p>
    <w:p w14:paraId="08325EF3">
      <w:pPr>
        <w:rPr>
          <w:color w:val="000000" w:themeColor="text1"/>
          <w14:textFill>
            <w14:solidFill>
              <w14:schemeClr w14:val="tx1"/>
            </w14:solidFill>
          </w14:textFill>
        </w:rPr>
      </w:pPr>
      <w:r>
        <w:rPr>
          <w:rFonts w:hint="eastAsia"/>
          <w:color w:val="000000" w:themeColor="text1"/>
          <w14:textFill>
            <w14:solidFill>
              <w14:schemeClr w14:val="tx1"/>
            </w14:solidFill>
          </w14:textFill>
        </w:rPr>
        <w:t>员工持股计划情况</w:t>
      </w:r>
    </w:p>
    <w:sdt>
      <w:sdtPr>
        <w:rPr>
          <w:color w:val="000000" w:themeColor="text1"/>
          <w14:textFill>
            <w14:solidFill>
              <w14:schemeClr w14:val="tx1"/>
            </w14:solidFill>
          </w14:textFill>
        </w:rPr>
        <w:alias w:val="是否适用：员工持股计划情况[双击切换]"/>
        <w:tag w:val="_GBC_60a13b60efda4715a83fed9c5960ee3b"/>
        <w:id w:val="630902379"/>
        <w:placeholder>
          <w:docPart w:val="GBC22222222222222222222222222222"/>
        </w:placeholder>
      </w:sdtPr>
      <w:sdtEndPr>
        <w:rPr>
          <w:color w:val="000000" w:themeColor="text1"/>
          <w14:textFill>
            <w14:solidFill>
              <w14:schemeClr w14:val="tx1"/>
            </w14:solidFill>
          </w14:textFill>
        </w:rPr>
      </w:sdtEndPr>
      <w:sdtContent>
        <w:p w14:paraId="0F714FE5">
          <w:pPr>
            <w:rPr>
              <w:bCs w:val="0"/>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912BFD7">
      <w:pPr>
        <w:rPr>
          <w:bCs w:val="0"/>
          <w:color w:val="000000" w:themeColor="text1"/>
          <w14:textFill>
            <w14:solidFill>
              <w14:schemeClr w14:val="tx1"/>
            </w14:solidFill>
          </w14:textFill>
        </w:rPr>
      </w:pPr>
    </w:p>
    <w:p w14:paraId="2F563EB3">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其他激励措施</w:t>
      </w:r>
    </w:p>
    <w:sdt>
      <w:sdtPr>
        <w:rPr>
          <w:color w:val="000000" w:themeColor="text1"/>
          <w14:textFill>
            <w14:solidFill>
              <w14:schemeClr w14:val="tx1"/>
            </w14:solidFill>
          </w14:textFill>
        </w:rPr>
        <w:alias w:val="是否适用：其他激励措施[双击切换]"/>
        <w:tag w:val="_GBC_87e3c04518ac4bed97846d84cc8784e1"/>
        <w:id w:val="977110823"/>
        <w:placeholder>
          <w:docPart w:val="GBC22222222222222222222222222222"/>
        </w:placeholder>
      </w:sdtPr>
      <w:sdtEndPr>
        <w:rPr>
          <w:color w:val="000000" w:themeColor="text1"/>
          <w14:textFill>
            <w14:solidFill>
              <w14:schemeClr w14:val="tx1"/>
            </w14:solidFill>
          </w14:textFill>
        </w:rPr>
      </w:sdtEndPr>
      <w:sdtContent>
        <w:p w14:paraId="1AB01738">
          <w:pPr>
            <w:rPr>
              <w:bCs w:val="0"/>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077900A">
      <w:pPr>
        <w:rPr>
          <w:color w:val="000000" w:themeColor="text1"/>
          <w14:textFill>
            <w14:solidFill>
              <w14:schemeClr w14:val="tx1"/>
            </w14:solidFill>
          </w14:textFill>
        </w:rPr>
      </w:pPr>
    </w:p>
    <w:p w14:paraId="35DDC186">
      <w:pPr>
        <w:pStyle w:val="3"/>
        <w:numPr>
          <w:ilvl w:val="0"/>
          <w:numId w:val="13"/>
        </w:numPr>
        <w:tabs>
          <w:tab w:val="left" w:pos="426"/>
        </w:tabs>
        <w:jc w:val="left"/>
        <w:rPr>
          <w:rFonts w:hint="eastAsia" w:ascii="宋体" w:hAnsi="宋体"/>
          <w:color w:val="000000"/>
        </w:rPr>
      </w:pPr>
      <w:bookmarkStart w:id="64" w:name="_Hlk200011887"/>
      <w:bookmarkStart w:id="65" w:name="_Hlk199840683"/>
      <w:r>
        <w:rPr>
          <w:rFonts w:ascii="宋体" w:hAnsi="宋体"/>
          <w:color w:val="000000"/>
        </w:rPr>
        <w:t>纳入环境信息依法披露企业名单的上市公司及其</w:t>
      </w:r>
      <w:r>
        <w:rPr>
          <w:rFonts w:hint="eastAsia" w:ascii="宋体" w:hAnsi="宋体"/>
          <w:color w:val="000000"/>
        </w:rPr>
        <w:t>主要</w:t>
      </w:r>
      <w:r>
        <w:rPr>
          <w:rFonts w:ascii="宋体" w:hAnsi="宋体"/>
          <w:color w:val="000000"/>
        </w:rPr>
        <w:t>子公司的环</w:t>
      </w:r>
      <w:r>
        <w:rPr>
          <w:rFonts w:hint="eastAsia" w:ascii="宋体" w:hAnsi="宋体"/>
          <w:color w:val="000000"/>
        </w:rPr>
        <w:t>境</w:t>
      </w:r>
      <w:r>
        <w:rPr>
          <w:rFonts w:ascii="宋体" w:hAnsi="宋体"/>
          <w:color w:val="000000"/>
        </w:rPr>
        <w:t>信息情况</w:t>
      </w:r>
    </w:p>
    <w:sdt>
      <w:sdtPr>
        <w:rPr>
          <w:rFonts w:hint="eastAsia"/>
          <w:color w:val="000000"/>
        </w:rPr>
        <w:alias w:val="是否适用：纳入环境信息依法披露企业名单的上市公司及其主要子公司的环境信息情况[双击切换]"/>
        <w:tag w:val="_GBC_b74e72cb07f94db28869a8424482d034"/>
        <w:id w:val="1121571196"/>
        <w:placeholder>
          <w:docPart w:val="GBC22222222222222222222222222222"/>
        </w:placeholder>
      </w:sdtPr>
      <w:sdtEndPr>
        <w:rPr>
          <w:rFonts w:hint="eastAsia"/>
          <w:color w:val="000000"/>
        </w:rPr>
      </w:sdtEndPr>
      <w:sdtContent>
        <w:p w14:paraId="17560F1E">
          <w:pPr>
            <w:rPr>
              <w:color w:val="000000"/>
            </w:rPr>
          </w:pPr>
          <w:r>
            <w:rPr>
              <w:rFonts w:hint="eastAsia" w:ascii="宋体" w:hAnsi="宋体"/>
              <w:color w:val="000000"/>
            </w:rPr>
            <w:fldChar w:fldCharType="begin"/>
          </w:r>
          <w:r>
            <w:rPr>
              <w:rFonts w:hint="eastAsia" w:ascii="宋体" w:hAnsi="宋体"/>
              <w:color w:val="000000"/>
            </w:rPr>
            <w:instrText xml:space="preserve"> MACROBUTTON  SnrToggleCheckbox □适用 </w:instrText>
          </w:r>
          <w:r>
            <w:rPr>
              <w:rFonts w:hint="eastAsia" w:ascii="宋体" w:hAnsi="宋体"/>
              <w:color w:val="000000"/>
            </w:rPr>
            <w:fldChar w:fldCharType="end"/>
          </w:r>
          <w:r>
            <w:rPr>
              <w:rFonts w:hint="eastAsia" w:ascii="宋体" w:hAnsi="宋体"/>
              <w:color w:val="000000"/>
            </w:rPr>
            <w:fldChar w:fldCharType="begin"/>
          </w:r>
          <w:r>
            <w:rPr>
              <w:rFonts w:hint="eastAsia" w:ascii="宋体" w:hAnsi="宋体"/>
              <w:color w:val="000000"/>
            </w:rPr>
            <w:instrText xml:space="preserve"> MACROBUTTON  SnrToggleCheckbox √不适用 </w:instrText>
          </w:r>
          <w:r>
            <w:rPr>
              <w:rFonts w:hint="eastAsia" w:ascii="宋体" w:hAnsi="宋体"/>
              <w:color w:val="000000"/>
            </w:rPr>
            <w:fldChar w:fldCharType="end"/>
          </w:r>
        </w:p>
      </w:sdtContent>
    </w:sdt>
    <w:p w14:paraId="5B8EB8C7"/>
    <w:p w14:paraId="0D53A40E">
      <w:pPr>
        <w:rPr>
          <w:color w:val="000000"/>
        </w:rPr>
      </w:pPr>
      <w:r>
        <w:rPr>
          <w:rFonts w:hint="eastAsia"/>
          <w:color w:val="000000"/>
        </w:rPr>
        <w:t>其他说明</w:t>
      </w:r>
    </w:p>
    <w:sdt>
      <w:sdtPr>
        <w:rPr>
          <w:rFonts w:hint="eastAsia"/>
          <w:color w:val="000000"/>
        </w:rPr>
        <w:alias w:val="是否适用：纳入环境信息依法披露企业名单的上市公司及其主要子公司的环境信息情况其他说明[双击切换]"/>
        <w:tag w:val="_GBC_047d333fc006452891574305ff7e477a"/>
        <w:id w:val="256870344"/>
        <w:placeholder>
          <w:docPart w:val="GBC22222222222222222222222222222"/>
        </w:placeholder>
      </w:sdtPr>
      <w:sdtEndPr>
        <w:rPr>
          <w:rFonts w:hint="eastAsia"/>
          <w:color w:val="000000"/>
        </w:rPr>
      </w:sdtEndPr>
      <w:sdtContent>
        <w:p w14:paraId="5CC966EE">
          <w:pPr>
            <w:rPr>
              <w:color w:val="000000"/>
            </w:rPr>
          </w:pPr>
          <w:r>
            <w:rPr>
              <w:rFonts w:hint="eastAsia" w:ascii="宋体" w:hAnsi="宋体"/>
              <w:color w:val="000000"/>
            </w:rPr>
            <w:fldChar w:fldCharType="begin"/>
          </w:r>
          <w:r>
            <w:rPr>
              <w:rFonts w:hint="eastAsia" w:ascii="宋体" w:hAnsi="宋体"/>
              <w:color w:val="000000"/>
            </w:rPr>
            <w:instrText xml:space="preserve"> MACROBUTTON  SnrToggleCheckbox □适用 </w:instrText>
          </w:r>
          <w:r>
            <w:rPr>
              <w:rFonts w:hint="eastAsia" w:ascii="宋体" w:hAnsi="宋体"/>
              <w:color w:val="000000"/>
            </w:rPr>
            <w:fldChar w:fldCharType="end"/>
          </w:r>
          <w:r>
            <w:rPr>
              <w:rFonts w:hint="eastAsia" w:ascii="宋体" w:hAnsi="宋体"/>
              <w:color w:val="000000"/>
            </w:rPr>
            <w:fldChar w:fldCharType="begin"/>
          </w:r>
          <w:r>
            <w:rPr>
              <w:rFonts w:hint="eastAsia" w:ascii="宋体" w:hAnsi="宋体"/>
              <w:color w:val="000000"/>
            </w:rPr>
            <w:instrText xml:space="preserve"> MACROBUTTON  SnrToggleCheckbox √不适用 </w:instrText>
          </w:r>
          <w:r>
            <w:rPr>
              <w:rFonts w:hint="eastAsia" w:ascii="宋体" w:hAnsi="宋体"/>
              <w:color w:val="000000"/>
            </w:rPr>
            <w:fldChar w:fldCharType="end"/>
          </w:r>
        </w:p>
      </w:sdtContent>
    </w:sdt>
    <w:p w14:paraId="357E9AFE">
      <w:pPr>
        <w:rPr>
          <w:color w:val="000000" w:themeColor="text1"/>
          <w14:textFill>
            <w14:solidFill>
              <w14:schemeClr w14:val="tx1"/>
            </w14:solidFill>
          </w14:textFill>
        </w:rPr>
      </w:pPr>
    </w:p>
    <w:bookmarkEnd w:id="64"/>
    <w:bookmarkEnd w:id="65"/>
    <w:p w14:paraId="550CD6A4">
      <w:pPr>
        <w:pStyle w:val="3"/>
        <w:numPr>
          <w:ilvl w:val="0"/>
          <w:numId w:val="13"/>
        </w:numPr>
        <w:tabs>
          <w:tab w:val="left" w:pos="426"/>
        </w:tabs>
        <w:jc w:val="left"/>
        <w:rPr>
          <w:rFonts w:hint="eastAsia" w:ascii="宋体" w:hAnsi="宋体"/>
          <w:color w:val="000000" w:themeColor="text1"/>
          <w14:textFill>
            <w14:solidFill>
              <w14:schemeClr w14:val="tx1"/>
            </w14:solidFill>
          </w14:textFill>
        </w:rPr>
      </w:pPr>
      <w:bookmarkStart w:id="66" w:name="_Hlk138060542"/>
      <w:bookmarkStart w:id="67" w:name="_Hlk137046383"/>
      <w:r>
        <w:rPr>
          <w:rFonts w:hint="eastAsia" w:ascii="宋体" w:hAnsi="宋体"/>
          <w:color w:val="000000" w:themeColor="text1"/>
          <w14:textFill>
            <w14:solidFill>
              <w14:schemeClr w14:val="tx1"/>
            </w14:solidFill>
          </w14:textFill>
        </w:rPr>
        <w:t>巩固拓展脱贫攻坚成果、乡村振兴等工作具体情况</w:t>
      </w:r>
    </w:p>
    <w:sdt>
      <w:sdtPr>
        <w:rPr>
          <w:color w:val="000000" w:themeColor="text1"/>
          <w14:textFill>
            <w14:solidFill>
              <w14:schemeClr w14:val="tx1"/>
            </w14:solidFill>
          </w14:textFill>
        </w:rPr>
        <w:alias w:val="是否适用：巩固拓展脱贫攻坚成果、乡村振兴工作具体情况[双击切换]"/>
        <w:tag w:val="_GBC_7f424183824c43c9809b2bbaefe89688"/>
        <w:id w:val="1527052492"/>
        <w:placeholder>
          <w:docPart w:val="GBC22222222222222222222222222222"/>
        </w:placeholder>
      </w:sdtPr>
      <w:sdtEndPr>
        <w:rPr>
          <w:color w:val="000000" w:themeColor="text1"/>
          <w14:textFill>
            <w14:solidFill>
              <w14:schemeClr w14:val="tx1"/>
            </w14:solidFill>
          </w14:textFill>
        </w:rPr>
      </w:sdtEndPr>
      <w:sdtContent>
        <w:p w14:paraId="68933FA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66"/>
    <w:sdt>
      <w:sdtPr>
        <w:rPr>
          <w:color w:val="000000" w:themeColor="text1"/>
          <w14:textFill>
            <w14:solidFill>
              <w14:schemeClr w14:val="tx1"/>
            </w14:solidFill>
          </w14:textFill>
        </w:rPr>
        <w:alias w:val="巩固拓展脱贫攻坚成果、乡村振兴工作具体情况"/>
        <w:tag w:val="_GBC_47fe8bcbd1294a14b7be74e9da037113"/>
        <w:id w:val="575869951"/>
        <w:placeholder>
          <w:docPart w:val="91B682EE9E7A422F9853045CA4A7CF0E"/>
        </w:placeholder>
      </w:sdtPr>
      <w:sdtEndPr>
        <w:rPr>
          <w:color w:val="000000" w:themeColor="text1"/>
          <w14:textFill>
            <w14:solidFill>
              <w14:schemeClr w14:val="tx1"/>
            </w14:solidFill>
          </w14:textFill>
        </w:rPr>
      </w:sdtEndPr>
      <w:sdtContent>
        <w:p w14:paraId="339DD490">
          <w:pPr>
            <w:spacing w:line="360" w:lineRule="auto"/>
            <w:ind w:firstLine="420" w:firstLineChars="200"/>
          </w:pPr>
          <w:r>
            <w:rPr>
              <w:rFonts w:hint="eastAsia"/>
              <w:color w:val="000000" w:themeColor="text1"/>
              <w14:textFill>
                <w14:solidFill>
                  <w14:schemeClr w14:val="tx1"/>
                </w14:solidFill>
              </w14:textFill>
            </w:rPr>
            <w:t>报告期内，公司始终坚守诚信经营的发展理念，主动践行企业社会责任，深度贯彻国家乡村振兴战略部署，持续深化社会责任治理体系建设，牢固树立可持续发展理念，切实履行企业社会担当，全力助力乡村经济高质量发展。公司立足自身产业优势，多措并举深耕帮扶工作，通过推动一二三产业深度融合、开展乡村教育精准帮扶、健全困难家庭帮扶等多元化举措，精准赋能乡村发展，有效带动乡村产业提质、民生改善。同时，公司坚持以人为本，积极践行温情公益理念，高度关注困难职工、特殊弱势群体的生活保障与帮扶工作。常态化开展职工帮扶、爱心慰问工作，切实解决困难群体实际难题。此外，公司积极投身社会公益事业，主动参与各类慈善捐赠活动，以实际行动传递企业温度，持续彰显上市公司的社会责任与时代担当。</w:t>
          </w:r>
        </w:p>
      </w:sdtContent>
    </w:sdt>
    <w:p w14:paraId="73FD969F">
      <w:pPr>
        <w:rPr>
          <w:color w:val="000000" w:themeColor="text1"/>
          <w14:textFill>
            <w14:solidFill>
              <w14:schemeClr w14:val="tx1"/>
            </w14:solidFill>
          </w14:textFill>
        </w:rPr>
      </w:pPr>
    </w:p>
    <w:p w14:paraId="6288515D">
      <w:pPr>
        <w:rPr>
          <w:color w:val="000000" w:themeColor="text1"/>
          <w14:textFill>
            <w14:solidFill>
              <w14:schemeClr w14:val="tx1"/>
            </w14:solidFill>
          </w14:textFill>
        </w:rPr>
        <w:sectPr>
          <w:pgSz w:w="11906" w:h="16838"/>
          <w:pgMar w:top="1525" w:right="1276" w:bottom="1440" w:left="1797" w:header="851" w:footer="992" w:gutter="0"/>
          <w:cols w:space="425" w:num="1"/>
          <w:docGrid w:linePitch="312" w:charSpace="0"/>
        </w:sectPr>
      </w:pPr>
    </w:p>
    <w:bookmarkEnd w:id="67"/>
    <w:p w14:paraId="22A64384">
      <w:pPr>
        <w:pStyle w:val="2"/>
        <w:numPr>
          <w:ilvl w:val="0"/>
          <w:numId w:val="2"/>
        </w:numPr>
        <w:rPr>
          <w:rFonts w:hint="eastAsia" w:ascii="黑体" w:hAnsi="黑体"/>
          <w:color w:val="000000" w:themeColor="text1"/>
          <w14:textFill>
            <w14:solidFill>
              <w14:schemeClr w14:val="tx1"/>
            </w14:solidFill>
          </w14:textFill>
        </w:rPr>
      </w:pPr>
      <w:bookmarkStart w:id="68" w:name="_Toc236303309"/>
      <w:bookmarkStart w:id="69" w:name="_Toc76114277"/>
      <w:r>
        <w:rPr>
          <w:rFonts w:ascii="黑体" w:hAnsi="黑体"/>
          <w:color w:val="000000" w:themeColor="text1"/>
          <w14:textFill>
            <w14:solidFill>
              <w14:schemeClr w14:val="tx1"/>
            </w14:solidFill>
          </w14:textFill>
        </w:rPr>
        <w:t>重要事项</w:t>
      </w:r>
      <w:bookmarkEnd w:id="68"/>
    </w:p>
    <w:bookmarkEnd w:id="69"/>
    <w:p w14:paraId="5F78D38D">
      <w:pPr>
        <w:rPr>
          <w:color w:val="000000" w:themeColor="text1"/>
          <w14:textFill>
            <w14:solidFill>
              <w14:schemeClr w14:val="tx1"/>
            </w14:solidFill>
          </w14:textFill>
        </w:rPr>
      </w:pPr>
    </w:p>
    <w:p w14:paraId="3958B5B2">
      <w:pPr>
        <w:pStyle w:val="3"/>
        <w:numPr>
          <w:ilvl w:val="0"/>
          <w:numId w:val="15"/>
        </w:numPr>
        <w:tabs>
          <w:tab w:val="left" w:pos="426"/>
        </w:tabs>
        <w:jc w:val="left"/>
        <w:rPr>
          <w:rFonts w:hint="eastAsia" w:ascii="宋体" w:hAnsi="宋体"/>
          <w:color w:val="000000" w:themeColor="text1"/>
          <w14:textFill>
            <w14:solidFill>
              <w14:schemeClr w14:val="tx1"/>
            </w14:solidFill>
          </w14:textFill>
        </w:rPr>
      </w:pPr>
      <w:bookmarkStart w:id="70" w:name="_Toc342565988"/>
      <w:r>
        <w:rPr>
          <w:rFonts w:hint="eastAsia" w:ascii="宋体" w:hAnsi="宋体"/>
          <w:color w:val="000000" w:themeColor="text1"/>
          <w14:textFill>
            <w14:solidFill>
              <w14:schemeClr w14:val="tx1"/>
            </w14:solidFill>
          </w14:textFill>
        </w:rPr>
        <w:t>承诺事项履行情况</w:t>
      </w:r>
    </w:p>
    <w:p w14:paraId="1B3F2F9B">
      <w:pPr>
        <w:pStyle w:val="4"/>
        <w:numPr>
          <w:ilvl w:val="1"/>
          <w:numId w:val="16"/>
        </w:numPr>
        <w:rPr>
          <w:color w:val="000000" w:themeColor="text1"/>
          <w:szCs w:val="21"/>
          <w14:textFill>
            <w14:solidFill>
              <w14:schemeClr w14:val="tx1"/>
            </w14:solidFill>
          </w14:textFill>
        </w:rPr>
      </w:pPr>
      <w:bookmarkStart w:id="71" w:name="_Hlk167798036"/>
      <w:r>
        <w:rPr>
          <w:rFonts w:hint="eastAsia"/>
          <w:color w:val="000000" w:themeColor="text1"/>
          <w:szCs w:val="21"/>
          <w14:textFill>
            <w14:solidFill>
              <w14:schemeClr w14:val="tx1"/>
            </w14:solidFill>
          </w14:textFill>
        </w:rPr>
        <w:t>公司实际控制人、股东、关联方、收购人以及公司等承诺相关方在报告期内或持续到报告期内的承诺事项</w:t>
      </w:r>
    </w:p>
    <w:sdt>
      <w:sdtPr>
        <w:rPr>
          <w:color w:val="000000" w:themeColor="text1"/>
          <w14:textFill>
            <w14:solidFill>
              <w14:schemeClr w14:val="tx1"/>
            </w14:solidFill>
          </w14:textFill>
        </w:rPr>
        <w:alias w:val="是否适用：公司实际控制人、股东、关联方、收购人以及公司等承诺相关方在报告期内或持续到报告期内的承诺事项 [双击切换]"/>
        <w:tag w:val="_GBC_1b3cd268fdf44711b46a5537ed6234e6"/>
        <w:id w:val="1801805164"/>
        <w:placeholder>
          <w:docPart w:val="GBC22222222222222222222222222222"/>
        </w:placeholder>
      </w:sdtPr>
      <w:sdtEndPr>
        <w:rPr>
          <w:color w:val="000000" w:themeColor="text1"/>
          <w14:textFill>
            <w14:solidFill>
              <w14:schemeClr w14:val="tx1"/>
            </w14:solidFill>
          </w14:textFill>
        </w:rPr>
      </w:sdtEndPr>
      <w:sdtContent>
        <w:p w14:paraId="6211FAC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6CEFB09">
      <w:pPr>
        <w:rPr>
          <w:color w:val="000000" w:themeColor="text1"/>
          <w14:textFill>
            <w14:solidFill>
              <w14:schemeClr w14:val="tx1"/>
            </w14:solidFill>
          </w14:textFill>
        </w:rPr>
      </w:pPr>
    </w:p>
    <w:bookmarkEnd w:id="71"/>
    <w:p w14:paraId="2D817870">
      <w:pPr>
        <w:pStyle w:val="3"/>
        <w:numPr>
          <w:ilvl w:val="0"/>
          <w:numId w:val="15"/>
        </w:numPr>
        <w:tabs>
          <w:tab w:val="left" w:pos="426"/>
        </w:tabs>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报</w:t>
      </w:r>
      <w:r>
        <w:rPr>
          <w:rFonts w:ascii="宋体" w:hAnsi="宋体"/>
          <w:color w:val="000000" w:themeColor="text1"/>
          <w14:textFill>
            <w14:solidFill>
              <w14:schemeClr w14:val="tx1"/>
            </w14:solidFill>
          </w14:textFill>
        </w:rPr>
        <w:t>告期内</w:t>
      </w:r>
      <w:r>
        <w:rPr>
          <w:rFonts w:hint="eastAsia" w:ascii="宋体" w:hAnsi="宋体"/>
          <w:color w:val="000000" w:themeColor="text1"/>
          <w14:textFill>
            <w14:solidFill>
              <w14:schemeClr w14:val="tx1"/>
            </w14:solidFill>
          </w14:textFill>
        </w:rPr>
        <w:t>控股股东及其他关联方非经营性占用资金情况</w:t>
      </w:r>
    </w:p>
    <w:sdt>
      <w:sdtPr>
        <w:rPr>
          <w:color w:val="000000" w:themeColor="text1"/>
          <w14:textFill>
            <w14:solidFill>
              <w14:schemeClr w14:val="tx1"/>
            </w14:solidFill>
          </w14:textFill>
        </w:rPr>
        <w:alias w:val="是否适用：资金被占用情况及清欠进展情况[双击切换]"/>
        <w:tag w:val="_GBC_ae82394ae54d49eba71e8d8d6447c499"/>
        <w:id w:val="101303662"/>
        <w:placeholder>
          <w:docPart w:val="GBC22222222222222222222222222222"/>
        </w:placeholder>
      </w:sdtPr>
      <w:sdtEndPr>
        <w:rPr>
          <w:color w:val="000000" w:themeColor="text1"/>
          <w14:textFill>
            <w14:solidFill>
              <w14:schemeClr w14:val="tx1"/>
            </w14:solidFill>
          </w14:textFill>
        </w:rPr>
      </w:sdtEndPr>
      <w:sdtContent>
        <w:p w14:paraId="5AF6374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2B48447">
      <w:pPr>
        <w:rPr>
          <w:color w:val="000000" w:themeColor="text1"/>
          <w14:textFill>
            <w14:solidFill>
              <w14:schemeClr w14:val="tx1"/>
            </w14:solidFill>
          </w14:textFill>
        </w:rPr>
      </w:pPr>
      <w:bookmarkStart w:id="72" w:name="_Hlk74646365"/>
    </w:p>
    <w:bookmarkEnd w:id="72"/>
    <w:p w14:paraId="52436292">
      <w:pPr>
        <w:pStyle w:val="3"/>
        <w:numPr>
          <w:ilvl w:val="0"/>
          <w:numId w:val="15"/>
        </w:numPr>
        <w:tabs>
          <w:tab w:val="left" w:pos="426"/>
        </w:tabs>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违规担保情况</w:t>
      </w:r>
    </w:p>
    <w:sdt>
      <w:sdtPr>
        <w:rPr>
          <w:color w:val="000000" w:themeColor="text1"/>
          <w14:textFill>
            <w14:solidFill>
              <w14:schemeClr w14:val="tx1"/>
            </w14:solidFill>
          </w14:textFill>
        </w:rPr>
        <w:alias w:val="是否适用：违规担保情况[双击切换]"/>
        <w:tag w:val="_GBC_725722c7a37d40c28caf80b13d948933"/>
        <w:id w:val="1848751884"/>
        <w:placeholder>
          <w:docPart w:val="GBC22222222222222222222222222222"/>
        </w:placeholder>
      </w:sdtPr>
      <w:sdtEndPr>
        <w:rPr>
          <w:color w:val="000000" w:themeColor="text1"/>
          <w14:textFill>
            <w14:solidFill>
              <w14:schemeClr w14:val="tx1"/>
            </w14:solidFill>
          </w14:textFill>
        </w:rPr>
      </w:sdtEndPr>
      <w:sdtContent>
        <w:p w14:paraId="7E295F8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4423B0D">
      <w:pPr>
        <w:rPr>
          <w:color w:val="000000" w:themeColor="text1"/>
          <w14:textFill>
            <w14:solidFill>
              <w14:schemeClr w14:val="tx1"/>
            </w14:solidFill>
          </w14:textFill>
        </w:rPr>
        <w:sectPr>
          <w:pgSz w:w="16838" w:h="11906" w:orient="landscape"/>
          <w:pgMar w:top="1797" w:right="1525" w:bottom="1276" w:left="1440" w:header="851" w:footer="992" w:gutter="0"/>
          <w:cols w:space="425" w:num="1"/>
          <w:docGrid w:linePitch="312" w:charSpace="0"/>
        </w:sectPr>
      </w:pPr>
      <w:bookmarkStart w:id="73" w:name="_Hlk74646368"/>
      <w:bookmarkEnd w:id="73"/>
    </w:p>
    <w:p w14:paraId="4BE00B02">
      <w:pPr>
        <w:pStyle w:val="3"/>
        <w:numPr>
          <w:ilvl w:val="0"/>
          <w:numId w:val="15"/>
        </w:numPr>
        <w:tabs>
          <w:tab w:val="left" w:pos="426"/>
        </w:tabs>
        <w:ind w:left="422" w:hanging="422"/>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半年报审计情况</w:t>
      </w:r>
    </w:p>
    <w:sdt>
      <w:sdtPr>
        <w:rPr>
          <w:color w:val="000000" w:themeColor="text1"/>
          <w14:textFill>
            <w14:solidFill>
              <w14:schemeClr w14:val="tx1"/>
            </w14:solidFill>
          </w14:textFill>
        </w:rPr>
        <w:alias w:val="是否适用：半年报审计情况  [双击切换]"/>
        <w:tag w:val="_GBC_b2faf86be7fd4060a2a7ad4018aaf033"/>
        <w:id w:val="-176579108"/>
        <w:placeholder>
          <w:docPart w:val="GBC22222222222222222222222222222"/>
        </w:placeholder>
      </w:sdtPr>
      <w:sdtEndPr>
        <w:rPr>
          <w:color w:val="000000" w:themeColor="text1"/>
          <w14:textFill>
            <w14:solidFill>
              <w14:schemeClr w14:val="tx1"/>
            </w14:solidFill>
          </w14:textFill>
        </w:rPr>
      </w:sdtEndPr>
      <w:sdtContent>
        <w:p w14:paraId="6D1328C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31097CA">
      <w:pPr>
        <w:rPr>
          <w:color w:val="000000" w:themeColor="text1"/>
          <w14:textFill>
            <w14:solidFill>
              <w14:schemeClr w14:val="tx1"/>
            </w14:solidFill>
          </w14:textFill>
        </w:rPr>
      </w:pPr>
    </w:p>
    <w:p w14:paraId="7E9BE217">
      <w:pPr>
        <w:rPr>
          <w:color w:val="000000" w:themeColor="text1"/>
          <w14:textFill>
            <w14:solidFill>
              <w14:schemeClr w14:val="tx1"/>
            </w14:solidFill>
          </w14:textFill>
        </w:rPr>
      </w:pPr>
    </w:p>
    <w:p w14:paraId="3D3D9806">
      <w:pPr>
        <w:pStyle w:val="3"/>
        <w:numPr>
          <w:ilvl w:val="0"/>
          <w:numId w:val="15"/>
        </w:numPr>
        <w:tabs>
          <w:tab w:val="left" w:pos="426"/>
        </w:tabs>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上年年度报告非标准审计意见涉及事项的变化及处理情况</w:t>
      </w:r>
    </w:p>
    <w:sdt>
      <w:sdtPr>
        <w:rPr>
          <w:rFonts w:hint="eastAsia"/>
          <w:color w:val="000000" w:themeColor="text1"/>
          <w14:textFill>
            <w14:solidFill>
              <w14:schemeClr w14:val="tx1"/>
            </w14:solidFill>
          </w14:textFill>
        </w:rPr>
        <w:alias w:val="是否适用：公司对上年年度报告中的财务报告被注册会计师出具“非标准审计报告”的说明 [双击切换]"/>
        <w:tag w:val="_GBC_06e0811c47124b6da79369103f766350"/>
        <w:id w:val="1087106947"/>
        <w:placeholder>
          <w:docPart w:val="GBC22222222222222222222222222222"/>
        </w:placeholder>
      </w:sdtPr>
      <w:sdtEndPr>
        <w:rPr>
          <w:rFonts w:hint="eastAsia"/>
          <w:color w:val="000000" w:themeColor="text1"/>
          <w14:textFill>
            <w14:solidFill>
              <w14:schemeClr w14:val="tx1"/>
            </w14:solidFill>
          </w14:textFill>
        </w:rPr>
      </w:sdtEndPr>
      <w:sdtContent>
        <w:p w14:paraId="7EFDE7D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DB3C56C">
      <w:pPr>
        <w:rPr>
          <w:color w:val="000000" w:themeColor="text1"/>
          <w14:textFill>
            <w14:solidFill>
              <w14:schemeClr w14:val="tx1"/>
            </w14:solidFill>
          </w14:textFill>
        </w:rPr>
      </w:pPr>
    </w:p>
    <w:p w14:paraId="24A9A191">
      <w:pPr>
        <w:pStyle w:val="3"/>
        <w:numPr>
          <w:ilvl w:val="0"/>
          <w:numId w:val="15"/>
        </w:numPr>
        <w:tabs>
          <w:tab w:val="left" w:pos="426"/>
        </w:tabs>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破产重整相关事项</w:t>
      </w:r>
    </w:p>
    <w:sdt>
      <w:sdtPr>
        <w:rPr>
          <w:rFonts w:hint="eastAsia"/>
          <w:color w:val="000000" w:themeColor="text1"/>
          <w14:textFill>
            <w14:solidFill>
              <w14:schemeClr w14:val="tx1"/>
            </w14:solidFill>
          </w14:textFill>
        </w:rPr>
        <w:alias w:val="是否适用：破产重整相关事项[双击切换]"/>
        <w:tag w:val="_GBC_c4fc8890d63b44b19353d2188a5bce59"/>
        <w:id w:val="-394815506"/>
        <w:placeholder>
          <w:docPart w:val="GBC22222222222222222222222222222"/>
        </w:placeholder>
      </w:sdtPr>
      <w:sdtEndPr>
        <w:rPr>
          <w:rFonts w:hint="eastAsia"/>
          <w:color w:val="000000" w:themeColor="text1"/>
          <w14:textFill>
            <w14:solidFill>
              <w14:schemeClr w14:val="tx1"/>
            </w14:solidFill>
          </w14:textFill>
        </w:rPr>
      </w:sdtEndPr>
      <w:sdtContent>
        <w:p w14:paraId="1AA80FB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C6FC9BB">
      <w:pPr>
        <w:rPr>
          <w:color w:val="000000" w:themeColor="text1"/>
          <w14:textFill>
            <w14:solidFill>
              <w14:schemeClr w14:val="tx1"/>
            </w14:solidFill>
          </w14:textFill>
        </w:rPr>
      </w:pPr>
    </w:p>
    <w:p w14:paraId="279AD424">
      <w:pPr>
        <w:pStyle w:val="3"/>
        <w:numPr>
          <w:ilvl w:val="0"/>
          <w:numId w:val="15"/>
        </w:numPr>
        <w:tabs>
          <w:tab w:val="left" w:pos="426"/>
        </w:tabs>
        <w:ind w:left="422" w:hanging="422"/>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重大诉讼、仲裁事项</w:t>
      </w:r>
    </w:p>
    <w:sdt>
      <w:sdtPr>
        <w:rPr>
          <w:rFonts w:asciiTheme="minorEastAsia" w:hAnsiTheme="minorEastAsia" w:eastAsiaTheme="minorEastAsia"/>
          <w:color w:val="000000" w:themeColor="text1"/>
          <w14:textFill>
            <w14:solidFill>
              <w14:schemeClr w14:val="tx1"/>
            </w14:solidFill>
          </w14:textFill>
        </w:rPr>
        <w:alias w:val="本年度公司有无重大诉讼、仲裁事项"/>
        <w:tag w:val="_GBC_0fcf1cd2d0814185bde747855edf5227"/>
        <w:id w:val="-433585134"/>
        <w:placeholder>
          <w:docPart w:val="GBC22222222222222222222222222222"/>
        </w:placeholder>
      </w:sdtPr>
      <w:sdtEndPr>
        <w:rPr>
          <w:rFonts w:asciiTheme="minorEastAsia" w:hAnsiTheme="minorEastAsia" w:eastAsiaTheme="minorEastAsia"/>
          <w:color w:val="000000" w:themeColor="text1"/>
          <w14:textFill>
            <w14:solidFill>
              <w14:schemeClr w14:val="tx1"/>
            </w14:solidFill>
          </w14:textFill>
        </w:rPr>
      </w:sdtEndPr>
      <w:sdtContent>
        <w:p w14:paraId="79C92E4F">
          <w:pPr>
            <w:rPr>
              <w:rFonts w:hint="eastAsia"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fldChar w:fldCharType="begin"/>
          </w:r>
          <w:r>
            <w:rPr>
              <w:rFonts w:asciiTheme="minorEastAsia" w:hAnsiTheme="minorEastAsia" w:eastAsiaTheme="minorEastAsia"/>
              <w:color w:val="000000" w:themeColor="text1"/>
              <w14:textFill>
                <w14:solidFill>
                  <w14:schemeClr w14:val="tx1"/>
                </w14:solidFill>
              </w14:textFill>
            </w:rPr>
            <w:instrText xml:space="preserve"> MACROBUTTON  SnrToggleCheckbox □本报告期公司有重大诉讼、仲裁事项 </w:instrText>
          </w:r>
          <w:r>
            <w:rPr>
              <w:rFonts w:asciiTheme="minorEastAsia" w:hAnsiTheme="minorEastAsia" w:eastAsiaTheme="minorEastAsia"/>
              <w:color w:val="000000" w:themeColor="text1"/>
              <w14:textFill>
                <w14:solidFill>
                  <w14:schemeClr w14:val="tx1"/>
                </w14:solidFill>
              </w14:textFill>
            </w:rPr>
            <w:fldChar w:fldCharType="end"/>
          </w:r>
          <w:r>
            <w:rPr>
              <w:rFonts w:asciiTheme="minorEastAsia" w:hAnsiTheme="minorEastAsia" w:eastAsiaTheme="minorEastAsia"/>
              <w:color w:val="000000" w:themeColor="text1"/>
              <w14:textFill>
                <w14:solidFill>
                  <w14:schemeClr w14:val="tx1"/>
                </w14:solidFill>
              </w14:textFill>
            </w:rPr>
            <w:fldChar w:fldCharType="begin"/>
          </w:r>
          <w:r>
            <w:rPr>
              <w:rFonts w:asciiTheme="minorEastAsia" w:hAnsiTheme="minorEastAsia" w:eastAsiaTheme="minorEastAsia"/>
              <w:color w:val="000000" w:themeColor="text1"/>
              <w14:textFill>
                <w14:solidFill>
                  <w14:schemeClr w14:val="tx1"/>
                </w14:solidFill>
              </w14:textFill>
            </w:rPr>
            <w:instrText xml:space="preserve"> MACROBUTTON  SnrToggleCheckbox □本报告期公司无重大诉讼、仲裁事项 </w:instrText>
          </w:r>
          <w:r>
            <w:rPr>
              <w:rFonts w:asciiTheme="minorEastAsia" w:hAnsiTheme="minorEastAsia" w:eastAsiaTheme="minorEastAsia"/>
              <w:color w:val="000000" w:themeColor="text1"/>
              <w14:textFill>
                <w14:solidFill>
                  <w14:schemeClr w14:val="tx1"/>
                </w14:solidFill>
              </w14:textFill>
            </w:rPr>
            <w:fldChar w:fldCharType="end"/>
          </w:r>
        </w:p>
      </w:sdtContent>
    </w:sdt>
    <w:p w14:paraId="3602869C">
      <w:pPr>
        <w:pStyle w:val="4"/>
        <w:numPr>
          <w:ilvl w:val="0"/>
          <w:numId w:val="17"/>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诉讼、仲裁事项已在临时公告披露且无后续进展的</w:t>
      </w:r>
    </w:p>
    <w:sdt>
      <w:sdtPr>
        <w:rPr>
          <w:color w:val="000000" w:themeColor="text1"/>
          <w14:textFill>
            <w14:solidFill>
              <w14:schemeClr w14:val="tx1"/>
            </w14:solidFill>
          </w14:textFill>
        </w:rPr>
        <w:alias w:val="是否适用：诉讼、仲裁事项已在临时公告披露且无后续进展的[双击切换]"/>
        <w:tag w:val="_GBC_1c7697ff89954de38b9736575b9b7dc9"/>
        <w:id w:val="1866631795"/>
        <w:placeholder>
          <w:docPart w:val="GBC22222222222222222222222222222"/>
        </w:placeholder>
      </w:sdtPr>
      <w:sdtEndPr>
        <w:rPr>
          <w:color w:val="000000" w:themeColor="text1"/>
          <w14:textFill>
            <w14:solidFill>
              <w14:schemeClr w14:val="tx1"/>
            </w14:solidFill>
          </w14:textFill>
        </w:rPr>
      </w:sdtEndPr>
      <w:sdtContent>
        <w:p w14:paraId="19F2D68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41CDA4E">
      <w:pPr>
        <w:rPr>
          <w:color w:val="000000" w:themeColor="text1"/>
          <w14:textFill>
            <w14:solidFill>
              <w14:schemeClr w14:val="tx1"/>
            </w14:solidFill>
          </w14:textFill>
        </w:rPr>
      </w:pPr>
    </w:p>
    <w:p w14:paraId="31EF8CF9">
      <w:pPr>
        <w:pStyle w:val="4"/>
        <w:numPr>
          <w:ilvl w:val="0"/>
          <w:numId w:val="17"/>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临时公告未披露或有后续进展的诉讼、仲裁情况</w:t>
      </w:r>
    </w:p>
    <w:sdt>
      <w:sdtPr>
        <w:rPr>
          <w:color w:val="000000" w:themeColor="text1"/>
          <w14:textFill>
            <w14:solidFill>
              <w14:schemeClr w14:val="tx1"/>
            </w14:solidFill>
          </w14:textFill>
        </w:rPr>
        <w:alias w:val="是否适用：临时公告未披露或有后续进展的诉讼、仲裁情况[双击切换]"/>
        <w:tag w:val="_GBC_3f59cc6ee3354630821313bac686c029"/>
        <w:id w:val="-651136880"/>
        <w:placeholder>
          <w:docPart w:val="GBC22222222222222222222222222222"/>
        </w:placeholder>
      </w:sdtPr>
      <w:sdtEndPr>
        <w:rPr>
          <w:color w:val="000000" w:themeColor="text1"/>
          <w14:textFill>
            <w14:solidFill>
              <w14:schemeClr w14:val="tx1"/>
            </w14:solidFill>
          </w14:textFill>
        </w:rPr>
      </w:sdtEndPr>
      <w:sdtContent>
        <w:p w14:paraId="4DFFED7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E46EE16">
      <w:pPr>
        <w:rPr>
          <w:color w:val="000000" w:themeColor="text1"/>
          <w14:textFill>
            <w14:solidFill>
              <w14:schemeClr w14:val="tx1"/>
            </w14:solidFill>
          </w14:textFill>
        </w:rPr>
      </w:pPr>
    </w:p>
    <w:p w14:paraId="3228B0BD">
      <w:pPr>
        <w:pStyle w:val="4"/>
        <w:numPr>
          <w:ilvl w:val="0"/>
          <w:numId w:val="17"/>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其他说明</w:t>
      </w:r>
    </w:p>
    <w:sdt>
      <w:sdtPr>
        <w:rPr>
          <w:rFonts w:hint="eastAsia"/>
          <w:color w:val="000000" w:themeColor="text1"/>
          <w14:textFill>
            <w14:solidFill>
              <w14:schemeClr w14:val="tx1"/>
            </w14:solidFill>
          </w14:textFill>
        </w:rPr>
        <w:alias w:val="是否适用：重大诉讼、仲裁事项其他说明[双击切换]"/>
        <w:tag w:val="_GBC_d8d8aef394564199936be6639c0e21a5"/>
        <w:id w:val="925004386"/>
        <w:placeholder>
          <w:docPart w:val="GBC22222222222222222222222222222"/>
        </w:placeholder>
      </w:sdtPr>
      <w:sdtEndPr>
        <w:rPr>
          <w:rFonts w:hint="eastAsia"/>
          <w:color w:val="000000" w:themeColor="text1"/>
          <w14:textFill>
            <w14:solidFill>
              <w14:schemeClr w14:val="tx1"/>
            </w14:solidFill>
          </w14:textFill>
        </w:rPr>
      </w:sdtEndPr>
      <w:sdtContent>
        <w:p w14:paraId="5E11081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E714F59">
      <w:pPr>
        <w:rPr>
          <w:color w:val="000000" w:themeColor="text1"/>
          <w14:textFill>
            <w14:solidFill>
              <w14:schemeClr w14:val="tx1"/>
            </w14:solidFill>
          </w14:textFill>
        </w:rPr>
      </w:pPr>
    </w:p>
    <w:p w14:paraId="6BFDEB1C">
      <w:pPr>
        <w:pStyle w:val="3"/>
        <w:numPr>
          <w:ilvl w:val="0"/>
          <w:numId w:val="15"/>
        </w:numPr>
        <w:tabs>
          <w:tab w:val="left" w:pos="426"/>
        </w:tabs>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上市公司</w:t>
      </w:r>
      <w:r>
        <w:rPr>
          <w:rFonts w:hint="eastAsia" w:ascii="宋体" w:hAnsi="宋体"/>
          <w:color w:val="000000" w:themeColor="text1"/>
          <w14:textFill>
            <w14:solidFill>
              <w14:schemeClr w14:val="tx1"/>
            </w14:solidFill>
          </w14:textFill>
        </w:rPr>
        <w:t>及其董事、高级管理人员、控股股东、实际控制人</w:t>
      </w:r>
      <w:r>
        <w:rPr>
          <w:rFonts w:ascii="宋体" w:hAnsi="宋体"/>
          <w:color w:val="000000" w:themeColor="text1"/>
          <w14:textFill>
            <w14:solidFill>
              <w14:schemeClr w14:val="tx1"/>
            </w14:solidFill>
          </w14:textFill>
        </w:rPr>
        <w:t>涉嫌违法违规、受到处罚及整改情况</w:t>
      </w:r>
    </w:p>
    <w:sdt>
      <w:sdtPr>
        <w:rPr>
          <w:rFonts w:hint="eastAsia"/>
          <w:color w:val="000000" w:themeColor="text1"/>
          <w14:textFill>
            <w14:solidFill>
              <w14:schemeClr w14:val="tx1"/>
            </w14:solidFill>
          </w14:textFill>
        </w:rPr>
        <w:alias w:val="是否适用：上市公司及其董事、监事、高级管理人员、持有5%以上股份的股东、实际控制人、收购人处罚及整改情况[双击切换]"/>
        <w:tag w:val="_GBC_05b097ae59254d13916df227f563a3ed"/>
        <w:id w:val="1071853014"/>
        <w:placeholder>
          <w:docPart w:val="GBC22222222222222222222222222222"/>
        </w:placeholder>
      </w:sdtPr>
      <w:sdtEndPr>
        <w:rPr>
          <w:rFonts w:hint="eastAsia"/>
          <w:color w:val="000000" w:themeColor="text1"/>
          <w14:textFill>
            <w14:solidFill>
              <w14:schemeClr w14:val="tx1"/>
            </w14:solidFill>
          </w14:textFill>
        </w:rPr>
      </w:sdtEndPr>
      <w:sdtContent>
        <w:p w14:paraId="073192F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3DF3ED6">
      <w:pPr>
        <w:rPr>
          <w:color w:val="000000" w:themeColor="text1"/>
          <w14:textFill>
            <w14:solidFill>
              <w14:schemeClr w14:val="tx1"/>
            </w14:solidFill>
          </w14:textFill>
        </w:rPr>
      </w:pPr>
    </w:p>
    <w:p w14:paraId="767A40F3">
      <w:pPr>
        <w:pStyle w:val="3"/>
        <w:numPr>
          <w:ilvl w:val="0"/>
          <w:numId w:val="15"/>
        </w:numPr>
        <w:tabs>
          <w:tab w:val="left" w:pos="426"/>
        </w:tabs>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报告期内公司及其控股股东、实际控制人诚信状况的说明</w:t>
      </w:r>
    </w:p>
    <w:sdt>
      <w:sdtPr>
        <w:rPr>
          <w:rFonts w:hint="eastAsia"/>
          <w:color w:val="000000" w:themeColor="text1"/>
          <w14:textFill>
            <w14:solidFill>
              <w14:schemeClr w14:val="tx1"/>
            </w14:solidFill>
          </w14:textFill>
        </w:rPr>
        <w:alias w:val="是否适用：报告期内公司及其控股股东、实际控制人诚信状况的说明[双击切换]"/>
        <w:tag w:val="_GBC_650ef1e21808426d806ee2024dd14590"/>
        <w:id w:val="1564985937"/>
        <w:placeholder>
          <w:docPart w:val="GBC22222222222222222222222222222"/>
        </w:placeholder>
      </w:sdtPr>
      <w:sdtEndPr>
        <w:rPr>
          <w:rFonts w:hint="eastAsia"/>
          <w:color w:val="000000" w:themeColor="text1"/>
          <w14:textFill>
            <w14:solidFill>
              <w14:schemeClr w14:val="tx1"/>
            </w14:solidFill>
          </w14:textFill>
        </w:rPr>
      </w:sdtEndPr>
      <w:sdtContent>
        <w:p w14:paraId="4B1AA6B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87B48E5">
      <w:pPr>
        <w:rPr>
          <w:color w:val="000000" w:themeColor="text1"/>
          <w14:textFill>
            <w14:solidFill>
              <w14:schemeClr w14:val="tx1"/>
            </w14:solidFill>
          </w14:textFill>
        </w:rPr>
      </w:pPr>
    </w:p>
    <w:p w14:paraId="0CA867CA">
      <w:pPr>
        <w:pStyle w:val="3"/>
        <w:numPr>
          <w:ilvl w:val="0"/>
          <w:numId w:val="15"/>
        </w:numPr>
        <w:tabs>
          <w:tab w:val="left" w:pos="426"/>
        </w:tabs>
        <w:ind w:left="422" w:hanging="422"/>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重大关联交易</w:t>
      </w:r>
    </w:p>
    <w:p w14:paraId="33A267C2">
      <w:pPr>
        <w:pStyle w:val="4"/>
        <w:numPr>
          <w:ilvl w:val="2"/>
          <w:numId w:val="4"/>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与日常经营相关的关联交易</w:t>
      </w:r>
    </w:p>
    <w:p w14:paraId="787339DE">
      <w:pPr>
        <w:pStyle w:val="5"/>
        <w:numPr>
          <w:ilvl w:val="2"/>
          <w:numId w:val="18"/>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已在临时公告披露且后续实施无进展或变化的事项</w:t>
      </w:r>
    </w:p>
    <w:sdt>
      <w:sdtPr>
        <w:rPr>
          <w:color w:val="000000" w:themeColor="text1"/>
          <w14:textFill>
            <w14:solidFill>
              <w14:schemeClr w14:val="tx1"/>
            </w14:solidFill>
          </w14:textFill>
        </w:rPr>
        <w:alias w:val="是否适用：已在临时公告披露且后续实施无进展或变化的事项_与日常经营相关的关联交易[双击切换]"/>
        <w:tag w:val="_GBC_9cce66e2c46445bea6fd259dd8b5277c"/>
        <w:id w:val="-1386715714"/>
        <w:placeholder>
          <w:docPart w:val="GBC22222222222222222222222222222"/>
        </w:placeholder>
      </w:sdtPr>
      <w:sdtEndPr>
        <w:rPr>
          <w:color w:val="000000" w:themeColor="text1"/>
          <w14:textFill>
            <w14:solidFill>
              <w14:schemeClr w14:val="tx1"/>
            </w14:solidFill>
          </w14:textFill>
        </w:rPr>
      </w:sdtEndPr>
      <w:sdtContent>
        <w:p w14:paraId="777FE2E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0315985">
      <w:pPr>
        <w:rPr>
          <w:color w:val="000000" w:themeColor="text1"/>
          <w14:textFill>
            <w14:solidFill>
              <w14:schemeClr w14:val="tx1"/>
            </w14:solidFill>
          </w14:textFill>
        </w:rPr>
      </w:pPr>
    </w:p>
    <w:p w14:paraId="0043F872">
      <w:pPr>
        <w:pStyle w:val="5"/>
        <w:numPr>
          <w:ilvl w:val="2"/>
          <w:numId w:val="18"/>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已在临时公告披露，但有后续实施的进展或变化的事项</w:t>
      </w:r>
    </w:p>
    <w:sdt>
      <w:sdtPr>
        <w:rPr>
          <w:color w:val="000000" w:themeColor="text1"/>
          <w14:textFill>
            <w14:solidFill>
              <w14:schemeClr w14:val="tx1"/>
            </w14:solidFill>
          </w14:textFill>
        </w:rPr>
        <w:alias w:val="是否适用：已在临时公告披露，但有后续实施的进展或变化的事项_与日常经营相关的关联交易[双击切换]"/>
        <w:tag w:val="_GBC_3d236e76c44140259dd09a3aed77ca15"/>
        <w:id w:val="-1845156164"/>
        <w:placeholder>
          <w:docPart w:val="GBC22222222222222222222222222222"/>
        </w:placeholder>
      </w:sdtPr>
      <w:sdtEndPr>
        <w:rPr>
          <w:color w:val="000000" w:themeColor="text1"/>
          <w14:textFill>
            <w14:solidFill>
              <w14:schemeClr w14:val="tx1"/>
            </w14:solidFill>
          </w14:textFill>
        </w:rPr>
      </w:sdtEndPr>
      <w:sdtContent>
        <w:p w14:paraId="4A9ED89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AE7593B">
      <w:pPr>
        <w:rPr>
          <w:color w:val="000000" w:themeColor="text1"/>
          <w14:textFill>
            <w14:solidFill>
              <w14:schemeClr w14:val="tx1"/>
            </w14:solidFill>
          </w14:textFill>
        </w:rPr>
      </w:pPr>
    </w:p>
    <w:p w14:paraId="2856F87D">
      <w:pPr>
        <w:pStyle w:val="5"/>
        <w:numPr>
          <w:ilvl w:val="2"/>
          <w:numId w:val="18"/>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临时公告未披露的事项</w:t>
      </w:r>
    </w:p>
    <w:sdt>
      <w:sdtPr>
        <w:rPr>
          <w:color w:val="000000" w:themeColor="text1"/>
          <w14:textFill>
            <w14:solidFill>
              <w14:schemeClr w14:val="tx1"/>
            </w14:solidFill>
          </w14:textFill>
        </w:rPr>
        <w:alias w:val="是否适用：与日常经营相关的关联交易_临时公告未披露的事项[双击切换]"/>
        <w:tag w:val="_GBC_91ad548daaa84603a8faa6c0ce358499"/>
        <w:id w:val="1710139756"/>
        <w:placeholder>
          <w:docPart w:val="GBC22222222222222222222222222222"/>
        </w:placeholder>
      </w:sdtPr>
      <w:sdtEndPr>
        <w:rPr>
          <w:color w:val="000000" w:themeColor="text1"/>
          <w14:textFill>
            <w14:solidFill>
              <w14:schemeClr w14:val="tx1"/>
            </w14:solidFill>
          </w14:textFill>
        </w:rPr>
      </w:sdtEndPr>
      <w:sdtContent>
        <w:p w14:paraId="2B8794E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B680BF5">
      <w:pPr>
        <w:rPr>
          <w:color w:val="000000" w:themeColor="text1"/>
          <w14:textFill>
            <w14:solidFill>
              <w14:schemeClr w14:val="tx1"/>
            </w14:solidFill>
          </w14:textFill>
        </w:rPr>
      </w:pPr>
    </w:p>
    <w:p w14:paraId="319F65A9">
      <w:pPr>
        <w:pStyle w:val="4"/>
        <w:numPr>
          <w:ilvl w:val="2"/>
          <w:numId w:val="4"/>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资产收购</w:t>
      </w:r>
      <w:r>
        <w:rPr>
          <w:rFonts w:hint="eastAsia" w:ascii="宋体" w:hAnsi="宋体"/>
          <w:color w:val="000000" w:themeColor="text1"/>
          <w14:textFill>
            <w14:solidFill>
              <w14:schemeClr w14:val="tx1"/>
            </w14:solidFill>
          </w14:textFill>
        </w:rPr>
        <w:t>或股权收购</w:t>
      </w:r>
      <w:r>
        <w:rPr>
          <w:rFonts w:ascii="宋体" w:hAnsi="宋体"/>
          <w:color w:val="000000" w:themeColor="text1"/>
          <w14:textFill>
            <w14:solidFill>
              <w14:schemeClr w14:val="tx1"/>
            </w14:solidFill>
          </w14:textFill>
        </w:rPr>
        <w:t>、出售发生的关联交易</w:t>
      </w:r>
    </w:p>
    <w:p w14:paraId="4B0BCBF3">
      <w:pPr>
        <w:pStyle w:val="5"/>
        <w:numPr>
          <w:ilvl w:val="0"/>
          <w:numId w:val="19"/>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已在临时公告披露且后续实施无进展或变化的事项</w:t>
      </w:r>
    </w:p>
    <w:sdt>
      <w:sdtPr>
        <w:rPr>
          <w:color w:val="000000" w:themeColor="text1"/>
          <w14:textFill>
            <w14:solidFill>
              <w14:schemeClr w14:val="tx1"/>
            </w14:solidFill>
          </w14:textFill>
        </w:rPr>
        <w:alias w:val="是否适用：已在临时公告披露且后续实施无进展或变化的事项_资产或股权收购、出售发生的关联交易[双击切换]"/>
        <w:tag w:val="_GBC_208b69178a984ade8f4f4dd7a3362ae3"/>
        <w:id w:val="1380592144"/>
        <w:placeholder>
          <w:docPart w:val="GBC22222222222222222222222222222"/>
        </w:placeholder>
      </w:sdtPr>
      <w:sdtEndPr>
        <w:rPr>
          <w:color w:val="000000" w:themeColor="text1"/>
          <w14:textFill>
            <w14:solidFill>
              <w14:schemeClr w14:val="tx1"/>
            </w14:solidFill>
          </w14:textFill>
        </w:rPr>
      </w:sdtEndPr>
      <w:sdtContent>
        <w:p w14:paraId="1E9C150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4DF68A9">
      <w:pPr>
        <w:rPr>
          <w:color w:val="000000" w:themeColor="text1"/>
          <w14:textFill>
            <w14:solidFill>
              <w14:schemeClr w14:val="tx1"/>
            </w14:solidFill>
          </w14:textFill>
        </w:rPr>
      </w:pPr>
    </w:p>
    <w:p w14:paraId="69BF014B">
      <w:pPr>
        <w:pStyle w:val="5"/>
        <w:numPr>
          <w:ilvl w:val="0"/>
          <w:numId w:val="19"/>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已在临时公告披露，但有后续实施的进展或变化的事项</w:t>
      </w:r>
    </w:p>
    <w:sdt>
      <w:sdtPr>
        <w:rPr>
          <w:color w:val="000000" w:themeColor="text1"/>
          <w14:textFill>
            <w14:solidFill>
              <w14:schemeClr w14:val="tx1"/>
            </w14:solidFill>
          </w14:textFill>
        </w:rPr>
        <w:alias w:val="是否适用：已在临时公告披露，但有后续实施的进展或变化的事项_资产或股权收购、出售发生的关联交易[双击切换]"/>
        <w:tag w:val="_GBC_b72de17637e74020b42aa0636b393f25"/>
        <w:id w:val="-1639725334"/>
        <w:placeholder>
          <w:docPart w:val="GBC22222222222222222222222222222"/>
        </w:placeholder>
      </w:sdtPr>
      <w:sdtEndPr>
        <w:rPr>
          <w:color w:val="000000" w:themeColor="text1"/>
          <w14:textFill>
            <w14:solidFill>
              <w14:schemeClr w14:val="tx1"/>
            </w14:solidFill>
          </w14:textFill>
        </w:rPr>
      </w:sdtEndPr>
      <w:sdtContent>
        <w:p w14:paraId="5FA19BA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5DCFD61">
      <w:pPr>
        <w:rPr>
          <w:color w:val="000000" w:themeColor="text1"/>
          <w14:textFill>
            <w14:solidFill>
              <w14:schemeClr w14:val="tx1"/>
            </w14:solidFill>
          </w14:textFill>
        </w:rPr>
      </w:pPr>
    </w:p>
    <w:p w14:paraId="19F1566C">
      <w:pPr>
        <w:pStyle w:val="5"/>
        <w:numPr>
          <w:ilvl w:val="0"/>
          <w:numId w:val="19"/>
        </w:numPr>
        <w:rPr>
          <w:rFonts w:hint="eastAsia" w:ascii="宋体" w:hAnsi="宋体"/>
          <w:color w:val="000000" w:themeColor="text1"/>
          <w:szCs w:val="32"/>
          <w14:textFill>
            <w14:solidFill>
              <w14:schemeClr w14:val="tx1"/>
            </w14:solidFill>
          </w14:textFill>
        </w:rPr>
      </w:pPr>
      <w:r>
        <w:rPr>
          <w:rFonts w:ascii="宋体" w:hAnsi="宋体"/>
          <w:color w:val="000000" w:themeColor="text1"/>
          <w:szCs w:val="32"/>
          <w14:textFill>
            <w14:solidFill>
              <w14:schemeClr w14:val="tx1"/>
            </w14:solidFill>
          </w14:textFill>
        </w:rPr>
        <w:t>临时公告未披露的事项</w:t>
      </w:r>
    </w:p>
    <w:sdt>
      <w:sdtPr>
        <w:rPr>
          <w:color w:val="000000" w:themeColor="text1"/>
          <w14:textFill>
            <w14:solidFill>
              <w14:schemeClr w14:val="tx1"/>
            </w14:solidFill>
          </w14:textFill>
        </w:rPr>
        <w:alias w:val="是否适用：资产收购、出售发生的关联交易_临时公告未披露的事项[双击切换]"/>
        <w:tag w:val="_GBC_d3f1f3f5ce564209aee49197432643af"/>
        <w:id w:val="906413445"/>
        <w:placeholder>
          <w:docPart w:val="GBC22222222222222222222222222222"/>
        </w:placeholder>
      </w:sdtPr>
      <w:sdtEndPr>
        <w:rPr>
          <w:color w:val="000000" w:themeColor="text1"/>
          <w14:textFill>
            <w14:solidFill>
              <w14:schemeClr w14:val="tx1"/>
            </w14:solidFill>
          </w14:textFill>
        </w:rPr>
      </w:sdtEndPr>
      <w:sdtContent>
        <w:p w14:paraId="5A8D1B1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255217C">
      <w:pPr>
        <w:rPr>
          <w:color w:val="000000" w:themeColor="text1"/>
          <w14:textFill>
            <w14:solidFill>
              <w14:schemeClr w14:val="tx1"/>
            </w14:solidFill>
          </w14:textFill>
        </w:rPr>
      </w:pPr>
    </w:p>
    <w:p w14:paraId="46F293F9">
      <w:pPr>
        <w:rPr>
          <w:color w:val="000000" w:themeColor="text1"/>
          <w14:textFill>
            <w14:solidFill>
              <w14:schemeClr w14:val="tx1"/>
            </w14:solidFill>
          </w14:textFill>
        </w:rPr>
      </w:pPr>
    </w:p>
    <w:p w14:paraId="63239018">
      <w:pPr>
        <w:pStyle w:val="5"/>
        <w:numPr>
          <w:ilvl w:val="0"/>
          <w:numId w:val="19"/>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涉及业绩约定的，应当披露报告期内的业绩实现情况</w:t>
      </w:r>
    </w:p>
    <w:sdt>
      <w:sdtPr>
        <w:rPr>
          <w:color w:val="000000" w:themeColor="text1"/>
          <w14:textFill>
            <w14:solidFill>
              <w14:schemeClr w14:val="tx1"/>
            </w14:solidFill>
          </w14:textFill>
        </w:rPr>
        <w:alias w:val="是否适用：涉及业绩约定的，应当披露报告期内的业绩实现情况[双击切换]"/>
        <w:tag w:val="_GBC_0640a8fc3526461ca1eed7810b087c23"/>
        <w:id w:val="-1904286015"/>
        <w:placeholder>
          <w:docPart w:val="GBC22222222222222222222222222222"/>
        </w:placeholder>
      </w:sdtPr>
      <w:sdtEndPr>
        <w:rPr>
          <w:color w:val="000000" w:themeColor="text1"/>
          <w14:textFill>
            <w14:solidFill>
              <w14:schemeClr w14:val="tx1"/>
            </w14:solidFill>
          </w14:textFill>
        </w:rPr>
      </w:sdtEndPr>
      <w:sdtContent>
        <w:p w14:paraId="665BE45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E541F4B">
      <w:pPr>
        <w:rPr>
          <w:color w:val="000000" w:themeColor="text1"/>
          <w14:textFill>
            <w14:solidFill>
              <w14:schemeClr w14:val="tx1"/>
            </w14:solidFill>
          </w14:textFill>
        </w:rPr>
      </w:pPr>
    </w:p>
    <w:p w14:paraId="2C416ED7">
      <w:pPr>
        <w:pStyle w:val="4"/>
        <w:numPr>
          <w:ilvl w:val="2"/>
          <w:numId w:val="4"/>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共同对外投资的重大关联交易</w:t>
      </w:r>
    </w:p>
    <w:p w14:paraId="65460BD7">
      <w:pPr>
        <w:pStyle w:val="5"/>
        <w:numPr>
          <w:ilvl w:val="0"/>
          <w:numId w:val="20"/>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已在临时公告披露且后续实施无进展或变化的事项</w:t>
      </w:r>
    </w:p>
    <w:sdt>
      <w:sdtPr>
        <w:rPr>
          <w:color w:val="000000" w:themeColor="text1"/>
          <w14:textFill>
            <w14:solidFill>
              <w14:schemeClr w14:val="tx1"/>
            </w14:solidFill>
          </w14:textFill>
        </w:rPr>
        <w:alias w:val="是否适用：已在临时公告披露且后续实施无进展或变化的事项_共同对外投资的重大关联交易[双击切换]"/>
        <w:tag w:val="_GBC_dda9192a67f44f8698afb5d0b3e3c767"/>
        <w:id w:val="-1603565926"/>
        <w:placeholder>
          <w:docPart w:val="GBC22222222222222222222222222222"/>
        </w:placeholder>
      </w:sdtPr>
      <w:sdtEndPr>
        <w:rPr>
          <w:color w:val="000000" w:themeColor="text1"/>
          <w14:textFill>
            <w14:solidFill>
              <w14:schemeClr w14:val="tx1"/>
            </w14:solidFill>
          </w14:textFill>
        </w:rPr>
      </w:sdtEndPr>
      <w:sdtContent>
        <w:p w14:paraId="4B4119D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B89F633">
      <w:pPr>
        <w:rPr>
          <w:color w:val="000000" w:themeColor="text1"/>
          <w14:textFill>
            <w14:solidFill>
              <w14:schemeClr w14:val="tx1"/>
            </w14:solidFill>
          </w14:textFill>
        </w:rPr>
      </w:pPr>
    </w:p>
    <w:p w14:paraId="16B6BDE0">
      <w:pPr>
        <w:pStyle w:val="5"/>
        <w:numPr>
          <w:ilvl w:val="0"/>
          <w:numId w:val="20"/>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已在临时公告披露，但有后续实施的进展或变化的事项</w:t>
      </w:r>
    </w:p>
    <w:sdt>
      <w:sdtPr>
        <w:rPr>
          <w:color w:val="000000" w:themeColor="text1"/>
          <w14:textFill>
            <w14:solidFill>
              <w14:schemeClr w14:val="tx1"/>
            </w14:solidFill>
          </w14:textFill>
        </w:rPr>
        <w:alias w:val="是否适用：已在临时公告披露，但有后续实施的进展或变化的事项_共同对外投资的重大关联交易[双击切换]"/>
        <w:tag w:val="_GBC_f5354c189ecd4cad9ef1e263c325c0db"/>
        <w:id w:val="-1469660194"/>
        <w:placeholder>
          <w:docPart w:val="GBC22222222222222222222222222222"/>
        </w:placeholder>
      </w:sdtPr>
      <w:sdtEndPr>
        <w:rPr>
          <w:color w:val="000000" w:themeColor="text1"/>
          <w14:textFill>
            <w14:solidFill>
              <w14:schemeClr w14:val="tx1"/>
            </w14:solidFill>
          </w14:textFill>
        </w:rPr>
      </w:sdtEndPr>
      <w:sdtContent>
        <w:p w14:paraId="7B9EE87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A489F2E">
      <w:pPr>
        <w:rPr>
          <w:color w:val="000000" w:themeColor="text1"/>
          <w14:textFill>
            <w14:solidFill>
              <w14:schemeClr w14:val="tx1"/>
            </w14:solidFill>
          </w14:textFill>
        </w:rPr>
      </w:pPr>
    </w:p>
    <w:p w14:paraId="6F0F770F">
      <w:pPr>
        <w:pStyle w:val="5"/>
        <w:numPr>
          <w:ilvl w:val="0"/>
          <w:numId w:val="20"/>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临时公告未披露的事项</w:t>
      </w:r>
    </w:p>
    <w:sdt>
      <w:sdtPr>
        <w:rPr>
          <w:rFonts w:hint="eastAsia"/>
          <w:color w:val="000000" w:themeColor="text1"/>
          <w14:textFill>
            <w14:solidFill>
              <w14:schemeClr w14:val="tx1"/>
            </w14:solidFill>
          </w14:textFill>
        </w:rPr>
        <w:alias w:val="是否适用：共同对外投资的重大关联交易_临时公告未披露的事项[双击切换]"/>
        <w:tag w:val="_GBC_3ac28148c3754202ba544078ad581a24"/>
        <w:id w:val="1245538753"/>
        <w:placeholder>
          <w:docPart w:val="GBC22222222222222222222222222222"/>
        </w:placeholder>
      </w:sdtPr>
      <w:sdtEndPr>
        <w:rPr>
          <w:rFonts w:hint="eastAsia"/>
          <w:color w:val="000000" w:themeColor="text1"/>
          <w14:textFill>
            <w14:solidFill>
              <w14:schemeClr w14:val="tx1"/>
            </w14:solidFill>
          </w14:textFill>
        </w:rPr>
      </w:sdtEndPr>
      <w:sdtContent>
        <w:p w14:paraId="3F57620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657750A">
      <w:pPr>
        <w:rPr>
          <w:color w:val="000000" w:themeColor="text1"/>
          <w14:textFill>
            <w14:solidFill>
              <w14:schemeClr w14:val="tx1"/>
            </w14:solidFill>
          </w14:textFill>
        </w:rPr>
      </w:pPr>
    </w:p>
    <w:p w14:paraId="3431CEB6">
      <w:pPr>
        <w:rPr>
          <w:color w:val="000000" w:themeColor="text1"/>
          <w14:textFill>
            <w14:solidFill>
              <w14:schemeClr w14:val="tx1"/>
            </w14:solidFill>
          </w14:textFill>
        </w:rPr>
      </w:pPr>
    </w:p>
    <w:p w14:paraId="75D3D9EE">
      <w:pPr>
        <w:pStyle w:val="4"/>
        <w:numPr>
          <w:ilvl w:val="2"/>
          <w:numId w:val="4"/>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关联债权债务往来</w:t>
      </w:r>
    </w:p>
    <w:p w14:paraId="5B5C7A0B">
      <w:pPr>
        <w:pStyle w:val="5"/>
        <w:numPr>
          <w:ilvl w:val="0"/>
          <w:numId w:val="21"/>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已在临时公告披露且后续实施无进展或变化的事项</w:t>
      </w:r>
    </w:p>
    <w:sdt>
      <w:sdtPr>
        <w:rPr>
          <w:color w:val="000000" w:themeColor="text1"/>
          <w14:textFill>
            <w14:solidFill>
              <w14:schemeClr w14:val="tx1"/>
            </w14:solidFill>
          </w14:textFill>
        </w:rPr>
        <w:alias w:val="是否适用：已在临时公告披露且后续实施无进展或变化的事项_关联债权债务往来[双击切换]"/>
        <w:tag w:val="_GBC_480ccdae6247445ca78cf6327eb0e24f"/>
        <w:id w:val="-1227522910"/>
        <w:placeholder>
          <w:docPart w:val="GBC22222222222222222222222222222"/>
        </w:placeholder>
      </w:sdtPr>
      <w:sdtEndPr>
        <w:rPr>
          <w:color w:val="000000" w:themeColor="text1"/>
          <w14:textFill>
            <w14:solidFill>
              <w14:schemeClr w14:val="tx1"/>
            </w14:solidFill>
          </w14:textFill>
        </w:rPr>
      </w:sdtEndPr>
      <w:sdtContent>
        <w:p w14:paraId="05C2D82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EEA458E">
      <w:pPr>
        <w:rPr>
          <w:color w:val="000000" w:themeColor="text1"/>
          <w14:textFill>
            <w14:solidFill>
              <w14:schemeClr w14:val="tx1"/>
            </w14:solidFill>
          </w14:textFill>
        </w:rPr>
      </w:pPr>
    </w:p>
    <w:p w14:paraId="1C7B0AB7">
      <w:pPr>
        <w:pStyle w:val="5"/>
        <w:numPr>
          <w:ilvl w:val="0"/>
          <w:numId w:val="21"/>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已在临时公告披露，但有后续实施的进展或变化的事项</w:t>
      </w:r>
    </w:p>
    <w:sdt>
      <w:sdtPr>
        <w:rPr>
          <w:color w:val="000000" w:themeColor="text1"/>
          <w14:textFill>
            <w14:solidFill>
              <w14:schemeClr w14:val="tx1"/>
            </w14:solidFill>
          </w14:textFill>
        </w:rPr>
        <w:alias w:val="是否适用：已在临时公告披露，但有后续实施的进展或变化的事项_关联债权债务往来[双击切换]"/>
        <w:tag w:val="_GBC_06dcfbbd6aed49aa878ab07a09b2270b"/>
        <w:id w:val="-361744147"/>
        <w:placeholder>
          <w:docPart w:val="GBC22222222222222222222222222222"/>
        </w:placeholder>
      </w:sdtPr>
      <w:sdtEndPr>
        <w:rPr>
          <w:color w:val="000000" w:themeColor="text1"/>
          <w14:textFill>
            <w14:solidFill>
              <w14:schemeClr w14:val="tx1"/>
            </w14:solidFill>
          </w14:textFill>
        </w:rPr>
      </w:sdtEndPr>
      <w:sdtContent>
        <w:p w14:paraId="3756D5D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9556368">
      <w:pPr>
        <w:rPr>
          <w:color w:val="000000" w:themeColor="text1"/>
          <w14:textFill>
            <w14:solidFill>
              <w14:schemeClr w14:val="tx1"/>
            </w14:solidFill>
          </w14:textFill>
        </w:rPr>
      </w:pPr>
    </w:p>
    <w:p w14:paraId="7BD35442">
      <w:pPr>
        <w:pStyle w:val="5"/>
        <w:numPr>
          <w:ilvl w:val="0"/>
          <w:numId w:val="21"/>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临时公告未披露的事项</w:t>
      </w:r>
    </w:p>
    <w:sdt>
      <w:sdtPr>
        <w:rPr>
          <w:color w:val="000000" w:themeColor="text1"/>
          <w14:textFill>
            <w14:solidFill>
              <w14:schemeClr w14:val="tx1"/>
            </w14:solidFill>
          </w14:textFill>
        </w:rPr>
        <w:alias w:val="是否适用：关联债权债务往来_临时公告未披露的事项[双击切换]"/>
        <w:tag w:val="_GBC_0f4a6802ca704b49a413888379a91f0b"/>
        <w:id w:val="-479227166"/>
        <w:placeholder>
          <w:docPart w:val="GBC22222222222222222222222222222"/>
        </w:placeholder>
      </w:sdtPr>
      <w:sdtEndPr>
        <w:rPr>
          <w:color w:val="000000" w:themeColor="text1"/>
          <w14:textFill>
            <w14:solidFill>
              <w14:schemeClr w14:val="tx1"/>
            </w14:solidFill>
          </w14:textFill>
        </w:rPr>
      </w:sdtEndPr>
      <w:sdtContent>
        <w:p w14:paraId="7554731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3D12B94">
      <w:pPr>
        <w:rPr>
          <w:color w:val="000000" w:themeColor="text1"/>
          <w14:textFill>
            <w14:solidFill>
              <w14:schemeClr w14:val="tx1"/>
            </w14:solidFill>
          </w14:textFill>
        </w:rPr>
      </w:pPr>
    </w:p>
    <w:p w14:paraId="4A8192F9">
      <w:pPr>
        <w:pStyle w:val="4"/>
        <w:numPr>
          <w:ilvl w:val="2"/>
          <w:numId w:val="4"/>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公司与存在关联关系的财务公司、公司控股财务公司与关联方之间的金融业务</w:t>
      </w:r>
    </w:p>
    <w:sdt>
      <w:sdtPr>
        <w:rPr>
          <w:color w:val="000000" w:themeColor="text1"/>
          <w14:textFill>
            <w14:solidFill>
              <w14:schemeClr w14:val="tx1"/>
            </w14:solidFill>
          </w14:textFill>
        </w:rPr>
        <w:alias w:val="是否适用：公司与存在关联关系的财务公司、公司控股财务公司与关联方之间的金融业务 [双击切换]"/>
        <w:tag w:val="_GBC_918ef76103ad41b4a79075b59fdb8bf4"/>
        <w:id w:val="-380478449"/>
        <w:placeholder>
          <w:docPart w:val="GBC22222222222222222222222222222"/>
        </w:placeholder>
      </w:sdtPr>
      <w:sdtEndPr>
        <w:rPr>
          <w:color w:val="000000" w:themeColor="text1"/>
          <w14:textFill>
            <w14:solidFill>
              <w14:schemeClr w14:val="tx1"/>
            </w14:solidFill>
          </w14:textFill>
        </w:rPr>
      </w:sdtEndPr>
      <w:sdtContent>
        <w:p w14:paraId="67F03BD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6356C39">
      <w:pPr>
        <w:rPr>
          <w:color w:val="000000" w:themeColor="text1"/>
          <w14:textFill>
            <w14:solidFill>
              <w14:schemeClr w14:val="tx1"/>
            </w14:solidFill>
          </w14:textFill>
        </w:rPr>
      </w:pPr>
      <w:bookmarkStart w:id="74" w:name="_Hlk41316022"/>
    </w:p>
    <w:p w14:paraId="4A857F81">
      <w:pPr>
        <w:rPr>
          <w:color w:val="000000" w:themeColor="text1"/>
          <w14:textFill>
            <w14:solidFill>
              <w14:schemeClr w14:val="tx1"/>
            </w14:solidFill>
          </w14:textFill>
        </w:rPr>
      </w:pPr>
    </w:p>
    <w:bookmarkEnd w:id="74"/>
    <w:p w14:paraId="7E79458F">
      <w:pPr>
        <w:pStyle w:val="4"/>
        <w:numPr>
          <w:ilvl w:val="2"/>
          <w:numId w:val="4"/>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其他重大关联交易</w:t>
      </w:r>
    </w:p>
    <w:sdt>
      <w:sdtPr>
        <w:rPr>
          <w:rFonts w:hint="eastAsia"/>
          <w:color w:val="000000" w:themeColor="text1"/>
          <w14:textFill>
            <w14:solidFill>
              <w14:schemeClr w14:val="tx1"/>
            </w14:solidFill>
          </w14:textFill>
        </w:rPr>
        <w:alias w:val="是否适用：重大关联交易其他说明[双击切换]"/>
        <w:tag w:val="_GBC_7dd39ac420a244dcb8ea88c29ac07190"/>
        <w:id w:val="1770885838"/>
        <w:placeholder>
          <w:docPart w:val="GBC22222222222222222222222222222"/>
        </w:placeholder>
      </w:sdtPr>
      <w:sdtEndPr>
        <w:rPr>
          <w:rFonts w:hint="eastAsia"/>
          <w:color w:val="000000" w:themeColor="text1"/>
          <w14:textFill>
            <w14:solidFill>
              <w14:schemeClr w14:val="tx1"/>
            </w14:solidFill>
          </w14:textFill>
        </w:rPr>
      </w:sdtEndPr>
      <w:sdtContent>
        <w:p w14:paraId="0D6E8D0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52494EA">
      <w:pPr>
        <w:rPr>
          <w:color w:val="000000" w:themeColor="text1"/>
          <w14:textFill>
            <w14:solidFill>
              <w14:schemeClr w14:val="tx1"/>
            </w14:solidFill>
          </w14:textFill>
        </w:rPr>
      </w:pPr>
    </w:p>
    <w:p w14:paraId="4771B344">
      <w:pPr>
        <w:pStyle w:val="4"/>
        <w:numPr>
          <w:ilvl w:val="2"/>
          <w:numId w:val="4"/>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w:t>
      </w:r>
    </w:p>
    <w:sdt>
      <w:sdtPr>
        <w:rPr>
          <w:rFonts w:hint="eastAsia"/>
          <w:color w:val="000000" w:themeColor="text1"/>
          <w14:textFill>
            <w14:solidFill>
              <w14:schemeClr w14:val="tx1"/>
            </w14:solidFill>
          </w14:textFill>
        </w:rPr>
        <w:alias w:val="是否适用：重大关联交易事项其他补充说明[双击切换]"/>
        <w:tag w:val="_GBC_272061194cde466a9c566f0881c76d0d"/>
        <w:id w:val="-1321578041"/>
        <w:placeholder>
          <w:docPart w:val="GBC22222222222222222222222222222"/>
        </w:placeholder>
      </w:sdtPr>
      <w:sdtEndPr>
        <w:rPr>
          <w:rFonts w:hint="eastAsia"/>
          <w:color w:val="000000" w:themeColor="text1"/>
          <w14:textFill>
            <w14:solidFill>
              <w14:schemeClr w14:val="tx1"/>
            </w14:solidFill>
          </w14:textFill>
        </w:rPr>
      </w:sdtEndPr>
      <w:sdtContent>
        <w:p w14:paraId="6FF724D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74E71CC">
      <w:pPr>
        <w:rPr>
          <w:color w:val="000000" w:themeColor="text1"/>
          <w14:textFill>
            <w14:solidFill>
              <w14:schemeClr w14:val="tx1"/>
            </w14:solidFill>
          </w14:textFill>
        </w:rPr>
      </w:pPr>
    </w:p>
    <w:p w14:paraId="1770A9CE">
      <w:pPr>
        <w:pStyle w:val="3"/>
        <w:numPr>
          <w:ilvl w:val="0"/>
          <w:numId w:val="15"/>
        </w:numPr>
        <w:tabs>
          <w:tab w:val="left" w:pos="426"/>
        </w:tabs>
        <w:ind w:left="422" w:hanging="422"/>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重大合同及其履行情况</w:t>
      </w:r>
    </w:p>
    <w:p w14:paraId="582EFFB4">
      <w:pPr>
        <w:pStyle w:val="4"/>
        <w:numPr>
          <w:ilvl w:val="0"/>
          <w:numId w:val="22"/>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托管、承包、租赁事项</w:t>
      </w:r>
    </w:p>
    <w:p w14:paraId="1E147B41">
      <w:pPr>
        <w:rPr>
          <w:color w:val="000000" w:themeColor="text1"/>
          <w14:textFill>
            <w14:solidFill>
              <w14:schemeClr w14:val="tx1"/>
            </w14:solidFill>
          </w14:textFill>
        </w:rPr>
      </w:pPr>
      <w:sdt>
        <w:sdtPr>
          <w:rPr>
            <w:color w:val="000000" w:themeColor="text1"/>
            <w14:textFill>
              <w14:solidFill>
                <w14:schemeClr w14:val="tx1"/>
              </w14:solidFill>
            </w14:textFill>
          </w:rPr>
          <w:alias w:val="是否适用：托管、承包、租赁事项[双击切换]"/>
          <w:tag w:val="_GBC_daed561e68674d828a348a97bffbc154"/>
          <w:id w:val="-1388488248"/>
          <w:placeholder>
            <w:docPart w:val="GBC22222222222222222222222222222"/>
          </w:placeholder>
        </w:sdtPr>
        <w:sdtEndPr>
          <w:rPr>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p w14:paraId="12C91E72">
      <w:pPr>
        <w:pStyle w:val="5"/>
        <w:numPr>
          <w:ilvl w:val="0"/>
          <w:numId w:val="23"/>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托管情况</w:t>
      </w:r>
    </w:p>
    <w:sdt>
      <w:sdtPr>
        <w:rPr>
          <w:color w:val="000000" w:themeColor="text1"/>
          <w14:textFill>
            <w14:solidFill>
              <w14:schemeClr w14:val="tx1"/>
            </w14:solidFill>
          </w14:textFill>
        </w:rPr>
        <w:alias w:val="是否适用：托管情况[双击切换]"/>
        <w:tag w:val="_GBC_5f311928e67641ecb22c63cf8ecda62c"/>
        <w:id w:val="-1655449862"/>
        <w:placeholder>
          <w:docPart w:val="GBC22222222222222222222222222222"/>
        </w:placeholder>
      </w:sdtPr>
      <w:sdtEndPr>
        <w:rPr>
          <w:color w:val="000000" w:themeColor="text1"/>
          <w14:textFill>
            <w14:solidFill>
              <w14:schemeClr w14:val="tx1"/>
            </w14:solidFill>
          </w14:textFill>
        </w:rPr>
      </w:sdtEndPr>
      <w:sdtContent>
        <w:p w14:paraId="48A1A6D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C8BA056">
      <w:pPr>
        <w:rPr>
          <w:color w:val="000000" w:themeColor="text1"/>
          <w14:textFill>
            <w14:solidFill>
              <w14:schemeClr w14:val="tx1"/>
            </w14:solidFill>
          </w14:textFill>
        </w:rPr>
      </w:pPr>
    </w:p>
    <w:p w14:paraId="1392EF97">
      <w:pPr>
        <w:rPr>
          <w:color w:val="000000" w:themeColor="text1"/>
          <w14:textFill>
            <w14:solidFill>
              <w14:schemeClr w14:val="tx1"/>
            </w14:solidFill>
          </w14:textFill>
        </w:rPr>
      </w:pPr>
    </w:p>
    <w:p w14:paraId="06FE4083">
      <w:pPr>
        <w:pStyle w:val="5"/>
        <w:numPr>
          <w:ilvl w:val="0"/>
          <w:numId w:val="2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承包情况</w:t>
      </w:r>
    </w:p>
    <w:sdt>
      <w:sdtPr>
        <w:rPr>
          <w:color w:val="000000" w:themeColor="text1"/>
          <w14:textFill>
            <w14:solidFill>
              <w14:schemeClr w14:val="tx1"/>
            </w14:solidFill>
          </w14:textFill>
        </w:rPr>
        <w:alias w:val="是否适用：承包情况[双击切换]"/>
        <w:tag w:val="_GBC_6780ba385e1b4167bc4be5b432f0a825"/>
        <w:id w:val="-1701769588"/>
        <w:placeholder>
          <w:docPart w:val="GBC22222222222222222222222222222"/>
        </w:placeholder>
      </w:sdtPr>
      <w:sdtEndPr>
        <w:rPr>
          <w:color w:val="000000" w:themeColor="text1"/>
          <w14:textFill>
            <w14:solidFill>
              <w14:schemeClr w14:val="tx1"/>
            </w14:solidFill>
          </w14:textFill>
        </w:rPr>
      </w:sdtEndPr>
      <w:sdtContent>
        <w:p w14:paraId="62FD8E1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4412AE0">
      <w:pPr>
        <w:rPr>
          <w:color w:val="000000" w:themeColor="text1"/>
          <w14:textFill>
            <w14:solidFill>
              <w14:schemeClr w14:val="tx1"/>
            </w14:solidFill>
          </w14:textFill>
        </w:rPr>
      </w:pPr>
    </w:p>
    <w:p w14:paraId="4316AC64">
      <w:pPr>
        <w:rPr>
          <w:color w:val="000000" w:themeColor="text1"/>
          <w14:textFill>
            <w14:solidFill>
              <w14:schemeClr w14:val="tx1"/>
            </w14:solidFill>
          </w14:textFill>
        </w:rPr>
      </w:pPr>
    </w:p>
    <w:p w14:paraId="57E04A13">
      <w:pPr>
        <w:pStyle w:val="5"/>
        <w:numPr>
          <w:ilvl w:val="0"/>
          <w:numId w:val="2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租赁情况</w:t>
      </w:r>
    </w:p>
    <w:sdt>
      <w:sdtPr>
        <w:rPr>
          <w:color w:val="000000" w:themeColor="text1"/>
          <w14:textFill>
            <w14:solidFill>
              <w14:schemeClr w14:val="tx1"/>
            </w14:solidFill>
          </w14:textFill>
        </w:rPr>
        <w:alias w:val="是否适用：租赁情况[双击切换]"/>
        <w:tag w:val="_GBC_0f311154c0f24dc687b16bed59ae8dd2"/>
        <w:id w:val="-2104402587"/>
        <w:placeholder>
          <w:docPart w:val="GBC22222222222222222222222222222"/>
        </w:placeholder>
      </w:sdtPr>
      <w:sdtEndPr>
        <w:rPr>
          <w:color w:val="000000" w:themeColor="text1"/>
          <w14:textFill>
            <w14:solidFill>
              <w14:schemeClr w14:val="tx1"/>
            </w14:solidFill>
          </w14:textFill>
        </w:rPr>
      </w:sdtEndPr>
      <w:sdtContent>
        <w:p w14:paraId="52869B42">
          <w:pPr>
            <w:rPr>
              <w:color w:val="000000" w:themeColor="text1"/>
              <w:shd w:val="pct15" w:color="auto" w:fill="FFFFFF"/>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0FF2372">
      <w:pPr>
        <w:rPr>
          <w:color w:val="000000" w:themeColor="text1"/>
          <w:shd w:val="pct15" w:color="auto" w:fill="FFFFFF"/>
          <w14:textFill>
            <w14:solidFill>
              <w14:schemeClr w14:val="tx1"/>
            </w14:solidFill>
          </w14:textFill>
        </w:rPr>
      </w:pPr>
    </w:p>
    <w:p w14:paraId="26FF988B">
      <w:pPr>
        <w:rPr>
          <w:color w:val="000000" w:themeColor="text1"/>
          <w14:textFill>
            <w14:solidFill>
              <w14:schemeClr w14:val="tx1"/>
            </w14:solidFill>
          </w14:textFill>
        </w:rPr>
      </w:pPr>
    </w:p>
    <w:p w14:paraId="368BD4F4">
      <w:pPr>
        <w:rPr>
          <w:color w:val="000000" w:themeColor="text1"/>
          <w:shd w:val="pct15" w:color="auto" w:fill="FFFFFF"/>
          <w14:textFill>
            <w14:solidFill>
              <w14:schemeClr w14:val="tx1"/>
            </w14:solidFill>
          </w14:textFill>
        </w:rPr>
        <w:sectPr>
          <w:pgSz w:w="11906" w:h="16838"/>
          <w:pgMar w:top="1525" w:right="1276" w:bottom="1440" w:left="1797" w:header="851" w:footer="992" w:gutter="0"/>
          <w:cols w:space="425" w:num="1"/>
          <w:docGrid w:linePitch="312" w:charSpace="0"/>
        </w:sectPr>
      </w:pPr>
    </w:p>
    <w:p w14:paraId="2D7560EB">
      <w:pPr>
        <w:pStyle w:val="4"/>
        <w:numPr>
          <w:ilvl w:val="0"/>
          <w:numId w:val="22"/>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报告期内履行的及尚未履行完毕的重大担保情况</w:t>
      </w:r>
    </w:p>
    <w:sdt>
      <w:sdtPr>
        <w:rPr>
          <w:color w:val="000000" w:themeColor="text1"/>
          <w14:textFill>
            <w14:solidFill>
              <w14:schemeClr w14:val="tx1"/>
            </w14:solidFill>
          </w14:textFill>
        </w:rPr>
        <w:alias w:val="是否适用：担保情况[双击切换]"/>
        <w:tag w:val="_GBC_aae98b3e30bd49e4b2e1d2643f200047"/>
        <w:id w:val="675545659"/>
        <w:placeholder>
          <w:docPart w:val="GBC22222222222222222222222222222"/>
        </w:placeholder>
      </w:sdtPr>
      <w:sdtEndPr>
        <w:rPr>
          <w:color w:val="000000" w:themeColor="text1"/>
          <w14:textFill>
            <w14:solidFill>
              <w14:schemeClr w14:val="tx1"/>
            </w14:solidFill>
          </w14:textFill>
        </w:rPr>
      </w:sdtEndPr>
      <w:sdtContent>
        <w:p w14:paraId="0B13EDC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6953C3E">
      <w:pPr>
        <w:rPr>
          <w:color w:val="000000" w:themeColor="text1"/>
          <w14:textFill>
            <w14:solidFill>
              <w14:schemeClr w14:val="tx1"/>
            </w14:solidFill>
          </w14:textFill>
        </w:rPr>
        <w:sectPr>
          <w:pgSz w:w="16838" w:h="11906" w:orient="landscape"/>
          <w:pgMar w:top="1797" w:right="1525" w:bottom="1276" w:left="1440" w:header="851" w:footer="992" w:gutter="0"/>
          <w:cols w:space="425" w:num="1"/>
          <w:docGrid w:linePitch="312" w:charSpace="0"/>
        </w:sectPr>
      </w:pPr>
      <w:bookmarkStart w:id="75" w:name="_Hlk42868045"/>
      <w:bookmarkEnd w:id="75"/>
    </w:p>
    <w:p w14:paraId="7634C74C">
      <w:pPr>
        <w:pStyle w:val="4"/>
        <w:numPr>
          <w:ilvl w:val="0"/>
          <w:numId w:val="22"/>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其他重大合同</w:t>
      </w:r>
    </w:p>
    <w:sdt>
      <w:sdtPr>
        <w:rPr>
          <w:color w:val="000000" w:themeColor="text1"/>
          <w14:textFill>
            <w14:solidFill>
              <w14:schemeClr w14:val="tx1"/>
            </w14:solidFill>
          </w14:textFill>
        </w:rPr>
        <w:alias w:val="是否适用：其他重大合同[双击切换]"/>
        <w:tag w:val="_GBC_23289ac36e3b4aeeaff6a4f1df0c3165"/>
        <w:id w:val="-1079908486"/>
        <w:placeholder>
          <w:docPart w:val="GBC22222222222222222222222222222"/>
        </w:placeholder>
      </w:sdtPr>
      <w:sdtEndPr>
        <w:rPr>
          <w:color w:val="000000" w:themeColor="text1"/>
          <w14:textFill>
            <w14:solidFill>
              <w14:schemeClr w14:val="tx1"/>
            </w14:solidFill>
          </w14:textFill>
        </w:rPr>
      </w:sdtEndPr>
      <w:sdtContent>
        <w:p w14:paraId="61CEB85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28242F6">
      <w:pPr>
        <w:rPr>
          <w:color w:val="000000" w:themeColor="text1"/>
          <w14:textFill>
            <w14:solidFill>
              <w14:schemeClr w14:val="tx1"/>
            </w14:solidFill>
          </w14:textFill>
        </w:rPr>
      </w:pPr>
    </w:p>
    <w:p w14:paraId="6A4FA60A">
      <w:pPr>
        <w:pStyle w:val="3"/>
        <w:numPr>
          <w:ilvl w:val="0"/>
          <w:numId w:val="15"/>
        </w:numPr>
        <w:tabs>
          <w:tab w:val="left" w:pos="426"/>
        </w:tabs>
        <w:ind w:left="422" w:hanging="422"/>
        <w:jc w:val="left"/>
        <w:rPr>
          <w:rFonts w:hint="eastAsia" w:ascii="宋体" w:hAnsi="宋体"/>
          <w:color w:val="000000" w:themeColor="text1"/>
          <w14:textFill>
            <w14:solidFill>
              <w14:schemeClr w14:val="tx1"/>
            </w14:solidFill>
          </w14:textFill>
        </w:rPr>
      </w:pPr>
      <w:bookmarkStart w:id="76" w:name="_Hlk72846301"/>
      <w:bookmarkStart w:id="77" w:name="_Hlk170215658"/>
      <w:bookmarkStart w:id="78" w:name="_Hlk170206295"/>
      <w:r>
        <w:rPr>
          <w:rFonts w:hint="eastAsia" w:ascii="宋体" w:hAnsi="宋体"/>
          <w:color w:val="000000" w:themeColor="text1"/>
          <w14:textFill>
            <w14:solidFill>
              <w14:schemeClr w14:val="tx1"/>
            </w14:solidFill>
          </w14:textFill>
        </w:rPr>
        <w:t>募集资金使用进展说明</w:t>
      </w:r>
    </w:p>
    <w:sdt>
      <w:sdtPr>
        <w:rPr>
          <w:color w:val="000000" w:themeColor="text1"/>
          <w14:textFill>
            <w14:solidFill>
              <w14:schemeClr w14:val="tx1"/>
            </w14:solidFill>
          </w14:textFill>
        </w:rPr>
        <w:alias w:val="是否适用：募集资金使用进展说明[双击切换]"/>
        <w:tag w:val="_GBC_680b9390780e4e2096adf48e91fa95ca"/>
        <w:id w:val="-129329304"/>
        <w:placeholder>
          <w:docPart w:val="GBC22222222222222222222222222222"/>
        </w:placeholder>
      </w:sdtPr>
      <w:sdtEndPr>
        <w:rPr>
          <w:color w:val="000000" w:themeColor="text1"/>
          <w14:textFill>
            <w14:solidFill>
              <w14:schemeClr w14:val="tx1"/>
            </w14:solidFill>
          </w14:textFill>
        </w:rPr>
      </w:sdtEndPr>
      <w:sdtContent>
        <w:p w14:paraId="0CA1C333">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76"/>
    <w:bookmarkEnd w:id="77"/>
    <w:bookmarkEnd w:id="78"/>
    <w:p w14:paraId="34CA2EC8">
      <w:bookmarkStart w:id="79" w:name="_Hlk200012883"/>
    </w:p>
    <w:p w14:paraId="4B716B6C">
      <w:pPr>
        <w:rPr>
          <w:color w:val="000000" w:themeColor="text1"/>
          <w14:textFill>
            <w14:solidFill>
              <w14:schemeClr w14:val="tx1"/>
            </w14:solidFill>
          </w14:textFill>
        </w:rPr>
      </w:pPr>
    </w:p>
    <w:bookmarkEnd w:id="79"/>
    <w:p w14:paraId="5932F3FC">
      <w:pPr>
        <w:pStyle w:val="3"/>
        <w:numPr>
          <w:ilvl w:val="0"/>
          <w:numId w:val="15"/>
        </w:numPr>
        <w:tabs>
          <w:tab w:val="left" w:pos="426"/>
        </w:tabs>
        <w:jc w:val="left"/>
        <w:rPr>
          <w:rFonts w:hint="eastAsia" w:ascii="宋体" w:hAnsi="宋体"/>
          <w:color w:val="000000" w:themeColor="text1"/>
          <w14:textFill>
            <w14:solidFill>
              <w14:schemeClr w14:val="tx1"/>
            </w14:solidFill>
          </w14:textFill>
        </w:rPr>
      </w:pPr>
      <w:bookmarkStart w:id="80" w:name="_Hlk74904700"/>
      <w:bookmarkStart w:id="81" w:name="_Hlk74820557"/>
      <w:r>
        <w:rPr>
          <w:rFonts w:ascii="宋体" w:hAnsi="宋体"/>
          <w:color w:val="000000" w:themeColor="text1"/>
          <w14:textFill>
            <w14:solidFill>
              <w14:schemeClr w14:val="tx1"/>
            </w14:solidFill>
          </w14:textFill>
        </w:rPr>
        <w:t>其他</w:t>
      </w:r>
      <w:r>
        <w:rPr>
          <w:rFonts w:hint="eastAsia" w:ascii="宋体" w:hAnsi="宋体"/>
          <w:color w:val="000000" w:themeColor="text1"/>
          <w14:textFill>
            <w14:solidFill>
              <w14:schemeClr w14:val="tx1"/>
            </w14:solidFill>
          </w14:textFill>
        </w:rPr>
        <w:t>重大事项的说明</w:t>
      </w:r>
    </w:p>
    <w:sdt>
      <w:sdtPr>
        <w:rPr>
          <w:color w:val="000000" w:themeColor="text1"/>
          <w14:textFill>
            <w14:solidFill>
              <w14:schemeClr w14:val="tx1"/>
            </w14:solidFill>
          </w14:textFill>
        </w:rPr>
        <w:alias w:val="是否适用：其他重大事项的说明[双击切换]"/>
        <w:tag w:val="_GBC_60472543195d45309db4d042b8e09883"/>
        <w:id w:val="-1762285783"/>
        <w:placeholder>
          <w:docPart w:val="GBC22222222222222222222222222222"/>
        </w:placeholder>
      </w:sdtPr>
      <w:sdtEndPr>
        <w:rPr>
          <w:color w:val="000000" w:themeColor="text1"/>
          <w14:textFill>
            <w14:solidFill>
              <w14:schemeClr w14:val="tx1"/>
            </w14:solidFill>
          </w14:textFill>
        </w:rPr>
      </w:sdtEndPr>
      <w:sdtContent>
        <w:p w14:paraId="12C6FE0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70B8F67">
      <w:pPr>
        <w:rPr>
          <w:color w:val="000000" w:themeColor="text1"/>
          <w14:textFill>
            <w14:solidFill>
              <w14:schemeClr w14:val="tx1"/>
            </w14:solidFill>
          </w14:textFill>
        </w:rPr>
      </w:pPr>
    </w:p>
    <w:bookmarkEnd w:id="80"/>
    <w:bookmarkEnd w:id="81"/>
    <w:p w14:paraId="11896C37">
      <w:pPr>
        <w:rPr>
          <w:color w:val="000000" w:themeColor="text1"/>
          <w14:textFill>
            <w14:solidFill>
              <w14:schemeClr w14:val="tx1"/>
            </w14:solidFill>
          </w14:textFill>
        </w:rPr>
      </w:pPr>
    </w:p>
    <w:p w14:paraId="60092EF4">
      <w:pPr>
        <w:pStyle w:val="2"/>
        <w:numPr>
          <w:ilvl w:val="0"/>
          <w:numId w:val="2"/>
        </w:numPr>
        <w:rPr>
          <w:rFonts w:hint="eastAsia" w:ascii="黑体" w:hAnsi="黑体"/>
          <w:color w:val="000000" w:themeColor="text1"/>
          <w14:textFill>
            <w14:solidFill>
              <w14:schemeClr w14:val="tx1"/>
            </w14:solidFill>
          </w14:textFill>
        </w:rPr>
      </w:pPr>
      <w:bookmarkStart w:id="82" w:name="_Toc236303310"/>
      <w:bookmarkStart w:id="83" w:name="_Toc76114278"/>
      <w:bookmarkStart w:id="84" w:name="_Toc392233016"/>
      <w:r>
        <w:rPr>
          <w:rFonts w:hint="eastAsia" w:ascii="黑体" w:hAnsi="黑体"/>
          <w:color w:val="000000" w:themeColor="text1"/>
          <w14:textFill>
            <w14:solidFill>
              <w14:schemeClr w14:val="tx1"/>
            </w14:solidFill>
          </w14:textFill>
        </w:rPr>
        <w:t>股份变动及股东情况</w:t>
      </w:r>
      <w:bookmarkEnd w:id="82"/>
    </w:p>
    <w:bookmarkEnd w:id="70"/>
    <w:bookmarkEnd w:id="83"/>
    <w:bookmarkEnd w:id="84"/>
    <w:p w14:paraId="5B5B3096">
      <w:pPr>
        <w:pStyle w:val="3"/>
        <w:numPr>
          <w:ilvl w:val="0"/>
          <w:numId w:val="24"/>
        </w:numPr>
        <w:spacing w:line="360" w:lineRule="auto"/>
        <w:ind w:left="422" w:hanging="422"/>
        <w:rPr>
          <w:rFonts w:hint="eastAsia" w:ascii="宋体" w:hAnsi="宋体"/>
          <w:color w:val="000000" w:themeColor="text1"/>
          <w14:textFill>
            <w14:solidFill>
              <w14:schemeClr w14:val="tx1"/>
            </w14:solidFill>
          </w14:textFill>
        </w:rPr>
      </w:pPr>
      <w:bookmarkStart w:id="85" w:name="_Toc342059476"/>
      <w:bookmarkStart w:id="86" w:name="_Toc342565989"/>
      <w:r>
        <w:rPr>
          <w:rFonts w:ascii="宋体" w:hAnsi="宋体"/>
          <w:color w:val="000000" w:themeColor="text1"/>
          <w14:textFill>
            <w14:solidFill>
              <w14:schemeClr w14:val="tx1"/>
            </w14:solidFill>
          </w14:textFill>
        </w:rPr>
        <w:t>股</w:t>
      </w:r>
      <w:r>
        <w:rPr>
          <w:rFonts w:hint="eastAsia" w:ascii="宋体" w:hAnsi="宋体"/>
          <w:color w:val="000000" w:themeColor="text1"/>
          <w14:textFill>
            <w14:solidFill>
              <w14:schemeClr w14:val="tx1"/>
            </w14:solidFill>
          </w14:textFill>
        </w:rPr>
        <w:t>本变动情况</w:t>
      </w:r>
      <w:bookmarkEnd w:id="85"/>
      <w:bookmarkEnd w:id="86"/>
    </w:p>
    <w:p w14:paraId="5463E48D">
      <w:pPr>
        <w:pStyle w:val="4"/>
        <w:numPr>
          <w:ilvl w:val="1"/>
          <w:numId w:val="25"/>
        </w:numPr>
        <w:rPr>
          <w:rFonts w:hint="eastAsia" w:ascii="宋体" w:hAnsi="宋体"/>
          <w:color w:val="000000" w:themeColor="text1"/>
          <w14:textFill>
            <w14:solidFill>
              <w14:schemeClr w14:val="tx1"/>
            </w14:solidFill>
          </w14:textFill>
        </w:rPr>
      </w:pPr>
      <w:bookmarkStart w:id="87" w:name="_Toc342059477"/>
      <w:bookmarkStart w:id="88" w:name="_Toc342565990"/>
      <w:r>
        <w:rPr>
          <w:rFonts w:hint="eastAsia" w:ascii="宋体" w:hAnsi="宋体"/>
          <w:color w:val="000000" w:themeColor="text1"/>
          <w14:textFill>
            <w14:solidFill>
              <w14:schemeClr w14:val="tx1"/>
            </w14:solidFill>
          </w14:textFill>
        </w:rPr>
        <w:t>股份变动情况表</w:t>
      </w:r>
      <w:bookmarkEnd w:id="87"/>
      <w:bookmarkEnd w:id="88"/>
    </w:p>
    <w:p w14:paraId="1743CAF2">
      <w:pPr>
        <w:pStyle w:val="5"/>
        <w:numPr>
          <w:ilvl w:val="2"/>
          <w:numId w:val="26"/>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股份变动情况表</w:t>
      </w:r>
    </w:p>
    <w:p w14:paraId="1ECD519A">
      <w:pPr>
        <w:rPr>
          <w:color w:val="000000" w:themeColor="text1"/>
          <w14:textFill>
            <w14:solidFill>
              <w14:schemeClr w14:val="tx1"/>
            </w14:solidFill>
          </w14:textFill>
        </w:rPr>
      </w:pPr>
      <w:r>
        <w:rPr>
          <w:rFonts w:hint="eastAsia"/>
          <w:color w:val="000000" w:themeColor="text1"/>
          <w14:textFill>
            <w14:solidFill>
              <w14:schemeClr w14:val="tx1"/>
            </w14:solidFill>
          </w14:textFill>
        </w:rPr>
        <w:t>报告期内，</w:t>
      </w:r>
      <w:sdt>
        <w:sdtPr>
          <w:tag w:val="_PLD_dec093ae39394edab2b0d11e4fc7aedd"/>
          <w:id w:val="1427150559"/>
        </w:sdtPr>
        <w:sdtContent>
          <w:r>
            <w:rPr>
              <w:rFonts w:hint="eastAsia"/>
              <w:color w:val="000000" w:themeColor="text1"/>
              <w14:textFill>
                <w14:solidFill>
                  <w14:schemeClr w14:val="tx1"/>
                </w14:solidFill>
              </w14:textFill>
            </w:rPr>
            <w:t>公司股份总数及股本结构未发生变化。</w:t>
          </w:r>
        </w:sdtContent>
      </w:sdt>
    </w:p>
    <w:p w14:paraId="45C03073">
      <w:pPr>
        <w:pStyle w:val="5"/>
        <w:numPr>
          <w:ilvl w:val="2"/>
          <w:numId w:val="26"/>
        </w:numPr>
        <w:rPr>
          <w:rFonts w:hint="eastAsia" w:ascii="宋体" w:hAnsi="宋体"/>
          <w:color w:val="000000" w:themeColor="text1"/>
          <w14:textFill>
            <w14:solidFill>
              <w14:schemeClr w14:val="tx1"/>
            </w14:solidFill>
          </w14:textFill>
        </w:rPr>
      </w:pPr>
      <w:bookmarkStart w:id="89" w:name="_Toc342059483"/>
      <w:bookmarkStart w:id="90" w:name="_Toc342565996"/>
      <w:r>
        <w:rPr>
          <w:rFonts w:ascii="宋体" w:hAnsi="宋体"/>
          <w:color w:val="000000" w:themeColor="text1"/>
          <w14:textFill>
            <w14:solidFill>
              <w14:schemeClr w14:val="tx1"/>
            </w14:solidFill>
          </w14:textFill>
        </w:rPr>
        <w:t>股份变动情况说明</w:t>
      </w:r>
    </w:p>
    <w:sdt>
      <w:sdtPr>
        <w:rPr>
          <w:color w:val="000000" w:themeColor="text1"/>
          <w14:textFill>
            <w14:solidFill>
              <w14:schemeClr w14:val="tx1"/>
            </w14:solidFill>
          </w14:textFill>
        </w:rPr>
        <w:alias w:val="是否适用：普通股股份变动情况说明[双击切换]"/>
        <w:tag w:val="_GBC_28994e6dc9c649e498c0ab9c340777bf"/>
        <w:id w:val="1231425788"/>
        <w:placeholder>
          <w:docPart w:val="GBC22222222222222222222222222222"/>
        </w:placeholder>
      </w:sdtPr>
      <w:sdtEndPr>
        <w:rPr>
          <w:color w:val="000000" w:themeColor="text1"/>
          <w14:textFill>
            <w14:solidFill>
              <w14:schemeClr w14:val="tx1"/>
            </w14:solidFill>
          </w14:textFill>
        </w:rPr>
      </w:sdtEndPr>
      <w:sdtContent>
        <w:p w14:paraId="790F8BC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4718577">
      <w:pPr>
        <w:rPr>
          <w:color w:val="000000" w:themeColor="text1"/>
          <w14:textFill>
            <w14:solidFill>
              <w14:schemeClr w14:val="tx1"/>
            </w14:solidFill>
          </w14:textFill>
        </w:rPr>
      </w:pPr>
    </w:p>
    <w:p w14:paraId="721A06F6">
      <w:pPr>
        <w:pStyle w:val="5"/>
        <w:numPr>
          <w:ilvl w:val="2"/>
          <w:numId w:val="26"/>
        </w:numPr>
        <w:rPr>
          <w:rFonts w:hint="eastAsia" w:ascii="宋体" w:hAnsi="宋体" w:cs="宋体"/>
          <w:color w:val="000000" w:themeColor="text1"/>
          <w:kern w:val="0"/>
          <w:szCs w:val="22"/>
          <w14:textFill>
            <w14:solidFill>
              <w14:schemeClr w14:val="tx1"/>
            </w14:solidFill>
          </w14:textFill>
        </w:rPr>
      </w:pPr>
      <w:r>
        <w:rPr>
          <w:rFonts w:hint="eastAsia" w:ascii="宋体" w:hAnsi="宋体" w:cs="宋体"/>
          <w:color w:val="000000" w:themeColor="text1"/>
          <w:kern w:val="0"/>
          <w:szCs w:val="22"/>
          <w14:textFill>
            <w14:solidFill>
              <w14:schemeClr w14:val="tx1"/>
            </w14:solidFill>
          </w14:textFill>
        </w:rPr>
        <w:t>报告期后到半年报披露日期间发生股份变动对每股收益、每股净资产等财务指标的影响（如有）</w:t>
      </w:r>
    </w:p>
    <w:sdt>
      <w:sdtPr>
        <w:rPr>
          <w:rFonts w:hint="eastAsia"/>
          <w:color w:val="000000" w:themeColor="text1"/>
          <w14:textFill>
            <w14:solidFill>
              <w14:schemeClr w14:val="tx1"/>
            </w14:solidFill>
          </w14:textFill>
        </w:rPr>
        <w:alias w:val="是否适用：普通股股份变动对最近一年和最近一期每股收益、每股净资产等财务指标的影响[双击切换]"/>
        <w:tag w:val="_GBC_bb0980f1589b4db8944ca5595f342bfe"/>
        <w:id w:val="410059479"/>
        <w:placeholder>
          <w:docPart w:val="GBC22222222222222222222222222222"/>
        </w:placeholder>
      </w:sdtPr>
      <w:sdtEndPr>
        <w:rPr>
          <w:rFonts w:hint="eastAsia"/>
          <w:color w:val="000000" w:themeColor="text1"/>
          <w14:textFill>
            <w14:solidFill>
              <w14:schemeClr w14:val="tx1"/>
            </w14:solidFill>
          </w14:textFill>
        </w:rPr>
      </w:sdtEndPr>
      <w:sdtContent>
        <w:p w14:paraId="6B89F85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707F319">
      <w:pPr>
        <w:rPr>
          <w:color w:val="000000" w:themeColor="text1"/>
          <w14:textFill>
            <w14:solidFill>
              <w14:schemeClr w14:val="tx1"/>
            </w14:solidFill>
          </w14:textFill>
        </w:rPr>
      </w:pPr>
    </w:p>
    <w:p w14:paraId="7705DE6B">
      <w:pPr>
        <w:pStyle w:val="5"/>
        <w:numPr>
          <w:ilvl w:val="2"/>
          <w:numId w:val="26"/>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公司认为必要或证券监管机构要求披露的其他内容</w:t>
      </w:r>
    </w:p>
    <w:sdt>
      <w:sdtPr>
        <w:rPr>
          <w:color w:val="000000" w:themeColor="text1"/>
          <w14:textFill>
            <w14:solidFill>
              <w14:schemeClr w14:val="tx1"/>
            </w14:solidFill>
          </w14:textFill>
        </w:rPr>
        <w:alias w:val="是否适用：公司认为必要或证券监管机构要求披露的其他内容[双击切换]"/>
        <w:tag w:val="_GBC_7554eed1e25047d282437f24056d532b"/>
        <w:id w:val="-1584372605"/>
        <w:placeholder>
          <w:docPart w:val="GBC22222222222222222222222222222"/>
        </w:placeholder>
      </w:sdtPr>
      <w:sdtEndPr>
        <w:rPr>
          <w:color w:val="000000" w:themeColor="text1"/>
          <w14:textFill>
            <w14:solidFill>
              <w14:schemeClr w14:val="tx1"/>
            </w14:solidFill>
          </w14:textFill>
        </w:rPr>
      </w:sdtEndPr>
      <w:sdtContent>
        <w:p w14:paraId="3732B4F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F565382">
      <w:pPr>
        <w:rPr>
          <w:color w:val="000000" w:themeColor="text1"/>
          <w14:textFill>
            <w14:solidFill>
              <w14:schemeClr w14:val="tx1"/>
            </w14:solidFill>
          </w14:textFill>
        </w:rPr>
      </w:pPr>
    </w:p>
    <w:p w14:paraId="1DCE76E6">
      <w:pPr>
        <w:pStyle w:val="4"/>
        <w:numPr>
          <w:ilvl w:val="1"/>
          <w:numId w:val="25"/>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限售股份变动情况</w:t>
      </w:r>
    </w:p>
    <w:sdt>
      <w:sdtPr>
        <w:rPr>
          <w:color w:val="000000" w:themeColor="text1"/>
          <w14:textFill>
            <w14:solidFill>
              <w14:schemeClr w14:val="tx1"/>
            </w14:solidFill>
          </w14:textFill>
        </w:rPr>
        <w:alias w:val="是否适用：限售股份变动情况表[双击切换]"/>
        <w:tag w:val="_GBC_6f5978a50e224b6aa94189436cdee711"/>
        <w:id w:val="-52009862"/>
        <w:placeholder>
          <w:docPart w:val="GBC22222222222222222222222222222"/>
        </w:placeholder>
      </w:sdtPr>
      <w:sdtEndPr>
        <w:rPr>
          <w:color w:val="000000" w:themeColor="text1"/>
          <w14:textFill>
            <w14:solidFill>
              <w14:schemeClr w14:val="tx1"/>
            </w14:solidFill>
          </w14:textFill>
        </w:rPr>
      </w:sdtEndPr>
      <w:sdtContent>
        <w:p w14:paraId="14B412C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B40F8C4">
      <w:pPr>
        <w:rPr>
          <w:color w:val="000000" w:themeColor="text1"/>
          <w14:textFill>
            <w14:solidFill>
              <w14:schemeClr w14:val="tx1"/>
            </w14:solidFill>
          </w14:textFill>
        </w:rPr>
      </w:pPr>
    </w:p>
    <w:p w14:paraId="669451F0">
      <w:pPr>
        <w:pStyle w:val="3"/>
        <w:numPr>
          <w:ilvl w:val="0"/>
          <w:numId w:val="24"/>
        </w:numPr>
        <w:spacing w:line="360" w:lineRule="auto"/>
        <w:ind w:left="422" w:hanging="422"/>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股东情况</w:t>
      </w:r>
      <w:bookmarkEnd w:id="89"/>
      <w:bookmarkEnd w:id="90"/>
    </w:p>
    <w:p w14:paraId="6318631D">
      <w:pPr>
        <w:pStyle w:val="4"/>
        <w:numPr>
          <w:ilvl w:val="1"/>
          <w:numId w:val="27"/>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股东总数：</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2"/>
        <w:gridCol w:w="3881"/>
      </w:tblGrid>
      <w:tr w14:paraId="0A6F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9206d6884981495295105158630a6172"/>
            <w:id w:val="-838157588"/>
          </w:sdtPr>
          <w:sdtContent>
            <w:tc>
              <w:tcPr>
                <w:tcW w:w="5070" w:type="dxa"/>
              </w:tcPr>
              <w:p w14:paraId="399F4433">
                <w:pPr>
                  <w:widowControl w:val="0"/>
                  <w:jc w:val="both"/>
                  <w:rPr>
                    <w:color w:val="000000" w:themeColor="text1"/>
                    <w14:textFill>
                      <w14:solidFill>
                        <w14:schemeClr w14:val="tx1"/>
                      </w14:solidFill>
                    </w14:textFill>
                  </w:rPr>
                </w:pPr>
                <w:r>
                  <w:rPr>
                    <w:color w:val="000000" w:themeColor="text1"/>
                    <w14:textFill>
                      <w14:solidFill>
                        <w14:schemeClr w14:val="tx1"/>
                      </w14:solidFill>
                    </w14:textFill>
                  </w:rPr>
                  <w:t>截至报告期末</w:t>
                </w:r>
                <w:r>
                  <w:rPr>
                    <w:rFonts w:hint="eastAsia"/>
                    <w:color w:val="000000" w:themeColor="text1"/>
                    <w14:textFill>
                      <w14:solidFill>
                        <w14:schemeClr w14:val="tx1"/>
                      </w14:solidFill>
                    </w14:textFill>
                  </w:rPr>
                  <w:t>普通股</w:t>
                </w:r>
                <w:r>
                  <w:rPr>
                    <w:color w:val="000000" w:themeColor="text1"/>
                    <w14:textFill>
                      <w14:solidFill>
                        <w14:schemeClr w14:val="tx1"/>
                      </w14:solidFill>
                    </w14:textFill>
                  </w:rPr>
                  <w:t>股东总数(户)</w:t>
                </w:r>
              </w:p>
            </w:tc>
          </w:sdtContent>
        </w:sdt>
        <w:sdt>
          <w:sdtPr>
            <w:rPr>
              <w:color w:val="000000" w:themeColor="text1"/>
              <w14:textFill>
                <w14:solidFill>
                  <w14:schemeClr w14:val="tx1"/>
                </w14:solidFill>
              </w14:textFill>
            </w:rPr>
            <w:alias w:val="报告期末股东总数"/>
            <w:tag w:val="_GBC_9fd402ec66014f4e9716c7fdb0286bd2"/>
            <w:id w:val="1116804930"/>
          </w:sdtPr>
          <w:sdtEndPr>
            <w:rPr>
              <w:color w:val="000000" w:themeColor="text1"/>
              <w14:textFill>
                <w14:solidFill>
                  <w14:schemeClr w14:val="tx1"/>
                </w14:solidFill>
              </w14:textFill>
            </w:rPr>
          </w:sdtEndPr>
          <w:sdtContent>
            <w:tc>
              <w:tcPr>
                <w:tcW w:w="3978" w:type="dxa"/>
              </w:tcPr>
              <w:p w14:paraId="2E082B40">
                <w:pPr>
                  <w:widowControl w:val="0"/>
                  <w:jc w:val="right"/>
                  <w:rPr>
                    <w:color w:val="000000" w:themeColor="text1"/>
                    <w14:textFill>
                      <w14:solidFill>
                        <w14:schemeClr w14:val="tx1"/>
                      </w14:solidFill>
                    </w14:textFill>
                  </w:rPr>
                </w:pPr>
                <w:r>
                  <w:rPr>
                    <w:color w:val="000000" w:themeColor="text1"/>
                    <w14:textFill>
                      <w14:solidFill>
                        <w14:schemeClr w14:val="tx1"/>
                      </w14:solidFill>
                    </w14:textFill>
                  </w:rPr>
                  <w:t>66,054</w:t>
                </w:r>
              </w:p>
            </w:tc>
          </w:sdtContent>
        </w:sdt>
      </w:tr>
      <w:tr w14:paraId="5659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0" w:type="dxa"/>
          </w:tcPr>
          <w:p w14:paraId="05743312">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截至报告期末表决权恢复的优先股股东总数（户）</w:t>
            </w:r>
          </w:p>
        </w:tc>
        <w:tc>
          <w:tcPr>
            <w:tcW w:w="3978" w:type="dxa"/>
          </w:tcPr>
          <w:p w14:paraId="55D7E42C">
            <w:pPr>
              <w:widowControl w:val="0"/>
              <w:jc w:val="right"/>
            </w:pPr>
            <w:r>
              <w:rPr>
                <w:rFonts w:hint="eastAsia"/>
              </w:rPr>
              <w:t>0</w:t>
            </w:r>
          </w:p>
        </w:tc>
      </w:tr>
    </w:tbl>
    <w:p w14:paraId="3BE0C9EB">
      <w:pPr>
        <w:rPr>
          <w:color w:val="000000" w:themeColor="text1"/>
          <w14:textFill>
            <w14:solidFill>
              <w14:schemeClr w14:val="tx1"/>
            </w14:solidFill>
          </w14:textFill>
        </w:rPr>
      </w:pPr>
    </w:p>
    <w:p w14:paraId="39AF04C1">
      <w:pPr>
        <w:pStyle w:val="4"/>
        <w:numPr>
          <w:ilvl w:val="1"/>
          <w:numId w:val="27"/>
        </w:numPr>
        <w:rPr>
          <w:rFonts w:hint="eastAsia"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截至报告期末前十名股东、前十名流通股东（或无限售条件股东）持股情况表</w:t>
      </w:r>
    </w:p>
    <w:p w14:paraId="0A56256D">
      <w:pPr>
        <w:jc w:val="right"/>
        <w:rPr>
          <w:color w:val="000000" w:themeColor="text1"/>
          <w14:textFill>
            <w14:solidFill>
              <w14:schemeClr w14:val="tx1"/>
            </w14:solidFill>
          </w14:textFill>
        </w:rPr>
      </w:pPr>
      <w:r>
        <w:rPr>
          <w:color w:val="000000" w:themeColor="text1"/>
          <w14:textFill>
            <w14:solidFill>
              <w14:schemeClr w14:val="tx1"/>
            </w14:solidFill>
          </w14:textFill>
        </w:rPr>
        <w:t>单位：</w:t>
      </w:r>
      <w:sdt>
        <w:sdtPr>
          <w:rPr>
            <w:bCs w:val="0"/>
            <w:color w:val="000000" w:themeColor="text1"/>
            <w14:textFill>
              <w14:solidFill>
                <w14:schemeClr w14:val="tx1"/>
              </w14:solidFill>
            </w14:textFill>
          </w:rPr>
          <w:alias w:val="单位：前十名股东持股情况"/>
          <w:tag w:val="_GBC_9d020b31dcb449c980ed0856cf6dae82"/>
          <w:id w:val="-1668552670"/>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rPr>
            <w:bCs w:val="0"/>
            <w:color w:val="000000" w:themeColor="text1"/>
            <w14:textFill>
              <w14:solidFill>
                <w14:schemeClr w14:val="tx1"/>
              </w14:solidFill>
            </w14:textFill>
          </w:rPr>
        </w:sdtEndPr>
        <w:sdtContent>
          <w:r>
            <w:rPr>
              <w:bCs w:val="0"/>
              <w:color w:val="000000" w:themeColor="text1"/>
              <w14:textFill>
                <w14:solidFill>
                  <w14:schemeClr w14:val="tx1"/>
                </w14:solidFill>
              </w14:textFill>
            </w:rPr>
            <w:t>股</w:t>
          </w:r>
        </w:sdtContent>
      </w:sdt>
    </w:p>
    <w:tbl>
      <w:tblPr>
        <w:tblStyle w:val="37"/>
        <w:tblW w:w="5383" w:type="pct"/>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8"/>
        <w:gridCol w:w="712"/>
        <w:gridCol w:w="1415"/>
        <w:gridCol w:w="718"/>
        <w:gridCol w:w="703"/>
        <w:gridCol w:w="707"/>
        <w:gridCol w:w="1275"/>
        <w:gridCol w:w="279"/>
        <w:gridCol w:w="1562"/>
      </w:tblGrid>
      <w:tr w14:paraId="15FF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3038da138bad4905b589aeba821a8575"/>
            <w:id w:val="-955797033"/>
          </w:sdtPr>
          <w:sdtContent>
            <w:tc>
              <w:tcPr>
                <w:tcW w:w="5000" w:type="pct"/>
                <w:gridSpan w:val="9"/>
                <w:vAlign w:val="center"/>
              </w:tcPr>
              <w:p w14:paraId="25E67AC0">
                <w:pPr>
                  <w:pStyle w:val="15"/>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前十名股东持股情况</w:t>
                </w:r>
                <w:r>
                  <w:rPr>
                    <w:rFonts w:hint="eastAsia" w:ascii="宋体" w:hAnsi="宋体"/>
                    <w:color w:val="000000" w:themeColor="text1"/>
                    <w14:textFill>
                      <w14:solidFill>
                        <w14:schemeClr w14:val="tx1"/>
                      </w14:solidFill>
                    </w14:textFill>
                  </w:rPr>
                  <w:t>（不含通过转融通出借股份）</w:t>
                </w:r>
              </w:p>
            </w:tc>
          </w:sdtContent>
        </w:sdt>
      </w:tr>
      <w:tr w14:paraId="1F21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80eda5ca76254dc1b950ed7de7dc5885"/>
            <w:id w:val="-287903522"/>
          </w:sdtPr>
          <w:sdtContent>
            <w:tc>
              <w:tcPr>
                <w:tcW w:w="1120" w:type="pct"/>
                <w:vMerge w:val="restart"/>
                <w:vAlign w:val="center"/>
              </w:tcPr>
              <w:p w14:paraId="139125D0">
                <w:pPr>
                  <w:jc w:val="center"/>
                  <w:rPr>
                    <w:color w:val="000000" w:themeColor="text1"/>
                    <w14:textFill>
                      <w14:solidFill>
                        <w14:schemeClr w14:val="tx1"/>
                      </w14:solidFill>
                    </w14:textFill>
                  </w:rPr>
                </w:pPr>
                <w:r>
                  <w:rPr>
                    <w:color w:val="000000" w:themeColor="text1"/>
                    <w14:textFill>
                      <w14:solidFill>
                        <w14:schemeClr w14:val="tx1"/>
                      </w14:solidFill>
                    </w14:textFill>
                  </w:rPr>
                  <w:t>股东名称</w:t>
                </w:r>
              </w:p>
              <w:p w14:paraId="426447C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（全称）</w:t>
                </w:r>
              </w:p>
            </w:tc>
          </w:sdtContent>
        </w:sdt>
        <w:sdt>
          <w:sdtPr>
            <w:tag w:val="_PLD_ca2ffd3fc186426e98aac562ecc1ba54"/>
            <w:id w:val="-658002278"/>
          </w:sdtPr>
          <w:sdtContent>
            <w:tc>
              <w:tcPr>
                <w:tcW w:w="375" w:type="pct"/>
                <w:vMerge w:val="restart"/>
                <w:vAlign w:val="center"/>
              </w:tcPr>
              <w:p w14:paraId="1C232F88">
                <w:pPr>
                  <w:jc w:val="center"/>
                  <w:rPr>
                    <w:color w:val="000000" w:themeColor="text1"/>
                    <w14:textFill>
                      <w14:solidFill>
                        <w14:schemeClr w14:val="tx1"/>
                      </w14:solidFill>
                    </w14:textFill>
                  </w:rPr>
                </w:pPr>
                <w:r>
                  <w:rPr>
                    <w:color w:val="000000" w:themeColor="text1"/>
                    <w14:textFill>
                      <w14:solidFill>
                        <w14:schemeClr w14:val="tx1"/>
                      </w14:solidFill>
                    </w14:textFill>
                  </w:rPr>
                  <w:t>报告期内增减</w:t>
                </w:r>
              </w:p>
            </w:tc>
          </w:sdtContent>
        </w:sdt>
        <w:sdt>
          <w:sdtPr>
            <w:tag w:val="_PLD_084006d53bec42bea9418fc4576a1210"/>
            <w:id w:val="-1667545025"/>
          </w:sdtPr>
          <w:sdtContent>
            <w:tc>
              <w:tcPr>
                <w:tcW w:w="745" w:type="pct"/>
                <w:vMerge w:val="restart"/>
                <w:vAlign w:val="center"/>
              </w:tcPr>
              <w:p w14:paraId="0CE346C2">
                <w:pPr>
                  <w:jc w:val="center"/>
                  <w:rPr>
                    <w:color w:val="000000" w:themeColor="text1"/>
                    <w14:textFill>
                      <w14:solidFill>
                        <w14:schemeClr w14:val="tx1"/>
                      </w14:solidFill>
                    </w14:textFill>
                  </w:rPr>
                </w:pPr>
                <w:r>
                  <w:rPr>
                    <w:color w:val="000000" w:themeColor="text1"/>
                    <w14:textFill>
                      <w14:solidFill>
                        <w14:schemeClr w14:val="tx1"/>
                      </w14:solidFill>
                    </w14:textFill>
                  </w:rPr>
                  <w:t>期末持股数量</w:t>
                </w:r>
              </w:p>
            </w:tc>
          </w:sdtContent>
        </w:sdt>
        <w:sdt>
          <w:sdtPr>
            <w:tag w:val="_PLD_f27008de77ee4b27b35e2ae22d35699c"/>
            <w:id w:val="-499425099"/>
          </w:sdtPr>
          <w:sdtContent>
            <w:tc>
              <w:tcPr>
                <w:tcW w:w="378" w:type="pct"/>
                <w:vMerge w:val="restart"/>
                <w:vAlign w:val="center"/>
              </w:tcPr>
              <w:p w14:paraId="061E257F">
                <w:pPr>
                  <w:jc w:val="center"/>
                  <w:rPr>
                    <w:color w:val="000000" w:themeColor="text1"/>
                    <w14:textFill>
                      <w14:solidFill>
                        <w14:schemeClr w14:val="tx1"/>
                      </w14:solidFill>
                    </w14:textFill>
                  </w:rPr>
                </w:pPr>
                <w:r>
                  <w:rPr>
                    <w:color w:val="000000" w:themeColor="text1"/>
                    <w14:textFill>
                      <w14:solidFill>
                        <w14:schemeClr w14:val="tx1"/>
                      </w14:solidFill>
                    </w14:textFill>
                  </w:rPr>
                  <w:t>比例(%)</w:t>
                </w:r>
              </w:p>
            </w:tc>
          </w:sdtContent>
        </w:sdt>
        <w:sdt>
          <w:sdtPr>
            <w:tag w:val="_PLD_34fcc5fa9a414555bef1b48aa74c8135"/>
            <w:id w:val="1483117589"/>
          </w:sdtPr>
          <w:sdtContent>
            <w:tc>
              <w:tcPr>
                <w:tcW w:w="370" w:type="pct"/>
                <w:vMerge w:val="restart"/>
                <w:vAlign w:val="center"/>
              </w:tcPr>
              <w:p w14:paraId="4D912246">
                <w:pPr>
                  <w:pStyle w:val="10"/>
                  <w:rPr>
                    <w:rFonts w:hint="eastAsia" w:ascii="宋体" w:hAnsi="宋体"/>
                    <w:bCs w:val="0"/>
                    <w:color w:val="000000" w:themeColor="text1"/>
                    <w14:textFill>
                      <w14:solidFill>
                        <w14:schemeClr w14:val="tx1"/>
                      </w14:solidFill>
                    </w14:textFill>
                  </w:rPr>
                </w:pPr>
                <w:r>
                  <w:rPr>
                    <w:rFonts w:ascii="宋体" w:hAnsi="宋体"/>
                    <w:color w:val="000000" w:themeColor="text1"/>
                    <w14:textFill>
                      <w14:solidFill>
                        <w14:schemeClr w14:val="tx1"/>
                      </w14:solidFill>
                    </w14:textFill>
                  </w:rPr>
                  <w:t>持有有限售条件股份数量</w:t>
                </w:r>
              </w:p>
            </w:tc>
          </w:sdtContent>
        </w:sdt>
        <w:sdt>
          <w:sdtPr>
            <w:tag w:val="_PLD_94fbee67e09740e59eb90272af77b58a"/>
            <w:id w:val="1142239267"/>
          </w:sdtPr>
          <w:sdtContent>
            <w:tc>
              <w:tcPr>
                <w:tcW w:w="1043" w:type="pct"/>
                <w:gridSpan w:val="2"/>
                <w:vAlign w:val="center"/>
              </w:tcPr>
              <w:p w14:paraId="53DCA68E">
                <w:pPr>
                  <w:jc w:val="center"/>
                  <w:rPr>
                    <w:color w:val="000000" w:themeColor="text1"/>
                    <w14:textFill>
                      <w14:solidFill>
                        <w14:schemeClr w14:val="tx1"/>
                      </w14:solidFill>
                    </w14:textFill>
                  </w:rPr>
                </w:pPr>
                <w:r>
                  <w:rPr>
                    <w:color w:val="000000" w:themeColor="text1"/>
                    <w14:textFill>
                      <w14:solidFill>
                        <w14:schemeClr w14:val="tx1"/>
                      </w14:solidFill>
                    </w14:textFill>
                  </w:rPr>
                  <w:t>质押</w:t>
                </w:r>
                <w:r>
                  <w:rPr>
                    <w:rFonts w:hint="eastAsia"/>
                    <w:color w:val="000000" w:themeColor="text1"/>
                    <w14:textFill>
                      <w14:solidFill>
                        <w14:schemeClr w14:val="tx1"/>
                      </w14:solidFill>
                    </w14:textFill>
                  </w:rPr>
                  <w:t>、标记</w:t>
                </w:r>
                <w:r>
                  <w:rPr>
                    <w:color w:val="000000" w:themeColor="text1"/>
                    <w14:textFill>
                      <w14:solidFill>
                        <w14:schemeClr w14:val="tx1"/>
                      </w14:solidFill>
                    </w14:textFill>
                  </w:rPr>
                  <w:t>或冻结情况</w:t>
                </w:r>
              </w:p>
            </w:tc>
          </w:sdtContent>
        </w:sdt>
        <w:sdt>
          <w:sdtPr>
            <w:tag w:val="_PLD_2228ecf4db6a4362bff11fe1e2d3c903"/>
            <w:id w:val="287473725"/>
          </w:sdtPr>
          <w:sdtContent>
            <w:tc>
              <w:tcPr>
                <w:tcW w:w="969" w:type="pct"/>
                <w:gridSpan w:val="2"/>
                <w:vMerge w:val="restart"/>
                <w:vAlign w:val="center"/>
              </w:tcPr>
              <w:p w14:paraId="52EE683B">
                <w:pPr>
                  <w:jc w:val="center"/>
                  <w:rPr>
                    <w:color w:val="000000" w:themeColor="text1"/>
                    <w14:textFill>
                      <w14:solidFill>
                        <w14:schemeClr w14:val="tx1"/>
                      </w14:solidFill>
                    </w14:textFill>
                  </w:rPr>
                </w:pPr>
                <w:r>
                  <w:rPr>
                    <w:color w:val="000000" w:themeColor="text1"/>
                    <w14:textFill>
                      <w14:solidFill>
                        <w14:schemeClr w14:val="tx1"/>
                      </w14:solidFill>
                    </w14:textFill>
                  </w:rPr>
                  <w:t>股东性质</w:t>
                </w:r>
              </w:p>
            </w:tc>
          </w:sdtContent>
        </w:sdt>
      </w:tr>
      <w:tr w14:paraId="7C48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20" w:type="pct"/>
            <w:vMerge w:val="continue"/>
            <w:tcBorders>
              <w:bottom w:val="single" w:color="auto" w:sz="4" w:space="0"/>
            </w:tcBorders>
            <w:vAlign w:val="center"/>
          </w:tcPr>
          <w:p w14:paraId="6438CCF3">
            <w:pPr>
              <w:jc w:val="center"/>
              <w:rPr>
                <w:color w:val="000000" w:themeColor="text1"/>
                <w14:textFill>
                  <w14:solidFill>
                    <w14:schemeClr w14:val="tx1"/>
                  </w14:solidFill>
                </w14:textFill>
              </w:rPr>
            </w:pPr>
          </w:p>
        </w:tc>
        <w:tc>
          <w:tcPr>
            <w:tcW w:w="375" w:type="pct"/>
            <w:vMerge w:val="continue"/>
            <w:tcBorders>
              <w:bottom w:val="single" w:color="auto" w:sz="4" w:space="0"/>
            </w:tcBorders>
            <w:vAlign w:val="center"/>
          </w:tcPr>
          <w:p w14:paraId="721B7D43">
            <w:pPr>
              <w:jc w:val="center"/>
              <w:rPr>
                <w:color w:val="000000" w:themeColor="text1"/>
                <w14:textFill>
                  <w14:solidFill>
                    <w14:schemeClr w14:val="tx1"/>
                  </w14:solidFill>
                </w14:textFill>
              </w:rPr>
            </w:pPr>
          </w:p>
        </w:tc>
        <w:tc>
          <w:tcPr>
            <w:tcW w:w="745" w:type="pct"/>
            <w:vMerge w:val="continue"/>
            <w:tcBorders>
              <w:bottom w:val="single" w:color="auto" w:sz="4" w:space="0"/>
            </w:tcBorders>
            <w:vAlign w:val="center"/>
          </w:tcPr>
          <w:p w14:paraId="23A15E44">
            <w:pPr>
              <w:jc w:val="center"/>
              <w:rPr>
                <w:color w:val="000000" w:themeColor="text1"/>
                <w14:textFill>
                  <w14:solidFill>
                    <w14:schemeClr w14:val="tx1"/>
                  </w14:solidFill>
                </w14:textFill>
              </w:rPr>
            </w:pPr>
          </w:p>
        </w:tc>
        <w:tc>
          <w:tcPr>
            <w:tcW w:w="378" w:type="pct"/>
            <w:vMerge w:val="continue"/>
            <w:tcBorders>
              <w:bottom w:val="single" w:color="auto" w:sz="4" w:space="0"/>
            </w:tcBorders>
            <w:vAlign w:val="center"/>
          </w:tcPr>
          <w:p w14:paraId="00AA11FA">
            <w:pPr>
              <w:jc w:val="center"/>
              <w:rPr>
                <w:color w:val="000000" w:themeColor="text1"/>
                <w14:textFill>
                  <w14:solidFill>
                    <w14:schemeClr w14:val="tx1"/>
                  </w14:solidFill>
                </w14:textFill>
              </w:rPr>
            </w:pPr>
          </w:p>
        </w:tc>
        <w:tc>
          <w:tcPr>
            <w:tcW w:w="370" w:type="pct"/>
            <w:vMerge w:val="continue"/>
            <w:tcBorders>
              <w:bottom w:val="single" w:color="auto" w:sz="4" w:space="0"/>
            </w:tcBorders>
            <w:vAlign w:val="center"/>
          </w:tcPr>
          <w:p w14:paraId="17804AF0">
            <w:pPr>
              <w:jc w:val="center"/>
              <w:rPr>
                <w:color w:val="000000" w:themeColor="text1"/>
                <w14:textFill>
                  <w14:solidFill>
                    <w14:schemeClr w14:val="tx1"/>
                  </w14:solidFill>
                </w14:textFill>
              </w:rPr>
            </w:pPr>
          </w:p>
        </w:tc>
        <w:sdt>
          <w:sdtPr>
            <w:tag w:val="_PLD_45bf36a531de47beb596ebacadac576a"/>
            <w:id w:val="-251135460"/>
          </w:sdtPr>
          <w:sdtContent>
            <w:tc>
              <w:tcPr>
                <w:tcW w:w="372" w:type="pct"/>
                <w:tcBorders>
                  <w:bottom w:val="single" w:color="auto" w:sz="4" w:space="0"/>
                </w:tcBorders>
                <w:vAlign w:val="center"/>
              </w:tcPr>
              <w:p w14:paraId="2FC7859F">
                <w:pPr>
                  <w:jc w:val="center"/>
                  <w:rPr>
                    <w:color w:val="000000" w:themeColor="text1"/>
                    <w14:textFill>
                      <w14:solidFill>
                        <w14:schemeClr w14:val="tx1"/>
                      </w14:solidFill>
                    </w14:textFill>
                  </w:rPr>
                </w:pPr>
                <w:r>
                  <w:rPr>
                    <w:color w:val="000000" w:themeColor="text1"/>
                    <w14:textFill>
                      <w14:solidFill>
                        <w14:schemeClr w14:val="tx1"/>
                      </w14:solidFill>
                    </w14:textFill>
                  </w:rPr>
                  <w:t>股份状态</w:t>
                </w:r>
              </w:p>
            </w:tc>
          </w:sdtContent>
        </w:sdt>
        <w:sdt>
          <w:sdtPr>
            <w:tag w:val="_PLD_bea7397233604f859f8d14f2ae0a0417"/>
            <w:id w:val="2081011472"/>
          </w:sdtPr>
          <w:sdtContent>
            <w:tc>
              <w:tcPr>
                <w:tcW w:w="671" w:type="pct"/>
                <w:tcBorders>
                  <w:bottom w:val="single" w:color="auto" w:sz="4" w:space="0"/>
                </w:tcBorders>
                <w:vAlign w:val="center"/>
              </w:tcPr>
              <w:p w14:paraId="145DFF17">
                <w:pPr>
                  <w:jc w:val="center"/>
                  <w:rPr>
                    <w:color w:val="000000" w:themeColor="text1"/>
                    <w14:textFill>
                      <w14:solidFill>
                        <w14:schemeClr w14:val="tx1"/>
                      </w14:solidFill>
                    </w14:textFill>
                  </w:rPr>
                </w:pPr>
                <w:r>
                  <w:rPr>
                    <w:color w:val="000000" w:themeColor="text1"/>
                    <w14:textFill>
                      <w14:solidFill>
                        <w14:schemeClr w14:val="tx1"/>
                      </w14:solidFill>
                    </w14:textFill>
                  </w:rPr>
                  <w:t>数量</w:t>
                </w:r>
              </w:p>
            </w:tc>
          </w:sdtContent>
        </w:sdt>
        <w:tc>
          <w:tcPr>
            <w:tcW w:w="969" w:type="pct"/>
            <w:gridSpan w:val="2"/>
            <w:vMerge w:val="continue"/>
            <w:vAlign w:val="center"/>
          </w:tcPr>
          <w:p w14:paraId="750FDAC6">
            <w:pPr>
              <w:jc w:val="center"/>
              <w:rPr>
                <w:color w:val="000000" w:themeColor="text1"/>
                <w14:textFill>
                  <w14:solidFill>
                    <w14:schemeClr w14:val="tx1"/>
                  </w14:solidFill>
                </w14:textFill>
              </w:rPr>
            </w:pPr>
          </w:p>
        </w:tc>
      </w:tr>
      <w:tr w14:paraId="67A2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20" w:type="pct"/>
            <w:vAlign w:val="center"/>
          </w:tcPr>
          <w:p w14:paraId="11498DF7">
            <w:r>
              <w:rPr>
                <w:rFonts w:hint="eastAsia"/>
                <w:color w:val="000000"/>
              </w:rPr>
              <w:t>好当家集团有限公司</w:t>
            </w:r>
          </w:p>
        </w:tc>
        <w:tc>
          <w:tcPr>
            <w:tcW w:w="375" w:type="pct"/>
            <w:vAlign w:val="center"/>
          </w:tcPr>
          <w:p w14:paraId="4DD80855">
            <w:pPr>
              <w:jc w:val="right"/>
            </w:pPr>
          </w:p>
        </w:tc>
        <w:tc>
          <w:tcPr>
            <w:tcW w:w="745" w:type="pct"/>
            <w:vAlign w:val="center"/>
          </w:tcPr>
          <w:p w14:paraId="73C48948">
            <w:pPr>
              <w:jc w:val="right"/>
            </w:pPr>
            <w:r>
              <w:rPr>
                <w:color w:val="000000"/>
              </w:rPr>
              <w:t>534,950,990</w:t>
            </w:r>
          </w:p>
        </w:tc>
        <w:tc>
          <w:tcPr>
            <w:tcW w:w="378" w:type="pct"/>
            <w:vAlign w:val="center"/>
          </w:tcPr>
          <w:p w14:paraId="55D37848">
            <w:pPr>
              <w:jc w:val="right"/>
            </w:pPr>
            <w:r>
              <w:rPr>
                <w:rFonts w:hint="eastAsia"/>
                <w:color w:val="000000"/>
              </w:rPr>
              <w:t>36.62</w:t>
            </w:r>
          </w:p>
        </w:tc>
        <w:tc>
          <w:tcPr>
            <w:tcW w:w="370" w:type="pct"/>
            <w:vAlign w:val="center"/>
          </w:tcPr>
          <w:p w14:paraId="2CBA3601">
            <w:pPr>
              <w:jc w:val="right"/>
            </w:pPr>
          </w:p>
        </w:tc>
        <w:sdt>
          <w:sdtPr>
            <w:rPr>
              <w:color w:val="000000" w:themeColor="text1"/>
              <w14:textFill>
                <w14:solidFill>
                  <w14:schemeClr w14:val="tx1"/>
                </w14:solidFill>
              </w14:textFill>
            </w:rPr>
            <w:alias w:val="前十名股东持有股份状态"/>
            <w:tag w:val="_GBC_d5194108b2a8481e94140819dbdc5afe"/>
            <w:id w:val="930945472"/>
            <w:comboBox>
              <w:listItem w:displayText="无" w:value="无"/>
              <w:listItem w:displayText="质押" w:value="质押"/>
              <w:listItem w:displayText="标记" w:value="标记"/>
              <w:listItem w:displayText="冻结" w:value="冻结"/>
              <w:listItem w:displayText="未知" w:value="未知"/>
            </w:comboBox>
          </w:sdtPr>
          <w:sdtEndPr>
            <w:rPr>
              <w:color w:val="000000" w:themeColor="text1"/>
              <w14:textFill>
                <w14:solidFill>
                  <w14:schemeClr w14:val="tx1"/>
                </w14:solidFill>
              </w14:textFill>
            </w:rPr>
          </w:sdtEndPr>
          <w:sdtContent>
            <w:tc>
              <w:tcPr>
                <w:tcW w:w="372" w:type="pct"/>
                <w:vAlign w:val="center"/>
              </w:tcPr>
              <w:p w14:paraId="7EB681A7">
                <w:pPr>
                  <w:jc w:val="center"/>
                  <w:rPr>
                    <w:color w:val="000000" w:themeColor="text1"/>
                    <w14:textFill>
                      <w14:solidFill>
                        <w14:schemeClr w14:val="tx1"/>
                      </w14:solidFill>
                    </w14:textFill>
                  </w:rPr>
                </w:pPr>
                <w:r>
                  <w:rPr>
                    <w:color w:val="000000" w:themeColor="text1"/>
                    <w14:textFill>
                      <w14:solidFill>
                        <w14:schemeClr w14:val="tx1"/>
                      </w14:solidFill>
                    </w14:textFill>
                  </w:rPr>
                  <w:t>质押</w:t>
                </w:r>
              </w:p>
            </w:tc>
          </w:sdtContent>
        </w:sdt>
        <w:tc>
          <w:tcPr>
            <w:tcW w:w="671" w:type="pct"/>
            <w:vAlign w:val="center"/>
          </w:tcPr>
          <w:p w14:paraId="3A98D3D6">
            <w:pPr>
              <w:jc w:val="right"/>
            </w:pPr>
            <w:r>
              <w:t>319,441,400</w:t>
            </w:r>
          </w:p>
        </w:tc>
        <w:sdt>
          <w:sdtPr>
            <w:rPr>
              <w:color w:val="000000" w:themeColor="text1"/>
              <w14:textFill>
                <w14:solidFill>
                  <w14:schemeClr w14:val="tx1"/>
                </w14:solidFill>
              </w14:textFill>
            </w:rPr>
            <w:alias w:val="前十名股东的股东性质"/>
            <w:tag w:val="_GBC_71380bc899eb4b9781e95e37e7a1e221"/>
            <w:id w:val="51796896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rPr>
              <w:color w:val="000000" w:themeColor="text1"/>
              <w14:textFill>
                <w14:solidFill>
                  <w14:schemeClr w14:val="tx1"/>
                </w14:solidFill>
              </w14:textFill>
            </w:rPr>
          </w:sdtEndPr>
          <w:sdtContent>
            <w:tc>
              <w:tcPr>
                <w:tcW w:w="969" w:type="pct"/>
                <w:gridSpan w:val="2"/>
                <w:vAlign w:val="center"/>
              </w:tcPr>
              <w:p w14:paraId="14038F70">
                <w:pPr>
                  <w:rPr>
                    <w:color w:val="000000" w:themeColor="text1"/>
                    <w14:textFill>
                      <w14:solidFill>
                        <w14:schemeClr w14:val="tx1"/>
                      </w14:solidFill>
                    </w14:textFill>
                  </w:rPr>
                </w:pPr>
                <w:r>
                  <w:rPr>
                    <w:color w:val="000000" w:themeColor="text1"/>
                    <w14:textFill>
                      <w14:solidFill>
                        <w14:schemeClr w14:val="tx1"/>
                      </w14:solidFill>
                    </w14:textFill>
                  </w:rPr>
                  <w:t>境内非国有法人</w:t>
                </w:r>
              </w:p>
            </w:tc>
          </w:sdtContent>
        </w:sdt>
      </w:tr>
      <w:tr w14:paraId="134C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20" w:type="pct"/>
            <w:vAlign w:val="center"/>
          </w:tcPr>
          <w:p w14:paraId="5E784574">
            <w:r>
              <w:rPr>
                <w:rFonts w:hint="eastAsia"/>
                <w:color w:val="000000"/>
              </w:rPr>
              <w:t>李茹</w:t>
            </w:r>
          </w:p>
        </w:tc>
        <w:tc>
          <w:tcPr>
            <w:tcW w:w="375" w:type="pct"/>
            <w:vAlign w:val="center"/>
          </w:tcPr>
          <w:p w14:paraId="470D57FE">
            <w:pPr>
              <w:jc w:val="right"/>
            </w:pPr>
          </w:p>
        </w:tc>
        <w:tc>
          <w:tcPr>
            <w:tcW w:w="745" w:type="pct"/>
            <w:vAlign w:val="center"/>
          </w:tcPr>
          <w:p w14:paraId="65F597D8">
            <w:pPr>
              <w:jc w:val="right"/>
            </w:pPr>
            <w:r>
              <w:rPr>
                <w:color w:val="000000"/>
              </w:rPr>
              <w:t>9,429,802</w:t>
            </w:r>
          </w:p>
        </w:tc>
        <w:tc>
          <w:tcPr>
            <w:tcW w:w="378" w:type="pct"/>
            <w:vAlign w:val="center"/>
          </w:tcPr>
          <w:p w14:paraId="19CF1AE1">
            <w:pPr>
              <w:jc w:val="right"/>
            </w:pPr>
            <w:r>
              <w:rPr>
                <w:rFonts w:hint="eastAsia"/>
                <w:color w:val="000000"/>
              </w:rPr>
              <w:t>0.65</w:t>
            </w:r>
          </w:p>
        </w:tc>
        <w:tc>
          <w:tcPr>
            <w:tcW w:w="370" w:type="pct"/>
            <w:vAlign w:val="center"/>
          </w:tcPr>
          <w:p w14:paraId="3946E24F">
            <w:pPr>
              <w:jc w:val="right"/>
            </w:pPr>
          </w:p>
        </w:tc>
        <w:sdt>
          <w:sdtPr>
            <w:rPr>
              <w:color w:val="000000" w:themeColor="text1"/>
              <w14:textFill>
                <w14:solidFill>
                  <w14:schemeClr w14:val="tx1"/>
                </w14:solidFill>
              </w14:textFill>
            </w:rPr>
            <w:alias w:val="前十名股东持有股份状态"/>
            <w:tag w:val="_GBC_d5194108b2a8481e94140819dbdc5afe"/>
            <w:id w:val="-1139956395"/>
            <w:comboBox>
              <w:listItem w:displayText="无" w:value="无"/>
              <w:listItem w:displayText="质押" w:value="质押"/>
              <w:listItem w:displayText="标记" w:value="标记"/>
              <w:listItem w:displayText="冻结" w:value="冻结"/>
              <w:listItem w:displayText="未知" w:value="未知"/>
            </w:comboBox>
          </w:sdtPr>
          <w:sdtEndPr>
            <w:rPr>
              <w:color w:val="000000" w:themeColor="text1"/>
              <w14:textFill>
                <w14:solidFill>
                  <w14:schemeClr w14:val="tx1"/>
                </w14:solidFill>
              </w14:textFill>
            </w:rPr>
          </w:sdtEndPr>
          <w:sdtContent>
            <w:tc>
              <w:tcPr>
                <w:tcW w:w="372" w:type="pct"/>
                <w:vAlign w:val="center"/>
              </w:tcPr>
              <w:p w14:paraId="6F64CFDB">
                <w:pPr>
                  <w:jc w:val="center"/>
                  <w:rPr>
                    <w:color w:val="000000" w:themeColor="text1"/>
                    <w14:textFill>
                      <w14:solidFill>
                        <w14:schemeClr w14:val="tx1"/>
                      </w14:solidFill>
                    </w14:textFill>
                  </w:rPr>
                </w:pPr>
                <w:r>
                  <w:rPr>
                    <w:color w:val="000000" w:themeColor="text1"/>
                    <w14:textFill>
                      <w14:solidFill>
                        <w14:schemeClr w14:val="tx1"/>
                      </w14:solidFill>
                    </w14:textFill>
                  </w:rPr>
                  <w:t>无</w:t>
                </w:r>
              </w:p>
            </w:tc>
          </w:sdtContent>
        </w:sdt>
        <w:tc>
          <w:tcPr>
            <w:tcW w:w="671" w:type="pct"/>
            <w:vAlign w:val="center"/>
          </w:tcPr>
          <w:p w14:paraId="0986F8A0">
            <w:pPr>
              <w:jc w:val="right"/>
            </w:pPr>
            <w:r>
              <w:rPr>
                <w:rFonts w:hint="eastAsia"/>
              </w:rPr>
              <w:t>0</w:t>
            </w:r>
          </w:p>
        </w:tc>
        <w:sdt>
          <w:sdtPr>
            <w:rPr>
              <w:color w:val="000000" w:themeColor="text1"/>
              <w14:textFill>
                <w14:solidFill>
                  <w14:schemeClr w14:val="tx1"/>
                </w14:solidFill>
              </w14:textFill>
            </w:rPr>
            <w:alias w:val="前十名股东的股东性质"/>
            <w:tag w:val="_GBC_71380bc899eb4b9781e95e37e7a1e221"/>
            <w:id w:val="565687355"/>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rPr>
              <w:color w:val="000000" w:themeColor="text1"/>
              <w14:textFill>
                <w14:solidFill>
                  <w14:schemeClr w14:val="tx1"/>
                </w14:solidFill>
              </w14:textFill>
            </w:rPr>
          </w:sdtEndPr>
          <w:sdtContent>
            <w:tc>
              <w:tcPr>
                <w:tcW w:w="969" w:type="pct"/>
                <w:gridSpan w:val="2"/>
                <w:vAlign w:val="center"/>
              </w:tcPr>
              <w:p w14:paraId="19FCD38A">
                <w:pPr>
                  <w:rPr>
                    <w:color w:val="000000" w:themeColor="text1"/>
                    <w14:textFill>
                      <w14:solidFill>
                        <w14:schemeClr w14:val="tx1"/>
                      </w14:solidFill>
                    </w14:textFill>
                  </w:rPr>
                </w:pPr>
                <w:r>
                  <w:rPr>
                    <w:color w:val="000000" w:themeColor="text1"/>
                    <w14:textFill>
                      <w14:solidFill>
                        <w14:schemeClr w14:val="tx1"/>
                      </w14:solidFill>
                    </w14:textFill>
                  </w:rPr>
                  <w:t>境内自然人</w:t>
                </w:r>
              </w:p>
            </w:tc>
          </w:sdtContent>
        </w:sdt>
      </w:tr>
      <w:tr w14:paraId="59A3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20" w:type="pct"/>
            <w:vAlign w:val="center"/>
          </w:tcPr>
          <w:p w14:paraId="6A3D5473">
            <w:r>
              <w:rPr>
                <w:rFonts w:hint="eastAsia"/>
                <w:color w:val="000000"/>
              </w:rPr>
              <w:t>吴绍金</w:t>
            </w:r>
          </w:p>
        </w:tc>
        <w:tc>
          <w:tcPr>
            <w:tcW w:w="375" w:type="pct"/>
            <w:vAlign w:val="center"/>
          </w:tcPr>
          <w:p w14:paraId="4DDDAD52">
            <w:pPr>
              <w:jc w:val="right"/>
            </w:pPr>
          </w:p>
        </w:tc>
        <w:tc>
          <w:tcPr>
            <w:tcW w:w="745" w:type="pct"/>
            <w:vAlign w:val="center"/>
          </w:tcPr>
          <w:p w14:paraId="4C4F120F">
            <w:pPr>
              <w:jc w:val="right"/>
            </w:pPr>
            <w:r>
              <w:rPr>
                <w:color w:val="000000"/>
              </w:rPr>
              <w:t>6,588,800</w:t>
            </w:r>
          </w:p>
        </w:tc>
        <w:tc>
          <w:tcPr>
            <w:tcW w:w="378" w:type="pct"/>
            <w:vAlign w:val="center"/>
          </w:tcPr>
          <w:p w14:paraId="1074992D">
            <w:pPr>
              <w:jc w:val="right"/>
            </w:pPr>
            <w:r>
              <w:rPr>
                <w:rFonts w:hint="eastAsia"/>
                <w:color w:val="000000"/>
              </w:rPr>
              <w:t>0.45</w:t>
            </w:r>
          </w:p>
        </w:tc>
        <w:tc>
          <w:tcPr>
            <w:tcW w:w="370" w:type="pct"/>
            <w:vAlign w:val="center"/>
          </w:tcPr>
          <w:p w14:paraId="64251103">
            <w:pPr>
              <w:jc w:val="right"/>
            </w:pPr>
          </w:p>
        </w:tc>
        <w:sdt>
          <w:sdtPr>
            <w:rPr>
              <w:color w:val="000000" w:themeColor="text1"/>
              <w14:textFill>
                <w14:solidFill>
                  <w14:schemeClr w14:val="tx1"/>
                </w14:solidFill>
              </w14:textFill>
            </w:rPr>
            <w:alias w:val="前十名股东持有股份状态"/>
            <w:tag w:val="_GBC_d5194108b2a8481e94140819dbdc5afe"/>
            <w:id w:val="-1478451369"/>
            <w:comboBox>
              <w:listItem w:displayText="无" w:value="无"/>
              <w:listItem w:displayText="质押" w:value="质押"/>
              <w:listItem w:displayText="标记" w:value="标记"/>
              <w:listItem w:displayText="冻结" w:value="冻结"/>
              <w:listItem w:displayText="未知" w:value="未知"/>
            </w:comboBox>
          </w:sdtPr>
          <w:sdtEndPr>
            <w:rPr>
              <w:color w:val="000000" w:themeColor="text1"/>
              <w14:textFill>
                <w14:solidFill>
                  <w14:schemeClr w14:val="tx1"/>
                </w14:solidFill>
              </w14:textFill>
            </w:rPr>
          </w:sdtEndPr>
          <w:sdtContent>
            <w:tc>
              <w:tcPr>
                <w:tcW w:w="372" w:type="pct"/>
                <w:vAlign w:val="center"/>
              </w:tcPr>
              <w:p w14:paraId="7D0A8CBC">
                <w:pPr>
                  <w:jc w:val="center"/>
                  <w:rPr>
                    <w:color w:val="000000" w:themeColor="text1"/>
                    <w14:textFill>
                      <w14:solidFill>
                        <w14:schemeClr w14:val="tx1"/>
                      </w14:solidFill>
                    </w14:textFill>
                  </w:rPr>
                </w:pPr>
                <w:r>
                  <w:rPr>
                    <w:color w:val="000000" w:themeColor="text1"/>
                    <w14:textFill>
                      <w14:solidFill>
                        <w14:schemeClr w14:val="tx1"/>
                      </w14:solidFill>
                    </w14:textFill>
                  </w:rPr>
                  <w:t>无</w:t>
                </w:r>
              </w:p>
            </w:tc>
          </w:sdtContent>
        </w:sdt>
        <w:tc>
          <w:tcPr>
            <w:tcW w:w="671" w:type="pct"/>
            <w:vAlign w:val="center"/>
          </w:tcPr>
          <w:p w14:paraId="18C5F0AD">
            <w:pPr>
              <w:jc w:val="right"/>
            </w:pPr>
            <w:r>
              <w:rPr>
                <w:rFonts w:hint="eastAsia"/>
              </w:rPr>
              <w:t>0</w:t>
            </w:r>
          </w:p>
        </w:tc>
        <w:sdt>
          <w:sdtPr>
            <w:rPr>
              <w:color w:val="000000" w:themeColor="text1"/>
              <w14:textFill>
                <w14:solidFill>
                  <w14:schemeClr w14:val="tx1"/>
                </w14:solidFill>
              </w14:textFill>
            </w:rPr>
            <w:alias w:val="前十名股东的股东性质"/>
            <w:tag w:val="_GBC_71380bc899eb4b9781e95e37e7a1e221"/>
            <w:id w:val="77676003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rPr>
              <w:color w:val="000000" w:themeColor="text1"/>
              <w14:textFill>
                <w14:solidFill>
                  <w14:schemeClr w14:val="tx1"/>
                </w14:solidFill>
              </w14:textFill>
            </w:rPr>
          </w:sdtEndPr>
          <w:sdtContent>
            <w:tc>
              <w:tcPr>
                <w:tcW w:w="969" w:type="pct"/>
                <w:gridSpan w:val="2"/>
                <w:vAlign w:val="center"/>
              </w:tcPr>
              <w:p w14:paraId="7CAED15E">
                <w:pPr>
                  <w:rPr>
                    <w:color w:val="000000" w:themeColor="text1"/>
                    <w14:textFill>
                      <w14:solidFill>
                        <w14:schemeClr w14:val="tx1"/>
                      </w14:solidFill>
                    </w14:textFill>
                  </w:rPr>
                </w:pPr>
                <w:r>
                  <w:rPr>
                    <w:color w:val="000000" w:themeColor="text1"/>
                    <w14:textFill>
                      <w14:solidFill>
                        <w14:schemeClr w14:val="tx1"/>
                      </w14:solidFill>
                    </w14:textFill>
                  </w:rPr>
                  <w:t>境内自然人</w:t>
                </w:r>
              </w:p>
            </w:tc>
          </w:sdtContent>
        </w:sdt>
      </w:tr>
      <w:tr w14:paraId="77B9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20" w:type="pct"/>
            <w:vAlign w:val="center"/>
          </w:tcPr>
          <w:p w14:paraId="5FAA2F82">
            <w:r>
              <w:rPr>
                <w:rFonts w:hint="eastAsia"/>
                <w:color w:val="000000"/>
              </w:rPr>
              <w:t>吕青青</w:t>
            </w:r>
          </w:p>
        </w:tc>
        <w:tc>
          <w:tcPr>
            <w:tcW w:w="375" w:type="pct"/>
            <w:vAlign w:val="center"/>
          </w:tcPr>
          <w:p w14:paraId="1EED8810">
            <w:pPr>
              <w:jc w:val="right"/>
            </w:pPr>
          </w:p>
        </w:tc>
        <w:tc>
          <w:tcPr>
            <w:tcW w:w="745" w:type="pct"/>
            <w:vAlign w:val="center"/>
          </w:tcPr>
          <w:p w14:paraId="19898EA1">
            <w:pPr>
              <w:jc w:val="right"/>
            </w:pPr>
            <w:r>
              <w:rPr>
                <w:color w:val="000000"/>
              </w:rPr>
              <w:t>5,882,800</w:t>
            </w:r>
          </w:p>
        </w:tc>
        <w:tc>
          <w:tcPr>
            <w:tcW w:w="378" w:type="pct"/>
            <w:vAlign w:val="center"/>
          </w:tcPr>
          <w:p w14:paraId="4D316E89">
            <w:pPr>
              <w:jc w:val="right"/>
            </w:pPr>
            <w:r>
              <w:rPr>
                <w:rFonts w:hint="eastAsia"/>
                <w:color w:val="000000"/>
              </w:rPr>
              <w:t>0.40</w:t>
            </w:r>
          </w:p>
        </w:tc>
        <w:tc>
          <w:tcPr>
            <w:tcW w:w="370" w:type="pct"/>
            <w:vAlign w:val="center"/>
          </w:tcPr>
          <w:p w14:paraId="7C6A5283">
            <w:pPr>
              <w:jc w:val="right"/>
            </w:pPr>
          </w:p>
        </w:tc>
        <w:sdt>
          <w:sdtPr>
            <w:rPr>
              <w:color w:val="000000" w:themeColor="text1"/>
              <w14:textFill>
                <w14:solidFill>
                  <w14:schemeClr w14:val="tx1"/>
                </w14:solidFill>
              </w14:textFill>
            </w:rPr>
            <w:alias w:val="前十名股东持有股份状态"/>
            <w:tag w:val="_GBC_d5194108b2a8481e94140819dbdc5afe"/>
            <w:id w:val="-1535950396"/>
            <w:comboBox>
              <w:listItem w:displayText="无" w:value="无"/>
              <w:listItem w:displayText="质押" w:value="质押"/>
              <w:listItem w:displayText="标记" w:value="标记"/>
              <w:listItem w:displayText="冻结" w:value="冻结"/>
              <w:listItem w:displayText="未知" w:value="未知"/>
            </w:comboBox>
          </w:sdtPr>
          <w:sdtEndPr>
            <w:rPr>
              <w:color w:val="000000" w:themeColor="text1"/>
              <w14:textFill>
                <w14:solidFill>
                  <w14:schemeClr w14:val="tx1"/>
                </w14:solidFill>
              </w14:textFill>
            </w:rPr>
          </w:sdtEndPr>
          <w:sdtContent>
            <w:tc>
              <w:tcPr>
                <w:tcW w:w="372" w:type="pct"/>
                <w:vAlign w:val="center"/>
              </w:tcPr>
              <w:p w14:paraId="15EC5624">
                <w:pPr>
                  <w:jc w:val="center"/>
                  <w:rPr>
                    <w:color w:val="000000" w:themeColor="text1"/>
                    <w14:textFill>
                      <w14:solidFill>
                        <w14:schemeClr w14:val="tx1"/>
                      </w14:solidFill>
                    </w14:textFill>
                  </w:rPr>
                </w:pPr>
                <w:r>
                  <w:rPr>
                    <w:color w:val="000000" w:themeColor="text1"/>
                    <w14:textFill>
                      <w14:solidFill>
                        <w14:schemeClr w14:val="tx1"/>
                      </w14:solidFill>
                    </w14:textFill>
                  </w:rPr>
                  <w:t>无</w:t>
                </w:r>
              </w:p>
            </w:tc>
          </w:sdtContent>
        </w:sdt>
        <w:tc>
          <w:tcPr>
            <w:tcW w:w="671" w:type="pct"/>
            <w:vAlign w:val="center"/>
          </w:tcPr>
          <w:p w14:paraId="26B161F2">
            <w:pPr>
              <w:jc w:val="right"/>
            </w:pPr>
            <w:r>
              <w:rPr>
                <w:rFonts w:hint="eastAsia"/>
              </w:rPr>
              <w:t>0</w:t>
            </w:r>
          </w:p>
        </w:tc>
        <w:sdt>
          <w:sdtPr>
            <w:rPr>
              <w:color w:val="000000" w:themeColor="text1"/>
              <w14:textFill>
                <w14:solidFill>
                  <w14:schemeClr w14:val="tx1"/>
                </w14:solidFill>
              </w14:textFill>
            </w:rPr>
            <w:alias w:val="前十名股东的股东性质"/>
            <w:tag w:val="_GBC_71380bc899eb4b9781e95e37e7a1e221"/>
            <w:id w:val="1536697506"/>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rPr>
              <w:color w:val="000000" w:themeColor="text1"/>
              <w14:textFill>
                <w14:solidFill>
                  <w14:schemeClr w14:val="tx1"/>
                </w14:solidFill>
              </w14:textFill>
            </w:rPr>
          </w:sdtEndPr>
          <w:sdtContent>
            <w:tc>
              <w:tcPr>
                <w:tcW w:w="969" w:type="pct"/>
                <w:gridSpan w:val="2"/>
                <w:vAlign w:val="center"/>
              </w:tcPr>
              <w:p w14:paraId="7E074399">
                <w:pPr>
                  <w:rPr>
                    <w:color w:val="000000" w:themeColor="text1"/>
                    <w14:textFill>
                      <w14:solidFill>
                        <w14:schemeClr w14:val="tx1"/>
                      </w14:solidFill>
                    </w14:textFill>
                  </w:rPr>
                </w:pPr>
                <w:r>
                  <w:rPr>
                    <w:color w:val="000000" w:themeColor="text1"/>
                    <w14:textFill>
                      <w14:solidFill>
                        <w14:schemeClr w14:val="tx1"/>
                      </w14:solidFill>
                    </w14:textFill>
                  </w:rPr>
                  <w:t>境内自然人</w:t>
                </w:r>
              </w:p>
            </w:tc>
          </w:sdtContent>
        </w:sdt>
      </w:tr>
      <w:tr w14:paraId="74D6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20" w:type="pct"/>
            <w:vAlign w:val="center"/>
          </w:tcPr>
          <w:p w14:paraId="179C7B46">
            <w:r>
              <w:rPr>
                <w:rFonts w:hint="eastAsia"/>
                <w:color w:val="000000"/>
              </w:rPr>
              <w:t>唐传勤</w:t>
            </w:r>
          </w:p>
        </w:tc>
        <w:tc>
          <w:tcPr>
            <w:tcW w:w="375" w:type="pct"/>
            <w:vAlign w:val="center"/>
          </w:tcPr>
          <w:p w14:paraId="6931DAA9">
            <w:pPr>
              <w:jc w:val="right"/>
            </w:pPr>
          </w:p>
        </w:tc>
        <w:tc>
          <w:tcPr>
            <w:tcW w:w="745" w:type="pct"/>
            <w:vAlign w:val="center"/>
          </w:tcPr>
          <w:p w14:paraId="389E6202">
            <w:pPr>
              <w:jc w:val="right"/>
            </w:pPr>
            <w:r>
              <w:rPr>
                <w:color w:val="000000"/>
              </w:rPr>
              <w:t>5,000,000</w:t>
            </w:r>
          </w:p>
        </w:tc>
        <w:tc>
          <w:tcPr>
            <w:tcW w:w="378" w:type="pct"/>
            <w:vAlign w:val="center"/>
          </w:tcPr>
          <w:p w14:paraId="2F22ADAF">
            <w:pPr>
              <w:jc w:val="right"/>
            </w:pPr>
            <w:r>
              <w:rPr>
                <w:rFonts w:hint="eastAsia"/>
                <w:color w:val="000000"/>
              </w:rPr>
              <w:t>0.34</w:t>
            </w:r>
          </w:p>
        </w:tc>
        <w:tc>
          <w:tcPr>
            <w:tcW w:w="370" w:type="pct"/>
            <w:vAlign w:val="center"/>
          </w:tcPr>
          <w:p w14:paraId="606DECF0">
            <w:pPr>
              <w:jc w:val="right"/>
            </w:pPr>
          </w:p>
        </w:tc>
        <w:sdt>
          <w:sdtPr>
            <w:rPr>
              <w:color w:val="000000" w:themeColor="text1"/>
              <w14:textFill>
                <w14:solidFill>
                  <w14:schemeClr w14:val="tx1"/>
                </w14:solidFill>
              </w14:textFill>
            </w:rPr>
            <w:alias w:val="前十名股东持有股份状态"/>
            <w:tag w:val="_GBC_d5194108b2a8481e94140819dbdc5afe"/>
            <w:id w:val="-1147890541"/>
            <w:comboBox>
              <w:listItem w:displayText="无" w:value="无"/>
              <w:listItem w:displayText="质押" w:value="质押"/>
              <w:listItem w:displayText="标记" w:value="标记"/>
              <w:listItem w:displayText="冻结" w:value="冻结"/>
              <w:listItem w:displayText="未知" w:value="未知"/>
            </w:comboBox>
          </w:sdtPr>
          <w:sdtEndPr>
            <w:rPr>
              <w:color w:val="000000" w:themeColor="text1"/>
              <w14:textFill>
                <w14:solidFill>
                  <w14:schemeClr w14:val="tx1"/>
                </w14:solidFill>
              </w14:textFill>
            </w:rPr>
          </w:sdtEndPr>
          <w:sdtContent>
            <w:tc>
              <w:tcPr>
                <w:tcW w:w="372" w:type="pct"/>
                <w:vAlign w:val="center"/>
              </w:tcPr>
              <w:p w14:paraId="74278F46">
                <w:pPr>
                  <w:jc w:val="center"/>
                  <w:rPr>
                    <w:color w:val="000000" w:themeColor="text1"/>
                    <w14:textFill>
                      <w14:solidFill>
                        <w14:schemeClr w14:val="tx1"/>
                      </w14:solidFill>
                    </w14:textFill>
                  </w:rPr>
                </w:pPr>
                <w:r>
                  <w:rPr>
                    <w:color w:val="000000" w:themeColor="text1"/>
                    <w14:textFill>
                      <w14:solidFill>
                        <w14:schemeClr w14:val="tx1"/>
                      </w14:solidFill>
                    </w14:textFill>
                  </w:rPr>
                  <w:t>无</w:t>
                </w:r>
              </w:p>
            </w:tc>
          </w:sdtContent>
        </w:sdt>
        <w:tc>
          <w:tcPr>
            <w:tcW w:w="671" w:type="pct"/>
            <w:vAlign w:val="center"/>
          </w:tcPr>
          <w:p w14:paraId="2CB05356">
            <w:pPr>
              <w:jc w:val="right"/>
            </w:pPr>
            <w:r>
              <w:rPr>
                <w:rFonts w:hint="eastAsia"/>
              </w:rPr>
              <w:t>0</w:t>
            </w:r>
          </w:p>
        </w:tc>
        <w:sdt>
          <w:sdtPr>
            <w:rPr>
              <w:color w:val="000000" w:themeColor="text1"/>
              <w14:textFill>
                <w14:solidFill>
                  <w14:schemeClr w14:val="tx1"/>
                </w14:solidFill>
              </w14:textFill>
            </w:rPr>
            <w:alias w:val="前十名股东的股东性质"/>
            <w:tag w:val="_GBC_71380bc899eb4b9781e95e37e7a1e221"/>
            <w:id w:val="96392563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rPr>
              <w:color w:val="000000" w:themeColor="text1"/>
              <w14:textFill>
                <w14:solidFill>
                  <w14:schemeClr w14:val="tx1"/>
                </w14:solidFill>
              </w14:textFill>
            </w:rPr>
          </w:sdtEndPr>
          <w:sdtContent>
            <w:tc>
              <w:tcPr>
                <w:tcW w:w="969" w:type="pct"/>
                <w:gridSpan w:val="2"/>
                <w:vAlign w:val="center"/>
              </w:tcPr>
              <w:p w14:paraId="0379DB18">
                <w:pPr>
                  <w:rPr>
                    <w:color w:val="000000" w:themeColor="text1"/>
                    <w14:textFill>
                      <w14:solidFill>
                        <w14:schemeClr w14:val="tx1"/>
                      </w14:solidFill>
                    </w14:textFill>
                  </w:rPr>
                </w:pPr>
                <w:r>
                  <w:rPr>
                    <w:color w:val="000000" w:themeColor="text1"/>
                    <w14:textFill>
                      <w14:solidFill>
                        <w14:schemeClr w14:val="tx1"/>
                      </w14:solidFill>
                    </w14:textFill>
                  </w:rPr>
                  <w:t>境内自然人</w:t>
                </w:r>
              </w:p>
            </w:tc>
          </w:sdtContent>
        </w:sdt>
      </w:tr>
      <w:tr w14:paraId="55F8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20" w:type="pct"/>
            <w:vAlign w:val="center"/>
          </w:tcPr>
          <w:p w14:paraId="71957F7B">
            <w:r>
              <w:rPr>
                <w:rFonts w:hint="eastAsia"/>
                <w:color w:val="000000"/>
              </w:rPr>
              <w:t>薛青洁</w:t>
            </w:r>
          </w:p>
        </w:tc>
        <w:tc>
          <w:tcPr>
            <w:tcW w:w="375" w:type="pct"/>
            <w:vAlign w:val="center"/>
          </w:tcPr>
          <w:p w14:paraId="0F487FC2">
            <w:pPr>
              <w:jc w:val="right"/>
            </w:pPr>
          </w:p>
        </w:tc>
        <w:tc>
          <w:tcPr>
            <w:tcW w:w="745" w:type="pct"/>
            <w:vAlign w:val="center"/>
          </w:tcPr>
          <w:p w14:paraId="6B59E282">
            <w:pPr>
              <w:jc w:val="right"/>
            </w:pPr>
            <w:r>
              <w:rPr>
                <w:color w:val="000000"/>
              </w:rPr>
              <w:t>4,596,300</w:t>
            </w:r>
          </w:p>
        </w:tc>
        <w:tc>
          <w:tcPr>
            <w:tcW w:w="378" w:type="pct"/>
            <w:vAlign w:val="center"/>
          </w:tcPr>
          <w:p w14:paraId="7253756F">
            <w:pPr>
              <w:jc w:val="right"/>
            </w:pPr>
            <w:r>
              <w:rPr>
                <w:rFonts w:hint="eastAsia"/>
                <w:color w:val="000000"/>
              </w:rPr>
              <w:t>0.31</w:t>
            </w:r>
          </w:p>
        </w:tc>
        <w:tc>
          <w:tcPr>
            <w:tcW w:w="370" w:type="pct"/>
            <w:vAlign w:val="center"/>
          </w:tcPr>
          <w:p w14:paraId="06CD05DC">
            <w:pPr>
              <w:jc w:val="right"/>
            </w:pPr>
          </w:p>
        </w:tc>
        <w:sdt>
          <w:sdtPr>
            <w:rPr>
              <w:color w:val="000000" w:themeColor="text1"/>
              <w14:textFill>
                <w14:solidFill>
                  <w14:schemeClr w14:val="tx1"/>
                </w14:solidFill>
              </w14:textFill>
            </w:rPr>
            <w:alias w:val="前十名股东持有股份状态"/>
            <w:tag w:val="_GBC_d5194108b2a8481e94140819dbdc5afe"/>
            <w:id w:val="-1484454669"/>
            <w:comboBox>
              <w:listItem w:displayText="无" w:value="无"/>
              <w:listItem w:displayText="质押" w:value="质押"/>
              <w:listItem w:displayText="标记" w:value="标记"/>
              <w:listItem w:displayText="冻结" w:value="冻结"/>
              <w:listItem w:displayText="未知" w:value="未知"/>
            </w:comboBox>
          </w:sdtPr>
          <w:sdtEndPr>
            <w:rPr>
              <w:color w:val="000000" w:themeColor="text1"/>
              <w14:textFill>
                <w14:solidFill>
                  <w14:schemeClr w14:val="tx1"/>
                </w14:solidFill>
              </w14:textFill>
            </w:rPr>
          </w:sdtEndPr>
          <w:sdtContent>
            <w:tc>
              <w:tcPr>
                <w:tcW w:w="372" w:type="pct"/>
                <w:vAlign w:val="center"/>
              </w:tcPr>
              <w:p w14:paraId="02667702">
                <w:pPr>
                  <w:jc w:val="center"/>
                  <w:rPr>
                    <w:color w:val="000000" w:themeColor="text1"/>
                    <w14:textFill>
                      <w14:solidFill>
                        <w14:schemeClr w14:val="tx1"/>
                      </w14:solidFill>
                    </w14:textFill>
                  </w:rPr>
                </w:pPr>
                <w:r>
                  <w:rPr>
                    <w:color w:val="000000" w:themeColor="text1"/>
                    <w14:textFill>
                      <w14:solidFill>
                        <w14:schemeClr w14:val="tx1"/>
                      </w14:solidFill>
                    </w14:textFill>
                  </w:rPr>
                  <w:t>无</w:t>
                </w:r>
              </w:p>
            </w:tc>
          </w:sdtContent>
        </w:sdt>
        <w:tc>
          <w:tcPr>
            <w:tcW w:w="671" w:type="pct"/>
            <w:vAlign w:val="center"/>
          </w:tcPr>
          <w:p w14:paraId="2FF0300A">
            <w:pPr>
              <w:jc w:val="right"/>
            </w:pPr>
            <w:r>
              <w:rPr>
                <w:rFonts w:hint="eastAsia"/>
              </w:rPr>
              <w:t>0</w:t>
            </w:r>
          </w:p>
        </w:tc>
        <w:sdt>
          <w:sdtPr>
            <w:rPr>
              <w:color w:val="000000" w:themeColor="text1"/>
              <w14:textFill>
                <w14:solidFill>
                  <w14:schemeClr w14:val="tx1"/>
                </w14:solidFill>
              </w14:textFill>
            </w:rPr>
            <w:alias w:val="前十名股东的股东性质"/>
            <w:tag w:val="_GBC_71380bc899eb4b9781e95e37e7a1e221"/>
            <w:id w:val="367185130"/>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rPr>
              <w:color w:val="000000" w:themeColor="text1"/>
              <w14:textFill>
                <w14:solidFill>
                  <w14:schemeClr w14:val="tx1"/>
                </w14:solidFill>
              </w14:textFill>
            </w:rPr>
          </w:sdtEndPr>
          <w:sdtContent>
            <w:tc>
              <w:tcPr>
                <w:tcW w:w="969" w:type="pct"/>
                <w:gridSpan w:val="2"/>
                <w:vAlign w:val="center"/>
              </w:tcPr>
              <w:p w14:paraId="2C6FBED6">
                <w:pPr>
                  <w:rPr>
                    <w:color w:val="000000" w:themeColor="text1"/>
                    <w14:textFill>
                      <w14:solidFill>
                        <w14:schemeClr w14:val="tx1"/>
                      </w14:solidFill>
                    </w14:textFill>
                  </w:rPr>
                </w:pPr>
                <w:r>
                  <w:rPr>
                    <w:color w:val="000000" w:themeColor="text1"/>
                    <w14:textFill>
                      <w14:solidFill>
                        <w14:schemeClr w14:val="tx1"/>
                      </w14:solidFill>
                    </w14:textFill>
                  </w:rPr>
                  <w:t>境内自然人</w:t>
                </w:r>
              </w:p>
            </w:tc>
          </w:sdtContent>
        </w:sdt>
      </w:tr>
      <w:tr w14:paraId="76DB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20" w:type="pct"/>
            <w:vAlign w:val="center"/>
          </w:tcPr>
          <w:p w14:paraId="4802CDB3">
            <w:r>
              <w:rPr>
                <w:rFonts w:hint="eastAsia"/>
                <w:color w:val="000000"/>
              </w:rPr>
              <w:t>李爱社</w:t>
            </w:r>
          </w:p>
        </w:tc>
        <w:tc>
          <w:tcPr>
            <w:tcW w:w="375" w:type="pct"/>
            <w:vAlign w:val="center"/>
          </w:tcPr>
          <w:p w14:paraId="2E9A329B">
            <w:pPr>
              <w:jc w:val="right"/>
            </w:pPr>
          </w:p>
        </w:tc>
        <w:tc>
          <w:tcPr>
            <w:tcW w:w="745" w:type="pct"/>
            <w:vAlign w:val="center"/>
          </w:tcPr>
          <w:p w14:paraId="6C943155">
            <w:pPr>
              <w:jc w:val="right"/>
            </w:pPr>
            <w:r>
              <w:rPr>
                <w:color w:val="000000"/>
              </w:rPr>
              <w:t>3,751,800</w:t>
            </w:r>
          </w:p>
        </w:tc>
        <w:tc>
          <w:tcPr>
            <w:tcW w:w="378" w:type="pct"/>
            <w:vAlign w:val="center"/>
          </w:tcPr>
          <w:p w14:paraId="0C357F98">
            <w:pPr>
              <w:jc w:val="right"/>
            </w:pPr>
            <w:r>
              <w:rPr>
                <w:rFonts w:hint="eastAsia"/>
                <w:color w:val="000000"/>
              </w:rPr>
              <w:t>0.26</w:t>
            </w:r>
          </w:p>
        </w:tc>
        <w:tc>
          <w:tcPr>
            <w:tcW w:w="370" w:type="pct"/>
            <w:vAlign w:val="center"/>
          </w:tcPr>
          <w:p w14:paraId="7B6CAB7A">
            <w:pPr>
              <w:jc w:val="right"/>
            </w:pPr>
          </w:p>
        </w:tc>
        <w:sdt>
          <w:sdtPr>
            <w:rPr>
              <w:color w:val="000000" w:themeColor="text1"/>
              <w14:textFill>
                <w14:solidFill>
                  <w14:schemeClr w14:val="tx1"/>
                </w14:solidFill>
              </w14:textFill>
            </w:rPr>
            <w:alias w:val="前十名股东持有股份状态"/>
            <w:tag w:val="_GBC_d5194108b2a8481e94140819dbdc5afe"/>
            <w:id w:val="-1730761283"/>
            <w:comboBox>
              <w:listItem w:displayText="无" w:value="无"/>
              <w:listItem w:displayText="质押" w:value="质押"/>
              <w:listItem w:displayText="标记" w:value="标记"/>
              <w:listItem w:displayText="冻结" w:value="冻结"/>
              <w:listItem w:displayText="未知" w:value="未知"/>
            </w:comboBox>
          </w:sdtPr>
          <w:sdtEndPr>
            <w:rPr>
              <w:color w:val="000000" w:themeColor="text1"/>
              <w14:textFill>
                <w14:solidFill>
                  <w14:schemeClr w14:val="tx1"/>
                </w14:solidFill>
              </w14:textFill>
            </w:rPr>
          </w:sdtEndPr>
          <w:sdtContent>
            <w:tc>
              <w:tcPr>
                <w:tcW w:w="372" w:type="pct"/>
                <w:vAlign w:val="center"/>
              </w:tcPr>
              <w:p w14:paraId="12FB6F8B">
                <w:pPr>
                  <w:jc w:val="center"/>
                  <w:rPr>
                    <w:color w:val="000000" w:themeColor="text1"/>
                    <w14:textFill>
                      <w14:solidFill>
                        <w14:schemeClr w14:val="tx1"/>
                      </w14:solidFill>
                    </w14:textFill>
                  </w:rPr>
                </w:pPr>
                <w:r>
                  <w:rPr>
                    <w:color w:val="000000" w:themeColor="text1"/>
                    <w14:textFill>
                      <w14:solidFill>
                        <w14:schemeClr w14:val="tx1"/>
                      </w14:solidFill>
                    </w14:textFill>
                  </w:rPr>
                  <w:t>无</w:t>
                </w:r>
              </w:p>
            </w:tc>
          </w:sdtContent>
        </w:sdt>
        <w:tc>
          <w:tcPr>
            <w:tcW w:w="671" w:type="pct"/>
            <w:vAlign w:val="center"/>
          </w:tcPr>
          <w:p w14:paraId="52F2E3AA">
            <w:pPr>
              <w:jc w:val="right"/>
            </w:pPr>
            <w:r>
              <w:rPr>
                <w:rFonts w:hint="eastAsia"/>
              </w:rPr>
              <w:t>0</w:t>
            </w:r>
          </w:p>
        </w:tc>
        <w:sdt>
          <w:sdtPr>
            <w:rPr>
              <w:color w:val="000000" w:themeColor="text1"/>
              <w14:textFill>
                <w14:solidFill>
                  <w14:schemeClr w14:val="tx1"/>
                </w14:solidFill>
              </w14:textFill>
            </w:rPr>
            <w:alias w:val="前十名股东的股东性质"/>
            <w:tag w:val="_GBC_71380bc899eb4b9781e95e37e7a1e221"/>
            <w:id w:val="-162368136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rPr>
              <w:color w:val="000000" w:themeColor="text1"/>
              <w14:textFill>
                <w14:solidFill>
                  <w14:schemeClr w14:val="tx1"/>
                </w14:solidFill>
              </w14:textFill>
            </w:rPr>
          </w:sdtEndPr>
          <w:sdtContent>
            <w:tc>
              <w:tcPr>
                <w:tcW w:w="969" w:type="pct"/>
                <w:gridSpan w:val="2"/>
                <w:vAlign w:val="center"/>
              </w:tcPr>
              <w:p w14:paraId="4B14C520">
                <w:pPr>
                  <w:rPr>
                    <w:color w:val="000000" w:themeColor="text1"/>
                    <w14:textFill>
                      <w14:solidFill>
                        <w14:schemeClr w14:val="tx1"/>
                      </w14:solidFill>
                    </w14:textFill>
                  </w:rPr>
                </w:pPr>
                <w:r>
                  <w:rPr>
                    <w:color w:val="000000" w:themeColor="text1"/>
                    <w14:textFill>
                      <w14:solidFill>
                        <w14:schemeClr w14:val="tx1"/>
                      </w14:solidFill>
                    </w14:textFill>
                  </w:rPr>
                  <w:t>境内自然人</w:t>
                </w:r>
              </w:p>
            </w:tc>
          </w:sdtContent>
        </w:sdt>
      </w:tr>
      <w:tr w14:paraId="4EF3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20" w:type="pct"/>
            <w:vAlign w:val="center"/>
          </w:tcPr>
          <w:p w14:paraId="55CD61FC">
            <w:r>
              <w:rPr>
                <w:rFonts w:hint="eastAsia"/>
                <w:color w:val="000000"/>
              </w:rPr>
              <w:t>宋兴</w:t>
            </w:r>
          </w:p>
        </w:tc>
        <w:tc>
          <w:tcPr>
            <w:tcW w:w="375" w:type="pct"/>
            <w:vAlign w:val="center"/>
          </w:tcPr>
          <w:p w14:paraId="4334D9C9">
            <w:pPr>
              <w:jc w:val="right"/>
            </w:pPr>
          </w:p>
        </w:tc>
        <w:tc>
          <w:tcPr>
            <w:tcW w:w="745" w:type="pct"/>
            <w:vAlign w:val="center"/>
          </w:tcPr>
          <w:p w14:paraId="5D93DAAB">
            <w:pPr>
              <w:jc w:val="right"/>
            </w:pPr>
            <w:r>
              <w:rPr>
                <w:color w:val="000000"/>
              </w:rPr>
              <w:t>3,698,000</w:t>
            </w:r>
          </w:p>
        </w:tc>
        <w:tc>
          <w:tcPr>
            <w:tcW w:w="378" w:type="pct"/>
            <w:vAlign w:val="center"/>
          </w:tcPr>
          <w:p w14:paraId="0C38CC7C">
            <w:pPr>
              <w:jc w:val="right"/>
            </w:pPr>
            <w:r>
              <w:rPr>
                <w:rFonts w:hint="eastAsia"/>
                <w:color w:val="000000"/>
              </w:rPr>
              <w:t>0.25</w:t>
            </w:r>
          </w:p>
        </w:tc>
        <w:tc>
          <w:tcPr>
            <w:tcW w:w="370" w:type="pct"/>
            <w:vAlign w:val="center"/>
          </w:tcPr>
          <w:p w14:paraId="7A0955E9">
            <w:pPr>
              <w:jc w:val="right"/>
            </w:pPr>
          </w:p>
        </w:tc>
        <w:sdt>
          <w:sdtPr>
            <w:rPr>
              <w:color w:val="000000" w:themeColor="text1"/>
              <w14:textFill>
                <w14:solidFill>
                  <w14:schemeClr w14:val="tx1"/>
                </w14:solidFill>
              </w14:textFill>
            </w:rPr>
            <w:alias w:val="前十名股东持有股份状态"/>
            <w:tag w:val="_GBC_d5194108b2a8481e94140819dbdc5afe"/>
            <w:id w:val="1134303398"/>
            <w:comboBox>
              <w:listItem w:displayText="无" w:value="无"/>
              <w:listItem w:displayText="质押" w:value="质押"/>
              <w:listItem w:displayText="标记" w:value="标记"/>
              <w:listItem w:displayText="冻结" w:value="冻结"/>
              <w:listItem w:displayText="未知" w:value="未知"/>
            </w:comboBox>
          </w:sdtPr>
          <w:sdtEndPr>
            <w:rPr>
              <w:color w:val="000000" w:themeColor="text1"/>
              <w14:textFill>
                <w14:solidFill>
                  <w14:schemeClr w14:val="tx1"/>
                </w14:solidFill>
              </w14:textFill>
            </w:rPr>
          </w:sdtEndPr>
          <w:sdtContent>
            <w:tc>
              <w:tcPr>
                <w:tcW w:w="372" w:type="pct"/>
                <w:vAlign w:val="center"/>
              </w:tcPr>
              <w:p w14:paraId="5331B392">
                <w:pPr>
                  <w:jc w:val="center"/>
                  <w:rPr>
                    <w:color w:val="000000" w:themeColor="text1"/>
                    <w14:textFill>
                      <w14:solidFill>
                        <w14:schemeClr w14:val="tx1"/>
                      </w14:solidFill>
                    </w14:textFill>
                  </w:rPr>
                </w:pPr>
                <w:r>
                  <w:rPr>
                    <w:color w:val="000000" w:themeColor="text1"/>
                    <w14:textFill>
                      <w14:solidFill>
                        <w14:schemeClr w14:val="tx1"/>
                      </w14:solidFill>
                    </w14:textFill>
                  </w:rPr>
                  <w:t>无</w:t>
                </w:r>
              </w:p>
            </w:tc>
          </w:sdtContent>
        </w:sdt>
        <w:tc>
          <w:tcPr>
            <w:tcW w:w="671" w:type="pct"/>
            <w:vAlign w:val="center"/>
          </w:tcPr>
          <w:p w14:paraId="34C2BF7B">
            <w:pPr>
              <w:jc w:val="right"/>
            </w:pPr>
            <w:r>
              <w:rPr>
                <w:rFonts w:hint="eastAsia"/>
              </w:rPr>
              <w:t>0</w:t>
            </w:r>
          </w:p>
        </w:tc>
        <w:sdt>
          <w:sdtPr>
            <w:rPr>
              <w:color w:val="000000" w:themeColor="text1"/>
              <w14:textFill>
                <w14:solidFill>
                  <w14:schemeClr w14:val="tx1"/>
                </w14:solidFill>
              </w14:textFill>
            </w:rPr>
            <w:alias w:val="前十名股东的股东性质"/>
            <w:tag w:val="_GBC_71380bc899eb4b9781e95e37e7a1e221"/>
            <w:id w:val="-53936183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rPr>
              <w:color w:val="000000" w:themeColor="text1"/>
              <w14:textFill>
                <w14:solidFill>
                  <w14:schemeClr w14:val="tx1"/>
                </w14:solidFill>
              </w14:textFill>
            </w:rPr>
          </w:sdtEndPr>
          <w:sdtContent>
            <w:tc>
              <w:tcPr>
                <w:tcW w:w="969" w:type="pct"/>
                <w:gridSpan w:val="2"/>
                <w:vAlign w:val="center"/>
              </w:tcPr>
              <w:p w14:paraId="2E38AA8D">
                <w:pPr>
                  <w:rPr>
                    <w:color w:val="000000" w:themeColor="text1"/>
                    <w14:textFill>
                      <w14:solidFill>
                        <w14:schemeClr w14:val="tx1"/>
                      </w14:solidFill>
                    </w14:textFill>
                  </w:rPr>
                </w:pPr>
                <w:r>
                  <w:rPr>
                    <w:color w:val="000000" w:themeColor="text1"/>
                    <w14:textFill>
                      <w14:solidFill>
                        <w14:schemeClr w14:val="tx1"/>
                      </w14:solidFill>
                    </w14:textFill>
                  </w:rPr>
                  <w:t>境内自然人</w:t>
                </w:r>
              </w:p>
            </w:tc>
          </w:sdtContent>
        </w:sdt>
      </w:tr>
      <w:tr w14:paraId="0421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20" w:type="pct"/>
            <w:vAlign w:val="center"/>
          </w:tcPr>
          <w:p w14:paraId="745BC681">
            <w:r>
              <w:rPr>
                <w:rFonts w:hint="eastAsia"/>
                <w:color w:val="000000"/>
              </w:rPr>
              <w:t>王文成</w:t>
            </w:r>
          </w:p>
        </w:tc>
        <w:tc>
          <w:tcPr>
            <w:tcW w:w="375" w:type="pct"/>
            <w:vAlign w:val="center"/>
          </w:tcPr>
          <w:p w14:paraId="7FDB3294">
            <w:pPr>
              <w:jc w:val="right"/>
            </w:pPr>
          </w:p>
        </w:tc>
        <w:tc>
          <w:tcPr>
            <w:tcW w:w="745" w:type="pct"/>
            <w:vAlign w:val="center"/>
          </w:tcPr>
          <w:p w14:paraId="17305161">
            <w:pPr>
              <w:jc w:val="right"/>
            </w:pPr>
            <w:r>
              <w:rPr>
                <w:color w:val="000000"/>
              </w:rPr>
              <w:t>3,350,000</w:t>
            </w:r>
          </w:p>
        </w:tc>
        <w:tc>
          <w:tcPr>
            <w:tcW w:w="378" w:type="pct"/>
            <w:vAlign w:val="center"/>
          </w:tcPr>
          <w:p w14:paraId="33AEA239">
            <w:pPr>
              <w:jc w:val="right"/>
            </w:pPr>
            <w:r>
              <w:rPr>
                <w:rFonts w:hint="eastAsia"/>
                <w:color w:val="000000"/>
              </w:rPr>
              <w:t>0.23</w:t>
            </w:r>
          </w:p>
        </w:tc>
        <w:tc>
          <w:tcPr>
            <w:tcW w:w="370" w:type="pct"/>
            <w:vAlign w:val="center"/>
          </w:tcPr>
          <w:p w14:paraId="4D923016">
            <w:pPr>
              <w:jc w:val="right"/>
            </w:pPr>
          </w:p>
        </w:tc>
        <w:sdt>
          <w:sdtPr>
            <w:rPr>
              <w:color w:val="000000" w:themeColor="text1"/>
              <w14:textFill>
                <w14:solidFill>
                  <w14:schemeClr w14:val="tx1"/>
                </w14:solidFill>
              </w14:textFill>
            </w:rPr>
            <w:alias w:val="前十名股东持有股份状态"/>
            <w:tag w:val="_GBC_d5194108b2a8481e94140819dbdc5afe"/>
            <w:id w:val="-398512392"/>
            <w:comboBox>
              <w:listItem w:displayText="无" w:value="无"/>
              <w:listItem w:displayText="质押" w:value="质押"/>
              <w:listItem w:displayText="标记" w:value="标记"/>
              <w:listItem w:displayText="冻结" w:value="冻结"/>
              <w:listItem w:displayText="未知" w:value="未知"/>
            </w:comboBox>
          </w:sdtPr>
          <w:sdtEndPr>
            <w:rPr>
              <w:color w:val="000000" w:themeColor="text1"/>
              <w14:textFill>
                <w14:solidFill>
                  <w14:schemeClr w14:val="tx1"/>
                </w14:solidFill>
              </w14:textFill>
            </w:rPr>
          </w:sdtEndPr>
          <w:sdtContent>
            <w:tc>
              <w:tcPr>
                <w:tcW w:w="372" w:type="pct"/>
                <w:vAlign w:val="center"/>
              </w:tcPr>
              <w:p w14:paraId="7C4B8B7D">
                <w:pPr>
                  <w:jc w:val="center"/>
                  <w:rPr>
                    <w:color w:val="000000" w:themeColor="text1"/>
                    <w14:textFill>
                      <w14:solidFill>
                        <w14:schemeClr w14:val="tx1"/>
                      </w14:solidFill>
                    </w14:textFill>
                  </w:rPr>
                </w:pPr>
                <w:r>
                  <w:rPr>
                    <w:color w:val="000000" w:themeColor="text1"/>
                    <w14:textFill>
                      <w14:solidFill>
                        <w14:schemeClr w14:val="tx1"/>
                      </w14:solidFill>
                    </w14:textFill>
                  </w:rPr>
                  <w:t>无</w:t>
                </w:r>
              </w:p>
            </w:tc>
          </w:sdtContent>
        </w:sdt>
        <w:tc>
          <w:tcPr>
            <w:tcW w:w="671" w:type="pct"/>
            <w:vAlign w:val="center"/>
          </w:tcPr>
          <w:p w14:paraId="79332FE5">
            <w:pPr>
              <w:jc w:val="right"/>
            </w:pPr>
            <w:r>
              <w:rPr>
                <w:rFonts w:hint="eastAsia"/>
              </w:rPr>
              <w:t>0</w:t>
            </w:r>
          </w:p>
        </w:tc>
        <w:sdt>
          <w:sdtPr>
            <w:rPr>
              <w:color w:val="000000" w:themeColor="text1"/>
              <w14:textFill>
                <w14:solidFill>
                  <w14:schemeClr w14:val="tx1"/>
                </w14:solidFill>
              </w14:textFill>
            </w:rPr>
            <w:alias w:val="前十名股东的股东性质"/>
            <w:tag w:val="_GBC_71380bc899eb4b9781e95e37e7a1e221"/>
            <w:id w:val="110708425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rPr>
              <w:color w:val="000000" w:themeColor="text1"/>
              <w14:textFill>
                <w14:solidFill>
                  <w14:schemeClr w14:val="tx1"/>
                </w14:solidFill>
              </w14:textFill>
            </w:rPr>
          </w:sdtEndPr>
          <w:sdtContent>
            <w:tc>
              <w:tcPr>
                <w:tcW w:w="969" w:type="pct"/>
                <w:gridSpan w:val="2"/>
                <w:vAlign w:val="center"/>
              </w:tcPr>
              <w:p w14:paraId="3BC15D34">
                <w:pPr>
                  <w:rPr>
                    <w:color w:val="000000" w:themeColor="text1"/>
                    <w14:textFill>
                      <w14:solidFill>
                        <w14:schemeClr w14:val="tx1"/>
                      </w14:solidFill>
                    </w14:textFill>
                  </w:rPr>
                </w:pPr>
                <w:r>
                  <w:rPr>
                    <w:color w:val="000000" w:themeColor="text1"/>
                    <w14:textFill>
                      <w14:solidFill>
                        <w14:schemeClr w14:val="tx1"/>
                      </w14:solidFill>
                    </w14:textFill>
                  </w:rPr>
                  <w:t>境内自然人</w:t>
                </w:r>
              </w:p>
            </w:tc>
          </w:sdtContent>
        </w:sdt>
      </w:tr>
      <w:tr w14:paraId="3AC0E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20" w:type="pct"/>
            <w:vAlign w:val="center"/>
          </w:tcPr>
          <w:p w14:paraId="0DC11B8C">
            <w:r>
              <w:rPr>
                <w:rFonts w:hint="eastAsia"/>
                <w:color w:val="000000"/>
              </w:rPr>
              <w:t>王宝财</w:t>
            </w:r>
          </w:p>
        </w:tc>
        <w:tc>
          <w:tcPr>
            <w:tcW w:w="375" w:type="pct"/>
            <w:vAlign w:val="center"/>
          </w:tcPr>
          <w:p w14:paraId="444A6FFF">
            <w:pPr>
              <w:jc w:val="right"/>
            </w:pPr>
          </w:p>
        </w:tc>
        <w:tc>
          <w:tcPr>
            <w:tcW w:w="745" w:type="pct"/>
            <w:vAlign w:val="center"/>
          </w:tcPr>
          <w:p w14:paraId="76B774EE">
            <w:pPr>
              <w:jc w:val="right"/>
            </w:pPr>
            <w:r>
              <w:rPr>
                <w:color w:val="000000"/>
              </w:rPr>
              <w:t>3,215,400</w:t>
            </w:r>
          </w:p>
        </w:tc>
        <w:tc>
          <w:tcPr>
            <w:tcW w:w="378" w:type="pct"/>
            <w:vAlign w:val="center"/>
          </w:tcPr>
          <w:p w14:paraId="770DD2DB">
            <w:pPr>
              <w:jc w:val="right"/>
            </w:pPr>
            <w:r>
              <w:rPr>
                <w:rFonts w:hint="eastAsia"/>
                <w:color w:val="000000"/>
              </w:rPr>
              <w:t>0.22</w:t>
            </w:r>
          </w:p>
        </w:tc>
        <w:tc>
          <w:tcPr>
            <w:tcW w:w="370" w:type="pct"/>
            <w:vAlign w:val="center"/>
          </w:tcPr>
          <w:p w14:paraId="685F1A43">
            <w:pPr>
              <w:jc w:val="right"/>
            </w:pPr>
          </w:p>
        </w:tc>
        <w:sdt>
          <w:sdtPr>
            <w:rPr>
              <w:color w:val="000000" w:themeColor="text1"/>
              <w14:textFill>
                <w14:solidFill>
                  <w14:schemeClr w14:val="tx1"/>
                </w14:solidFill>
              </w14:textFill>
            </w:rPr>
            <w:alias w:val="前十名股东持有股份状态"/>
            <w:tag w:val="_GBC_d5194108b2a8481e94140819dbdc5afe"/>
            <w:id w:val="1875958546"/>
            <w:comboBox>
              <w:listItem w:displayText="无" w:value="无"/>
              <w:listItem w:displayText="质押" w:value="质押"/>
              <w:listItem w:displayText="标记" w:value="标记"/>
              <w:listItem w:displayText="冻结" w:value="冻结"/>
              <w:listItem w:displayText="未知" w:value="未知"/>
            </w:comboBox>
          </w:sdtPr>
          <w:sdtEndPr>
            <w:rPr>
              <w:color w:val="000000" w:themeColor="text1"/>
              <w14:textFill>
                <w14:solidFill>
                  <w14:schemeClr w14:val="tx1"/>
                </w14:solidFill>
              </w14:textFill>
            </w:rPr>
          </w:sdtEndPr>
          <w:sdtContent>
            <w:tc>
              <w:tcPr>
                <w:tcW w:w="372" w:type="pct"/>
                <w:vAlign w:val="center"/>
              </w:tcPr>
              <w:p w14:paraId="237F5C2D">
                <w:pPr>
                  <w:jc w:val="center"/>
                  <w:rPr>
                    <w:color w:val="000000" w:themeColor="text1"/>
                    <w14:textFill>
                      <w14:solidFill>
                        <w14:schemeClr w14:val="tx1"/>
                      </w14:solidFill>
                    </w14:textFill>
                  </w:rPr>
                </w:pPr>
                <w:r>
                  <w:rPr>
                    <w:color w:val="000000" w:themeColor="text1"/>
                    <w14:textFill>
                      <w14:solidFill>
                        <w14:schemeClr w14:val="tx1"/>
                      </w14:solidFill>
                    </w14:textFill>
                  </w:rPr>
                  <w:t>无</w:t>
                </w:r>
              </w:p>
            </w:tc>
          </w:sdtContent>
        </w:sdt>
        <w:tc>
          <w:tcPr>
            <w:tcW w:w="671" w:type="pct"/>
            <w:vAlign w:val="center"/>
          </w:tcPr>
          <w:p w14:paraId="67FFEA09">
            <w:pPr>
              <w:jc w:val="right"/>
            </w:pPr>
            <w:r>
              <w:rPr>
                <w:rFonts w:hint="eastAsia"/>
              </w:rPr>
              <w:t>0</w:t>
            </w:r>
          </w:p>
        </w:tc>
        <w:sdt>
          <w:sdtPr>
            <w:rPr>
              <w:color w:val="000000" w:themeColor="text1"/>
              <w14:textFill>
                <w14:solidFill>
                  <w14:schemeClr w14:val="tx1"/>
                </w14:solidFill>
              </w14:textFill>
            </w:rPr>
            <w:alias w:val="前十名股东的股东性质"/>
            <w:tag w:val="_GBC_71380bc899eb4b9781e95e37e7a1e221"/>
            <w:id w:val="-1169403465"/>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rPr>
              <w:color w:val="000000" w:themeColor="text1"/>
              <w14:textFill>
                <w14:solidFill>
                  <w14:schemeClr w14:val="tx1"/>
                </w14:solidFill>
              </w14:textFill>
            </w:rPr>
          </w:sdtEndPr>
          <w:sdtContent>
            <w:tc>
              <w:tcPr>
                <w:tcW w:w="969" w:type="pct"/>
                <w:gridSpan w:val="2"/>
                <w:vAlign w:val="center"/>
              </w:tcPr>
              <w:p w14:paraId="5FC2443E">
                <w:pPr>
                  <w:rPr>
                    <w:color w:val="000000" w:themeColor="text1"/>
                    <w14:textFill>
                      <w14:solidFill>
                        <w14:schemeClr w14:val="tx1"/>
                      </w14:solidFill>
                    </w14:textFill>
                  </w:rPr>
                </w:pPr>
                <w:r>
                  <w:rPr>
                    <w:color w:val="000000" w:themeColor="text1"/>
                    <w14:textFill>
                      <w14:solidFill>
                        <w14:schemeClr w14:val="tx1"/>
                      </w14:solidFill>
                    </w14:textFill>
                  </w:rPr>
                  <w:t>境内自然人</w:t>
                </w:r>
              </w:p>
            </w:tc>
          </w:sdtContent>
        </w:sdt>
      </w:tr>
      <w:tr w14:paraId="1EC1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6f36efd0621247ffb7b2462dd9753e27"/>
            <w:id w:val="990144341"/>
          </w:sdtPr>
          <w:sdtContent>
            <w:tc>
              <w:tcPr>
                <w:tcW w:w="5000" w:type="pct"/>
                <w:gridSpan w:val="9"/>
                <w:vAlign w:val="center"/>
              </w:tcPr>
              <w:p w14:paraId="15F979C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前十名无限售条件股东持股情况（不含通过转融通出借股份）</w:t>
                </w:r>
              </w:p>
            </w:tc>
          </w:sdtContent>
        </w:sdt>
      </w:tr>
      <w:tr w14:paraId="67A0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6c8c7d50ba2b44858757eeaaa20b5499"/>
            <w:id w:val="-1882164208"/>
          </w:sdtPr>
          <w:sdtContent>
            <w:tc>
              <w:tcPr>
                <w:tcW w:w="1495" w:type="pct"/>
                <w:gridSpan w:val="2"/>
                <w:vMerge w:val="restart"/>
                <w:vAlign w:val="center"/>
              </w:tcPr>
              <w:p w14:paraId="7DA9DF17">
                <w:pPr>
                  <w:jc w:val="center"/>
                  <w:rPr>
                    <w:color w:val="000000" w:themeColor="text1"/>
                    <w14:textFill>
                      <w14:solidFill>
                        <w14:schemeClr w14:val="tx1"/>
                      </w14:solidFill>
                    </w14:textFill>
                  </w:rPr>
                </w:pPr>
                <w:r>
                  <w:rPr>
                    <w:color w:val="000000" w:themeColor="text1"/>
                    <w14:textFill>
                      <w14:solidFill>
                        <w14:schemeClr w14:val="tx1"/>
                      </w14:solidFill>
                    </w14:textFill>
                  </w:rPr>
                  <w:t>股东名称</w:t>
                </w:r>
              </w:p>
            </w:tc>
          </w:sdtContent>
        </w:sdt>
        <w:sdt>
          <w:sdtPr>
            <w:tag w:val="_PLD_e4987b1a07a6489c82ab5ef0aa3370ea"/>
            <w:id w:val="-405449583"/>
          </w:sdtPr>
          <w:sdtContent>
            <w:tc>
              <w:tcPr>
                <w:tcW w:w="1493" w:type="pct"/>
                <w:gridSpan w:val="3"/>
                <w:vMerge w:val="restart"/>
                <w:vAlign w:val="center"/>
              </w:tcPr>
              <w:p w14:paraId="78E07B06">
                <w:pPr>
                  <w:jc w:val="center"/>
                  <w:rPr>
                    <w:color w:val="000000" w:themeColor="text1"/>
                    <w14:textFill>
                      <w14:solidFill>
                        <w14:schemeClr w14:val="tx1"/>
                      </w14:solidFill>
                    </w14:textFill>
                  </w:rPr>
                </w:pPr>
                <w:r>
                  <w:rPr>
                    <w:color w:val="000000" w:themeColor="text1"/>
                    <w14:textFill>
                      <w14:solidFill>
                        <w14:schemeClr w14:val="tx1"/>
                      </w14:solidFill>
                    </w14:textFill>
                  </w:rPr>
                  <w:t>持有无限售条件流通股的数量</w:t>
                </w:r>
              </w:p>
            </w:tc>
          </w:sdtContent>
        </w:sdt>
        <w:sdt>
          <w:sdtPr>
            <w:tag w:val="_PLD_26ce78cac14a427ca05aa80b21b65936"/>
            <w:id w:val="-1507972882"/>
          </w:sdtPr>
          <w:sdtContent>
            <w:tc>
              <w:tcPr>
                <w:tcW w:w="2012" w:type="pct"/>
                <w:gridSpan w:val="4"/>
                <w:tcBorders>
                  <w:bottom w:val="single" w:color="auto" w:sz="4" w:space="0"/>
                </w:tcBorders>
                <w:vAlign w:val="center"/>
              </w:tcPr>
              <w:p w14:paraId="56DC972E">
                <w:pPr>
                  <w:jc w:val="center"/>
                  <w:rPr>
                    <w:color w:val="000000" w:themeColor="text1"/>
                    <w14:textFill>
                      <w14:solidFill>
                        <w14:schemeClr w14:val="tx1"/>
                      </w14:solidFill>
                    </w14:textFill>
                  </w:rPr>
                </w:pPr>
                <w:r>
                  <w:rPr>
                    <w:color w:val="000000" w:themeColor="text1"/>
                    <w14:textFill>
                      <w14:solidFill>
                        <w14:schemeClr w14:val="tx1"/>
                      </w14:solidFill>
                    </w14:textFill>
                  </w:rPr>
                  <w:t>股份种类</w:t>
                </w:r>
                <w:r>
                  <w:rPr>
                    <w:rFonts w:hint="eastAsia"/>
                    <w:color w:val="000000" w:themeColor="text1"/>
                    <w14:textFill>
                      <w14:solidFill>
                        <w14:schemeClr w14:val="tx1"/>
                      </w14:solidFill>
                    </w14:textFill>
                  </w:rPr>
                  <w:t>及数量</w:t>
                </w:r>
              </w:p>
            </w:tc>
          </w:sdtContent>
        </w:sdt>
      </w:tr>
      <w:tr w14:paraId="66FF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Merge w:val="continue"/>
            <w:vAlign w:val="center"/>
          </w:tcPr>
          <w:p w14:paraId="1809FE12">
            <w:pPr>
              <w:jc w:val="center"/>
              <w:rPr>
                <w:color w:val="000000" w:themeColor="text1"/>
                <w14:textFill>
                  <w14:solidFill>
                    <w14:schemeClr w14:val="tx1"/>
                  </w14:solidFill>
                </w14:textFill>
              </w:rPr>
            </w:pPr>
          </w:p>
        </w:tc>
        <w:tc>
          <w:tcPr>
            <w:tcW w:w="1493" w:type="pct"/>
            <w:gridSpan w:val="3"/>
            <w:vMerge w:val="continue"/>
            <w:vAlign w:val="center"/>
          </w:tcPr>
          <w:p w14:paraId="5264A545">
            <w:pPr>
              <w:jc w:val="center"/>
              <w:rPr>
                <w:color w:val="000000" w:themeColor="text1"/>
                <w14:textFill>
                  <w14:solidFill>
                    <w14:schemeClr w14:val="tx1"/>
                  </w14:solidFill>
                </w14:textFill>
              </w:rPr>
            </w:pPr>
          </w:p>
        </w:tc>
        <w:sdt>
          <w:sdtPr>
            <w:tag w:val="_PLD_05580a00e3f942c0b2da618818a84669"/>
            <w:id w:val="-1914926874"/>
          </w:sdtPr>
          <w:sdtContent>
            <w:tc>
              <w:tcPr>
                <w:tcW w:w="1190" w:type="pct"/>
                <w:gridSpan w:val="3"/>
                <w:vAlign w:val="center"/>
              </w:tcPr>
              <w:p w14:paraId="7A2532C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种类</w:t>
                </w:r>
              </w:p>
            </w:tc>
          </w:sdtContent>
        </w:sdt>
        <w:sdt>
          <w:sdtPr>
            <w:tag w:val="_PLD_7f8ec6251e234192b411b34b07ccd732"/>
            <w:id w:val="941428890"/>
          </w:sdtPr>
          <w:sdtContent>
            <w:tc>
              <w:tcPr>
                <w:tcW w:w="822" w:type="pct"/>
                <w:vAlign w:val="center"/>
              </w:tcPr>
              <w:p w14:paraId="001955D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数量</w:t>
                </w:r>
              </w:p>
            </w:tc>
          </w:sdtContent>
        </w:sdt>
      </w:tr>
      <w:tr w14:paraId="782A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Align w:val="center"/>
          </w:tcPr>
          <w:p w14:paraId="73B182A0">
            <w:r>
              <w:rPr>
                <w:rFonts w:hint="eastAsia"/>
                <w:color w:val="000000"/>
              </w:rPr>
              <w:t>好当家集团有限公司</w:t>
            </w:r>
          </w:p>
        </w:tc>
        <w:tc>
          <w:tcPr>
            <w:tcW w:w="1493" w:type="pct"/>
            <w:gridSpan w:val="3"/>
            <w:vAlign w:val="center"/>
          </w:tcPr>
          <w:p w14:paraId="7BED16A7">
            <w:pPr>
              <w:jc w:val="right"/>
            </w:pPr>
            <w:r>
              <w:rPr>
                <w:color w:val="000000"/>
              </w:rPr>
              <w:t>534,950,990</w:t>
            </w:r>
          </w:p>
        </w:tc>
        <w:sdt>
          <w:sdtPr>
            <w:rPr>
              <w:bCs w:val="0"/>
              <w:color w:val="000000" w:themeColor="text1"/>
              <w14:textFill>
                <w14:solidFill>
                  <w14:schemeClr w14:val="tx1"/>
                </w14:solidFill>
              </w14:textFill>
            </w:rPr>
            <w:alias w:val="前十名无限售条件股东期末持有流通股的种类"/>
            <w:tag w:val="_GBC_5d0d3dfc3b8545ce906ab8a21728fb94"/>
            <w:id w:val="973033123"/>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rPr>
              <w:bCs w:val="0"/>
              <w:color w:val="000000" w:themeColor="text1"/>
              <w14:textFill>
                <w14:solidFill>
                  <w14:schemeClr w14:val="tx1"/>
                </w14:solidFill>
              </w14:textFill>
            </w:rPr>
          </w:sdtEndPr>
          <w:sdtContent>
            <w:tc>
              <w:tcPr>
                <w:tcW w:w="1190" w:type="pct"/>
                <w:gridSpan w:val="3"/>
                <w:vAlign w:val="center"/>
              </w:tcPr>
              <w:p w14:paraId="518AFF7A">
                <w:pPr>
                  <w:jc w:val="center"/>
                  <w:rPr>
                    <w:bCs w:val="0"/>
                    <w:color w:val="000000" w:themeColor="text1"/>
                    <w14:textFill>
                      <w14:solidFill>
                        <w14:schemeClr w14:val="tx1"/>
                      </w14:solidFill>
                    </w14:textFill>
                  </w:rPr>
                </w:pPr>
                <w:r>
                  <w:rPr>
                    <w:bCs w:val="0"/>
                    <w:color w:val="000000" w:themeColor="text1"/>
                    <w14:textFill>
                      <w14:solidFill>
                        <w14:schemeClr w14:val="tx1"/>
                      </w14:solidFill>
                    </w14:textFill>
                  </w:rPr>
                  <w:t>人民币普通股</w:t>
                </w:r>
              </w:p>
            </w:tc>
          </w:sdtContent>
        </w:sdt>
        <w:tc>
          <w:tcPr>
            <w:tcW w:w="822" w:type="pct"/>
            <w:vAlign w:val="center"/>
          </w:tcPr>
          <w:p w14:paraId="5C77BA12">
            <w:pPr>
              <w:jc w:val="right"/>
            </w:pPr>
            <w:r>
              <w:rPr>
                <w:color w:val="000000"/>
              </w:rPr>
              <w:t>534,950,990</w:t>
            </w:r>
          </w:p>
        </w:tc>
      </w:tr>
      <w:tr w14:paraId="7CC3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Align w:val="center"/>
          </w:tcPr>
          <w:p w14:paraId="024F6740">
            <w:r>
              <w:rPr>
                <w:rFonts w:hint="eastAsia"/>
                <w:color w:val="000000"/>
              </w:rPr>
              <w:t>李茹</w:t>
            </w:r>
          </w:p>
        </w:tc>
        <w:tc>
          <w:tcPr>
            <w:tcW w:w="1493" w:type="pct"/>
            <w:gridSpan w:val="3"/>
            <w:vAlign w:val="center"/>
          </w:tcPr>
          <w:p w14:paraId="3B38BF78">
            <w:pPr>
              <w:jc w:val="right"/>
            </w:pPr>
            <w:r>
              <w:rPr>
                <w:color w:val="000000"/>
              </w:rPr>
              <w:t>9,429,802</w:t>
            </w:r>
          </w:p>
        </w:tc>
        <w:sdt>
          <w:sdtPr>
            <w:rPr>
              <w:bCs w:val="0"/>
              <w:color w:val="000000" w:themeColor="text1"/>
              <w14:textFill>
                <w14:solidFill>
                  <w14:schemeClr w14:val="tx1"/>
                </w14:solidFill>
              </w14:textFill>
            </w:rPr>
            <w:alias w:val="前十名无限售条件股东期末持有流通股的种类"/>
            <w:tag w:val="_GBC_5d0d3dfc3b8545ce906ab8a21728fb94"/>
            <w:id w:val="718021505"/>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rPr>
              <w:bCs w:val="0"/>
              <w:color w:val="000000" w:themeColor="text1"/>
              <w14:textFill>
                <w14:solidFill>
                  <w14:schemeClr w14:val="tx1"/>
                </w14:solidFill>
              </w14:textFill>
            </w:rPr>
          </w:sdtEndPr>
          <w:sdtContent>
            <w:tc>
              <w:tcPr>
                <w:tcW w:w="1190" w:type="pct"/>
                <w:gridSpan w:val="3"/>
                <w:vAlign w:val="center"/>
              </w:tcPr>
              <w:p w14:paraId="0B162170">
                <w:pPr>
                  <w:jc w:val="center"/>
                  <w:rPr>
                    <w:bCs w:val="0"/>
                    <w:color w:val="000000" w:themeColor="text1"/>
                    <w14:textFill>
                      <w14:solidFill>
                        <w14:schemeClr w14:val="tx1"/>
                      </w14:solidFill>
                    </w14:textFill>
                  </w:rPr>
                </w:pPr>
                <w:r>
                  <w:rPr>
                    <w:bCs w:val="0"/>
                    <w:color w:val="000000" w:themeColor="text1"/>
                    <w14:textFill>
                      <w14:solidFill>
                        <w14:schemeClr w14:val="tx1"/>
                      </w14:solidFill>
                    </w14:textFill>
                  </w:rPr>
                  <w:t>人民币普通股</w:t>
                </w:r>
              </w:p>
            </w:tc>
          </w:sdtContent>
        </w:sdt>
        <w:tc>
          <w:tcPr>
            <w:tcW w:w="822" w:type="pct"/>
            <w:vAlign w:val="center"/>
          </w:tcPr>
          <w:p w14:paraId="6B0D6AB3">
            <w:pPr>
              <w:jc w:val="right"/>
            </w:pPr>
            <w:r>
              <w:rPr>
                <w:color w:val="000000"/>
              </w:rPr>
              <w:t>9,429,802</w:t>
            </w:r>
          </w:p>
        </w:tc>
      </w:tr>
      <w:tr w14:paraId="2AF6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Align w:val="center"/>
          </w:tcPr>
          <w:p w14:paraId="6B1CDC06">
            <w:r>
              <w:rPr>
                <w:rFonts w:hint="eastAsia"/>
                <w:color w:val="000000"/>
              </w:rPr>
              <w:t>吴绍金</w:t>
            </w:r>
          </w:p>
        </w:tc>
        <w:tc>
          <w:tcPr>
            <w:tcW w:w="1493" w:type="pct"/>
            <w:gridSpan w:val="3"/>
            <w:vAlign w:val="center"/>
          </w:tcPr>
          <w:p w14:paraId="4D31D23B">
            <w:pPr>
              <w:jc w:val="right"/>
            </w:pPr>
            <w:r>
              <w:rPr>
                <w:color w:val="000000"/>
              </w:rPr>
              <w:t>6,588,800</w:t>
            </w:r>
          </w:p>
        </w:tc>
        <w:sdt>
          <w:sdtPr>
            <w:rPr>
              <w:bCs w:val="0"/>
              <w:color w:val="000000" w:themeColor="text1"/>
              <w14:textFill>
                <w14:solidFill>
                  <w14:schemeClr w14:val="tx1"/>
                </w14:solidFill>
              </w14:textFill>
            </w:rPr>
            <w:alias w:val="前十名无限售条件股东期末持有流通股的种类"/>
            <w:tag w:val="_GBC_5d0d3dfc3b8545ce906ab8a21728fb94"/>
            <w:id w:val="1367411070"/>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rPr>
              <w:bCs w:val="0"/>
              <w:color w:val="000000" w:themeColor="text1"/>
              <w14:textFill>
                <w14:solidFill>
                  <w14:schemeClr w14:val="tx1"/>
                </w14:solidFill>
              </w14:textFill>
            </w:rPr>
          </w:sdtEndPr>
          <w:sdtContent>
            <w:tc>
              <w:tcPr>
                <w:tcW w:w="1190" w:type="pct"/>
                <w:gridSpan w:val="3"/>
                <w:vAlign w:val="center"/>
              </w:tcPr>
              <w:p w14:paraId="0B5B0B9C">
                <w:pPr>
                  <w:jc w:val="center"/>
                  <w:rPr>
                    <w:bCs w:val="0"/>
                    <w:color w:val="000000" w:themeColor="text1"/>
                    <w14:textFill>
                      <w14:solidFill>
                        <w14:schemeClr w14:val="tx1"/>
                      </w14:solidFill>
                    </w14:textFill>
                  </w:rPr>
                </w:pPr>
                <w:r>
                  <w:rPr>
                    <w:bCs w:val="0"/>
                    <w:color w:val="000000" w:themeColor="text1"/>
                    <w14:textFill>
                      <w14:solidFill>
                        <w14:schemeClr w14:val="tx1"/>
                      </w14:solidFill>
                    </w14:textFill>
                  </w:rPr>
                  <w:t>人民币普通股</w:t>
                </w:r>
              </w:p>
            </w:tc>
          </w:sdtContent>
        </w:sdt>
        <w:tc>
          <w:tcPr>
            <w:tcW w:w="822" w:type="pct"/>
            <w:vAlign w:val="center"/>
          </w:tcPr>
          <w:p w14:paraId="3ED921E9">
            <w:pPr>
              <w:jc w:val="right"/>
            </w:pPr>
            <w:r>
              <w:rPr>
                <w:color w:val="000000"/>
              </w:rPr>
              <w:t>6,588,800</w:t>
            </w:r>
          </w:p>
        </w:tc>
      </w:tr>
      <w:tr w14:paraId="204A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Align w:val="center"/>
          </w:tcPr>
          <w:p w14:paraId="54F1202B">
            <w:r>
              <w:rPr>
                <w:rFonts w:hint="eastAsia"/>
                <w:color w:val="000000"/>
              </w:rPr>
              <w:t>吕青青</w:t>
            </w:r>
          </w:p>
        </w:tc>
        <w:tc>
          <w:tcPr>
            <w:tcW w:w="1493" w:type="pct"/>
            <w:gridSpan w:val="3"/>
            <w:vAlign w:val="center"/>
          </w:tcPr>
          <w:p w14:paraId="416C034A">
            <w:pPr>
              <w:jc w:val="right"/>
            </w:pPr>
            <w:r>
              <w:rPr>
                <w:color w:val="000000"/>
              </w:rPr>
              <w:t>5,882,800</w:t>
            </w:r>
          </w:p>
        </w:tc>
        <w:sdt>
          <w:sdtPr>
            <w:rPr>
              <w:bCs w:val="0"/>
              <w:color w:val="000000" w:themeColor="text1"/>
              <w14:textFill>
                <w14:solidFill>
                  <w14:schemeClr w14:val="tx1"/>
                </w14:solidFill>
              </w14:textFill>
            </w:rPr>
            <w:alias w:val="前十名无限售条件股东期末持有流通股的种类"/>
            <w:tag w:val="_GBC_5d0d3dfc3b8545ce906ab8a21728fb94"/>
            <w:id w:val="1833486119"/>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rPr>
              <w:bCs w:val="0"/>
              <w:color w:val="000000" w:themeColor="text1"/>
              <w14:textFill>
                <w14:solidFill>
                  <w14:schemeClr w14:val="tx1"/>
                </w14:solidFill>
              </w14:textFill>
            </w:rPr>
          </w:sdtEndPr>
          <w:sdtContent>
            <w:tc>
              <w:tcPr>
                <w:tcW w:w="1190" w:type="pct"/>
                <w:gridSpan w:val="3"/>
                <w:vAlign w:val="center"/>
              </w:tcPr>
              <w:p w14:paraId="67C6F669">
                <w:pPr>
                  <w:jc w:val="center"/>
                  <w:rPr>
                    <w:bCs w:val="0"/>
                    <w:color w:val="000000" w:themeColor="text1"/>
                    <w14:textFill>
                      <w14:solidFill>
                        <w14:schemeClr w14:val="tx1"/>
                      </w14:solidFill>
                    </w14:textFill>
                  </w:rPr>
                </w:pPr>
                <w:r>
                  <w:rPr>
                    <w:bCs w:val="0"/>
                    <w:color w:val="000000" w:themeColor="text1"/>
                    <w14:textFill>
                      <w14:solidFill>
                        <w14:schemeClr w14:val="tx1"/>
                      </w14:solidFill>
                    </w14:textFill>
                  </w:rPr>
                  <w:t>人民币普通股</w:t>
                </w:r>
              </w:p>
            </w:tc>
          </w:sdtContent>
        </w:sdt>
        <w:tc>
          <w:tcPr>
            <w:tcW w:w="822" w:type="pct"/>
            <w:vAlign w:val="center"/>
          </w:tcPr>
          <w:p w14:paraId="56E813C1">
            <w:pPr>
              <w:jc w:val="right"/>
            </w:pPr>
            <w:r>
              <w:rPr>
                <w:color w:val="000000"/>
              </w:rPr>
              <w:t>5,882,800</w:t>
            </w:r>
          </w:p>
        </w:tc>
      </w:tr>
      <w:tr w14:paraId="0B00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Align w:val="center"/>
          </w:tcPr>
          <w:p w14:paraId="6AB78B5F">
            <w:r>
              <w:rPr>
                <w:rFonts w:hint="eastAsia"/>
                <w:color w:val="000000"/>
              </w:rPr>
              <w:t>唐传勤</w:t>
            </w:r>
          </w:p>
        </w:tc>
        <w:tc>
          <w:tcPr>
            <w:tcW w:w="1493" w:type="pct"/>
            <w:gridSpan w:val="3"/>
            <w:vAlign w:val="center"/>
          </w:tcPr>
          <w:p w14:paraId="1E6AB57F">
            <w:pPr>
              <w:jc w:val="right"/>
            </w:pPr>
            <w:r>
              <w:rPr>
                <w:color w:val="000000"/>
              </w:rPr>
              <w:t>5,000,000</w:t>
            </w:r>
          </w:p>
        </w:tc>
        <w:sdt>
          <w:sdtPr>
            <w:rPr>
              <w:bCs w:val="0"/>
              <w:color w:val="000000" w:themeColor="text1"/>
              <w14:textFill>
                <w14:solidFill>
                  <w14:schemeClr w14:val="tx1"/>
                </w14:solidFill>
              </w14:textFill>
            </w:rPr>
            <w:alias w:val="前十名无限售条件股东期末持有流通股的种类"/>
            <w:tag w:val="_GBC_5d0d3dfc3b8545ce906ab8a21728fb94"/>
            <w:id w:val="-1844471177"/>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rPr>
              <w:bCs w:val="0"/>
              <w:color w:val="000000" w:themeColor="text1"/>
              <w14:textFill>
                <w14:solidFill>
                  <w14:schemeClr w14:val="tx1"/>
                </w14:solidFill>
              </w14:textFill>
            </w:rPr>
          </w:sdtEndPr>
          <w:sdtContent>
            <w:tc>
              <w:tcPr>
                <w:tcW w:w="1190" w:type="pct"/>
                <w:gridSpan w:val="3"/>
                <w:vAlign w:val="center"/>
              </w:tcPr>
              <w:p w14:paraId="7EC197E2">
                <w:pPr>
                  <w:jc w:val="center"/>
                  <w:rPr>
                    <w:bCs w:val="0"/>
                    <w:color w:val="000000" w:themeColor="text1"/>
                    <w14:textFill>
                      <w14:solidFill>
                        <w14:schemeClr w14:val="tx1"/>
                      </w14:solidFill>
                    </w14:textFill>
                  </w:rPr>
                </w:pPr>
                <w:r>
                  <w:rPr>
                    <w:bCs w:val="0"/>
                    <w:color w:val="000000" w:themeColor="text1"/>
                    <w14:textFill>
                      <w14:solidFill>
                        <w14:schemeClr w14:val="tx1"/>
                      </w14:solidFill>
                    </w14:textFill>
                  </w:rPr>
                  <w:t>人民币普通股</w:t>
                </w:r>
              </w:p>
            </w:tc>
          </w:sdtContent>
        </w:sdt>
        <w:tc>
          <w:tcPr>
            <w:tcW w:w="822" w:type="pct"/>
            <w:vAlign w:val="center"/>
          </w:tcPr>
          <w:p w14:paraId="63ECB5A1">
            <w:pPr>
              <w:jc w:val="right"/>
            </w:pPr>
            <w:r>
              <w:rPr>
                <w:color w:val="000000"/>
              </w:rPr>
              <w:t>5,000,000</w:t>
            </w:r>
          </w:p>
        </w:tc>
      </w:tr>
      <w:tr w14:paraId="33DA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Align w:val="center"/>
          </w:tcPr>
          <w:p w14:paraId="3B3E1C37">
            <w:r>
              <w:rPr>
                <w:rFonts w:hint="eastAsia"/>
                <w:color w:val="000000"/>
              </w:rPr>
              <w:t>薛青洁</w:t>
            </w:r>
          </w:p>
        </w:tc>
        <w:tc>
          <w:tcPr>
            <w:tcW w:w="1493" w:type="pct"/>
            <w:gridSpan w:val="3"/>
            <w:vAlign w:val="center"/>
          </w:tcPr>
          <w:p w14:paraId="58CD43F8">
            <w:pPr>
              <w:jc w:val="right"/>
            </w:pPr>
            <w:r>
              <w:rPr>
                <w:color w:val="000000"/>
              </w:rPr>
              <w:t>4,596,300</w:t>
            </w:r>
          </w:p>
        </w:tc>
        <w:sdt>
          <w:sdtPr>
            <w:rPr>
              <w:bCs w:val="0"/>
              <w:color w:val="000000" w:themeColor="text1"/>
              <w14:textFill>
                <w14:solidFill>
                  <w14:schemeClr w14:val="tx1"/>
                </w14:solidFill>
              </w14:textFill>
            </w:rPr>
            <w:alias w:val="前十名无限售条件股东期末持有流通股的种类"/>
            <w:tag w:val="_GBC_5d0d3dfc3b8545ce906ab8a21728fb94"/>
            <w:id w:val="917289169"/>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rPr>
              <w:bCs w:val="0"/>
              <w:color w:val="000000" w:themeColor="text1"/>
              <w14:textFill>
                <w14:solidFill>
                  <w14:schemeClr w14:val="tx1"/>
                </w14:solidFill>
              </w14:textFill>
            </w:rPr>
          </w:sdtEndPr>
          <w:sdtContent>
            <w:tc>
              <w:tcPr>
                <w:tcW w:w="1190" w:type="pct"/>
                <w:gridSpan w:val="3"/>
                <w:vAlign w:val="center"/>
              </w:tcPr>
              <w:p w14:paraId="55B560B4">
                <w:pPr>
                  <w:jc w:val="center"/>
                  <w:rPr>
                    <w:bCs w:val="0"/>
                    <w:color w:val="000000" w:themeColor="text1"/>
                    <w14:textFill>
                      <w14:solidFill>
                        <w14:schemeClr w14:val="tx1"/>
                      </w14:solidFill>
                    </w14:textFill>
                  </w:rPr>
                </w:pPr>
                <w:r>
                  <w:rPr>
                    <w:bCs w:val="0"/>
                    <w:color w:val="000000" w:themeColor="text1"/>
                    <w14:textFill>
                      <w14:solidFill>
                        <w14:schemeClr w14:val="tx1"/>
                      </w14:solidFill>
                    </w14:textFill>
                  </w:rPr>
                  <w:t>人民币普通股</w:t>
                </w:r>
              </w:p>
            </w:tc>
          </w:sdtContent>
        </w:sdt>
        <w:tc>
          <w:tcPr>
            <w:tcW w:w="822" w:type="pct"/>
            <w:vAlign w:val="center"/>
          </w:tcPr>
          <w:p w14:paraId="2A4BAA8A">
            <w:pPr>
              <w:jc w:val="right"/>
            </w:pPr>
            <w:r>
              <w:rPr>
                <w:color w:val="000000"/>
              </w:rPr>
              <w:t>4,596,300</w:t>
            </w:r>
          </w:p>
        </w:tc>
      </w:tr>
      <w:tr w14:paraId="2B17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Align w:val="center"/>
          </w:tcPr>
          <w:p w14:paraId="56B3D9E1">
            <w:r>
              <w:rPr>
                <w:rFonts w:hint="eastAsia"/>
                <w:color w:val="000000"/>
              </w:rPr>
              <w:t>李爱社</w:t>
            </w:r>
          </w:p>
        </w:tc>
        <w:tc>
          <w:tcPr>
            <w:tcW w:w="1493" w:type="pct"/>
            <w:gridSpan w:val="3"/>
            <w:vAlign w:val="center"/>
          </w:tcPr>
          <w:p w14:paraId="4CBA7C3B">
            <w:pPr>
              <w:jc w:val="right"/>
            </w:pPr>
            <w:r>
              <w:rPr>
                <w:color w:val="000000"/>
              </w:rPr>
              <w:t>3,751,800</w:t>
            </w:r>
          </w:p>
        </w:tc>
        <w:sdt>
          <w:sdtPr>
            <w:rPr>
              <w:bCs w:val="0"/>
              <w:color w:val="000000" w:themeColor="text1"/>
              <w14:textFill>
                <w14:solidFill>
                  <w14:schemeClr w14:val="tx1"/>
                </w14:solidFill>
              </w14:textFill>
            </w:rPr>
            <w:alias w:val="前十名无限售条件股东期末持有流通股的种类"/>
            <w:tag w:val="_GBC_5d0d3dfc3b8545ce906ab8a21728fb94"/>
            <w:id w:val="-1731225733"/>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rPr>
              <w:bCs w:val="0"/>
              <w:color w:val="000000" w:themeColor="text1"/>
              <w14:textFill>
                <w14:solidFill>
                  <w14:schemeClr w14:val="tx1"/>
                </w14:solidFill>
              </w14:textFill>
            </w:rPr>
          </w:sdtEndPr>
          <w:sdtContent>
            <w:tc>
              <w:tcPr>
                <w:tcW w:w="1190" w:type="pct"/>
                <w:gridSpan w:val="3"/>
                <w:vAlign w:val="center"/>
              </w:tcPr>
              <w:p w14:paraId="293CC810">
                <w:pPr>
                  <w:jc w:val="center"/>
                  <w:rPr>
                    <w:bCs w:val="0"/>
                    <w:color w:val="000000" w:themeColor="text1"/>
                    <w14:textFill>
                      <w14:solidFill>
                        <w14:schemeClr w14:val="tx1"/>
                      </w14:solidFill>
                    </w14:textFill>
                  </w:rPr>
                </w:pPr>
                <w:r>
                  <w:rPr>
                    <w:bCs w:val="0"/>
                    <w:color w:val="000000" w:themeColor="text1"/>
                    <w14:textFill>
                      <w14:solidFill>
                        <w14:schemeClr w14:val="tx1"/>
                      </w14:solidFill>
                    </w14:textFill>
                  </w:rPr>
                  <w:t>人民币普通股</w:t>
                </w:r>
              </w:p>
            </w:tc>
          </w:sdtContent>
        </w:sdt>
        <w:tc>
          <w:tcPr>
            <w:tcW w:w="822" w:type="pct"/>
            <w:vAlign w:val="center"/>
          </w:tcPr>
          <w:p w14:paraId="1BD3E57B">
            <w:pPr>
              <w:jc w:val="right"/>
            </w:pPr>
            <w:r>
              <w:rPr>
                <w:color w:val="000000"/>
              </w:rPr>
              <w:t>3,751,800</w:t>
            </w:r>
          </w:p>
        </w:tc>
      </w:tr>
      <w:tr w14:paraId="0C25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Align w:val="center"/>
          </w:tcPr>
          <w:p w14:paraId="3BDABB2B">
            <w:r>
              <w:rPr>
                <w:rFonts w:hint="eastAsia"/>
                <w:color w:val="000000"/>
              </w:rPr>
              <w:t>宋兴</w:t>
            </w:r>
          </w:p>
        </w:tc>
        <w:tc>
          <w:tcPr>
            <w:tcW w:w="1493" w:type="pct"/>
            <w:gridSpan w:val="3"/>
            <w:vAlign w:val="center"/>
          </w:tcPr>
          <w:p w14:paraId="514B23FB">
            <w:pPr>
              <w:jc w:val="right"/>
            </w:pPr>
            <w:r>
              <w:rPr>
                <w:color w:val="000000"/>
              </w:rPr>
              <w:t>3,698,000</w:t>
            </w:r>
          </w:p>
        </w:tc>
        <w:sdt>
          <w:sdtPr>
            <w:rPr>
              <w:bCs w:val="0"/>
              <w:color w:val="000000" w:themeColor="text1"/>
              <w14:textFill>
                <w14:solidFill>
                  <w14:schemeClr w14:val="tx1"/>
                </w14:solidFill>
              </w14:textFill>
            </w:rPr>
            <w:alias w:val="前十名无限售条件股东期末持有流通股的种类"/>
            <w:tag w:val="_GBC_5d0d3dfc3b8545ce906ab8a21728fb94"/>
            <w:id w:val="-1166539870"/>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rPr>
              <w:bCs w:val="0"/>
              <w:color w:val="000000" w:themeColor="text1"/>
              <w14:textFill>
                <w14:solidFill>
                  <w14:schemeClr w14:val="tx1"/>
                </w14:solidFill>
              </w14:textFill>
            </w:rPr>
          </w:sdtEndPr>
          <w:sdtContent>
            <w:tc>
              <w:tcPr>
                <w:tcW w:w="1190" w:type="pct"/>
                <w:gridSpan w:val="3"/>
                <w:vAlign w:val="center"/>
              </w:tcPr>
              <w:p w14:paraId="4AB03956">
                <w:pPr>
                  <w:jc w:val="center"/>
                  <w:rPr>
                    <w:bCs w:val="0"/>
                    <w:color w:val="000000" w:themeColor="text1"/>
                    <w14:textFill>
                      <w14:solidFill>
                        <w14:schemeClr w14:val="tx1"/>
                      </w14:solidFill>
                    </w14:textFill>
                  </w:rPr>
                </w:pPr>
                <w:r>
                  <w:rPr>
                    <w:bCs w:val="0"/>
                    <w:color w:val="000000" w:themeColor="text1"/>
                    <w14:textFill>
                      <w14:solidFill>
                        <w14:schemeClr w14:val="tx1"/>
                      </w14:solidFill>
                    </w14:textFill>
                  </w:rPr>
                  <w:t>人民币普通股</w:t>
                </w:r>
              </w:p>
            </w:tc>
          </w:sdtContent>
        </w:sdt>
        <w:tc>
          <w:tcPr>
            <w:tcW w:w="822" w:type="pct"/>
            <w:vAlign w:val="center"/>
          </w:tcPr>
          <w:p w14:paraId="65947A52">
            <w:pPr>
              <w:jc w:val="right"/>
            </w:pPr>
            <w:r>
              <w:rPr>
                <w:color w:val="000000"/>
              </w:rPr>
              <w:t>3,698,000</w:t>
            </w:r>
          </w:p>
        </w:tc>
      </w:tr>
      <w:tr w14:paraId="17D6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Align w:val="center"/>
          </w:tcPr>
          <w:p w14:paraId="18882056">
            <w:r>
              <w:rPr>
                <w:rFonts w:hint="eastAsia"/>
                <w:color w:val="000000"/>
              </w:rPr>
              <w:t>王文成</w:t>
            </w:r>
          </w:p>
        </w:tc>
        <w:tc>
          <w:tcPr>
            <w:tcW w:w="1493" w:type="pct"/>
            <w:gridSpan w:val="3"/>
            <w:vAlign w:val="center"/>
          </w:tcPr>
          <w:p w14:paraId="394D5451">
            <w:pPr>
              <w:jc w:val="right"/>
            </w:pPr>
            <w:r>
              <w:rPr>
                <w:color w:val="000000"/>
              </w:rPr>
              <w:t>3,350,000</w:t>
            </w:r>
          </w:p>
        </w:tc>
        <w:sdt>
          <w:sdtPr>
            <w:rPr>
              <w:bCs w:val="0"/>
              <w:color w:val="000000" w:themeColor="text1"/>
              <w14:textFill>
                <w14:solidFill>
                  <w14:schemeClr w14:val="tx1"/>
                </w14:solidFill>
              </w14:textFill>
            </w:rPr>
            <w:alias w:val="前十名无限售条件股东期末持有流通股的种类"/>
            <w:tag w:val="_GBC_5d0d3dfc3b8545ce906ab8a21728fb94"/>
            <w:id w:val="-1670237916"/>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rPr>
              <w:bCs w:val="0"/>
              <w:color w:val="000000" w:themeColor="text1"/>
              <w14:textFill>
                <w14:solidFill>
                  <w14:schemeClr w14:val="tx1"/>
                </w14:solidFill>
              </w14:textFill>
            </w:rPr>
          </w:sdtEndPr>
          <w:sdtContent>
            <w:tc>
              <w:tcPr>
                <w:tcW w:w="1190" w:type="pct"/>
                <w:gridSpan w:val="3"/>
                <w:vAlign w:val="center"/>
              </w:tcPr>
              <w:p w14:paraId="66A86F6E">
                <w:pPr>
                  <w:jc w:val="center"/>
                  <w:rPr>
                    <w:bCs w:val="0"/>
                    <w:color w:val="000000" w:themeColor="text1"/>
                    <w14:textFill>
                      <w14:solidFill>
                        <w14:schemeClr w14:val="tx1"/>
                      </w14:solidFill>
                    </w14:textFill>
                  </w:rPr>
                </w:pPr>
                <w:r>
                  <w:rPr>
                    <w:bCs w:val="0"/>
                    <w:color w:val="000000" w:themeColor="text1"/>
                    <w14:textFill>
                      <w14:solidFill>
                        <w14:schemeClr w14:val="tx1"/>
                      </w14:solidFill>
                    </w14:textFill>
                  </w:rPr>
                  <w:t>人民币普通股</w:t>
                </w:r>
              </w:p>
            </w:tc>
          </w:sdtContent>
        </w:sdt>
        <w:tc>
          <w:tcPr>
            <w:tcW w:w="822" w:type="pct"/>
            <w:vAlign w:val="center"/>
          </w:tcPr>
          <w:p w14:paraId="66C7BE27">
            <w:pPr>
              <w:jc w:val="right"/>
            </w:pPr>
            <w:r>
              <w:rPr>
                <w:color w:val="000000"/>
              </w:rPr>
              <w:t>3,350,000</w:t>
            </w:r>
          </w:p>
        </w:tc>
      </w:tr>
      <w:tr w14:paraId="0314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Align w:val="center"/>
          </w:tcPr>
          <w:p w14:paraId="268E51AC">
            <w:r>
              <w:rPr>
                <w:rFonts w:hint="eastAsia"/>
                <w:color w:val="000000"/>
              </w:rPr>
              <w:t>王宝财</w:t>
            </w:r>
          </w:p>
        </w:tc>
        <w:tc>
          <w:tcPr>
            <w:tcW w:w="1493" w:type="pct"/>
            <w:gridSpan w:val="3"/>
            <w:vAlign w:val="center"/>
          </w:tcPr>
          <w:p w14:paraId="3CDFF965">
            <w:pPr>
              <w:jc w:val="right"/>
            </w:pPr>
            <w:r>
              <w:rPr>
                <w:color w:val="000000"/>
              </w:rPr>
              <w:t>3,215,400</w:t>
            </w:r>
          </w:p>
        </w:tc>
        <w:sdt>
          <w:sdtPr>
            <w:rPr>
              <w:bCs w:val="0"/>
              <w:color w:val="000000" w:themeColor="text1"/>
              <w14:textFill>
                <w14:solidFill>
                  <w14:schemeClr w14:val="tx1"/>
                </w14:solidFill>
              </w14:textFill>
            </w:rPr>
            <w:alias w:val="前十名无限售条件股东期末持有流通股的种类"/>
            <w:tag w:val="_GBC_5d0d3dfc3b8545ce906ab8a21728fb94"/>
            <w:id w:val="1953357454"/>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rPr>
              <w:bCs w:val="0"/>
              <w:color w:val="000000" w:themeColor="text1"/>
              <w14:textFill>
                <w14:solidFill>
                  <w14:schemeClr w14:val="tx1"/>
                </w14:solidFill>
              </w14:textFill>
            </w:rPr>
          </w:sdtEndPr>
          <w:sdtContent>
            <w:tc>
              <w:tcPr>
                <w:tcW w:w="1190" w:type="pct"/>
                <w:gridSpan w:val="3"/>
                <w:vAlign w:val="center"/>
              </w:tcPr>
              <w:p w14:paraId="776F5D39">
                <w:pPr>
                  <w:jc w:val="center"/>
                  <w:rPr>
                    <w:bCs w:val="0"/>
                    <w:color w:val="000000" w:themeColor="text1"/>
                    <w14:textFill>
                      <w14:solidFill>
                        <w14:schemeClr w14:val="tx1"/>
                      </w14:solidFill>
                    </w14:textFill>
                  </w:rPr>
                </w:pPr>
                <w:r>
                  <w:rPr>
                    <w:bCs w:val="0"/>
                    <w:color w:val="000000" w:themeColor="text1"/>
                    <w14:textFill>
                      <w14:solidFill>
                        <w14:schemeClr w14:val="tx1"/>
                      </w14:solidFill>
                    </w14:textFill>
                  </w:rPr>
                  <w:t>人民币普通股</w:t>
                </w:r>
              </w:p>
            </w:tc>
          </w:sdtContent>
        </w:sdt>
        <w:tc>
          <w:tcPr>
            <w:tcW w:w="822" w:type="pct"/>
            <w:vAlign w:val="center"/>
          </w:tcPr>
          <w:p w14:paraId="06584321">
            <w:pPr>
              <w:jc w:val="right"/>
            </w:pPr>
            <w:r>
              <w:rPr>
                <w:color w:val="000000"/>
              </w:rPr>
              <w:t>3,215,400</w:t>
            </w:r>
          </w:p>
        </w:tc>
      </w:tr>
      <w:tr w14:paraId="5863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Align w:val="center"/>
          </w:tcPr>
          <w:p w14:paraId="315EAC2E">
            <w:pPr>
              <w:rPr>
                <w:color w:val="000000" w:themeColor="text1"/>
                <w14:textFill>
                  <w14:solidFill>
                    <w14:schemeClr w14:val="tx1"/>
                  </w14:solidFill>
                </w14:textFill>
              </w:rPr>
            </w:pPr>
            <w:r>
              <w:rPr>
                <w:rFonts w:hint="eastAsia"/>
                <w:color w:val="000000" w:themeColor="text1"/>
                <w14:textFill>
                  <w14:solidFill>
                    <w14:schemeClr w14:val="tx1"/>
                  </w14:solidFill>
                </w14:textFill>
              </w:rPr>
              <w:t>前十名股东中回购专户情况说明</w:t>
            </w:r>
          </w:p>
        </w:tc>
        <w:tc>
          <w:tcPr>
            <w:tcW w:w="3505" w:type="pct"/>
            <w:gridSpan w:val="7"/>
            <w:vAlign w:val="center"/>
          </w:tcPr>
          <w:p w14:paraId="180023A1">
            <w:r>
              <w:rPr>
                <w:rFonts w:hint="eastAsia"/>
              </w:rPr>
              <w:t>无</w:t>
            </w:r>
          </w:p>
        </w:tc>
      </w:tr>
      <w:tr w14:paraId="2875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Align w:val="center"/>
          </w:tcPr>
          <w:p w14:paraId="7CB78455">
            <w:pPr>
              <w:rPr>
                <w:color w:val="000000" w:themeColor="text1"/>
                <w14:textFill>
                  <w14:solidFill>
                    <w14:schemeClr w14:val="tx1"/>
                  </w14:solidFill>
                </w14:textFill>
              </w:rPr>
            </w:pPr>
            <w:r>
              <w:rPr>
                <w:color w:val="000000" w:themeColor="text1"/>
                <w14:textFill>
                  <w14:solidFill>
                    <w14:schemeClr w14:val="tx1"/>
                  </w14:solidFill>
                </w14:textFill>
              </w:rPr>
              <w:t>上述股东</w:t>
            </w:r>
            <w:r>
              <w:rPr>
                <w:rFonts w:hint="eastAsia"/>
                <w:color w:val="000000" w:themeColor="text1"/>
                <w14:textFill>
                  <w14:solidFill>
                    <w14:schemeClr w14:val="tx1"/>
                  </w14:solidFill>
                </w14:textFill>
              </w:rPr>
              <w:t>委托表决权、受托表决权、放弃表决权</w:t>
            </w:r>
            <w:r>
              <w:rPr>
                <w:color w:val="000000" w:themeColor="text1"/>
                <w14:textFill>
                  <w14:solidFill>
                    <w14:schemeClr w14:val="tx1"/>
                  </w14:solidFill>
                </w14:textFill>
              </w:rPr>
              <w:t>的说明</w:t>
            </w:r>
          </w:p>
        </w:tc>
        <w:tc>
          <w:tcPr>
            <w:tcW w:w="3505" w:type="pct"/>
            <w:gridSpan w:val="7"/>
            <w:vAlign w:val="center"/>
          </w:tcPr>
          <w:p w14:paraId="275CA6BE">
            <w:r>
              <w:rPr>
                <w:rFonts w:hint="eastAsia"/>
              </w:rPr>
              <w:t>无</w:t>
            </w:r>
          </w:p>
        </w:tc>
      </w:tr>
      <w:tr w14:paraId="23F8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Align w:val="center"/>
          </w:tcPr>
          <w:p w14:paraId="4210E252">
            <w:pPr>
              <w:rPr>
                <w:color w:val="000000" w:themeColor="text1"/>
                <w14:textFill>
                  <w14:solidFill>
                    <w14:schemeClr w14:val="tx1"/>
                  </w14:solidFill>
                </w14:textFill>
              </w:rPr>
            </w:pPr>
            <w:r>
              <w:rPr>
                <w:color w:val="000000" w:themeColor="text1"/>
                <w14:textFill>
                  <w14:solidFill>
                    <w14:schemeClr w14:val="tx1"/>
                  </w14:solidFill>
                </w14:textFill>
              </w:rPr>
              <w:t>上述股东关联关系或一致行动的说明</w:t>
            </w:r>
          </w:p>
        </w:tc>
        <w:tc>
          <w:tcPr>
            <w:tcW w:w="3505" w:type="pct"/>
            <w:gridSpan w:val="7"/>
            <w:vAlign w:val="center"/>
          </w:tcPr>
          <w:p w14:paraId="1CC746EC">
            <w:r>
              <w:rPr>
                <w:rFonts w:hint="eastAsia"/>
              </w:rPr>
              <w:t>好当家集团有限公司系公司控股股东、实际控制人唐传勤先生。未知其他股东之间是否存在关联关系或一致行动。</w:t>
            </w:r>
          </w:p>
        </w:tc>
      </w:tr>
      <w:tr w14:paraId="1B51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95" w:type="pct"/>
            <w:gridSpan w:val="2"/>
            <w:vAlign w:val="center"/>
          </w:tcPr>
          <w:p w14:paraId="10FE17BB">
            <w:pPr>
              <w:rPr>
                <w:color w:val="000000" w:themeColor="text1"/>
                <w14:textFill>
                  <w14:solidFill>
                    <w14:schemeClr w14:val="tx1"/>
                  </w14:solidFill>
                </w14:textFill>
              </w:rPr>
            </w:pPr>
            <w:r>
              <w:rPr>
                <w:rFonts w:hint="eastAsia"/>
                <w:color w:val="000000" w:themeColor="text1"/>
                <w14:textFill>
                  <w14:solidFill>
                    <w14:schemeClr w14:val="tx1"/>
                  </w14:solidFill>
                </w14:textFill>
              </w:rPr>
              <w:t>表决权恢复的优先股股东及持股数量的说明</w:t>
            </w:r>
          </w:p>
        </w:tc>
        <w:tc>
          <w:tcPr>
            <w:tcW w:w="3505" w:type="pct"/>
            <w:gridSpan w:val="7"/>
            <w:vAlign w:val="center"/>
          </w:tcPr>
          <w:p w14:paraId="7EE110E2">
            <w:r>
              <w:rPr>
                <w:rFonts w:hint="eastAsia"/>
              </w:rPr>
              <w:t>无</w:t>
            </w:r>
          </w:p>
        </w:tc>
      </w:tr>
    </w:tbl>
    <w:p w14:paraId="2908A788">
      <w:pPr>
        <w:rPr>
          <w:color w:val="000000" w:themeColor="text1"/>
          <w14:textFill>
            <w14:solidFill>
              <w14:schemeClr w14:val="tx1"/>
            </w14:solidFill>
          </w14:textFill>
        </w:rPr>
      </w:pPr>
    </w:p>
    <w:p w14:paraId="4C0FCFFE">
      <w:pPr>
        <w:rPr>
          <w:color w:val="000000" w:themeColor="text1"/>
          <w14:textFill>
            <w14:solidFill>
              <w14:schemeClr w14:val="tx1"/>
            </w14:solidFill>
          </w14:textFill>
        </w:rPr>
      </w:pPr>
      <w:bookmarkStart w:id="91" w:name="_Hlk155094173"/>
      <w:bookmarkStart w:id="92" w:name="_Hlk161321917"/>
      <w:bookmarkStart w:id="93" w:name="_Hlk161154245"/>
      <w:bookmarkStart w:id="94" w:name="_Hlk169006123"/>
      <w:bookmarkStart w:id="95" w:name="_Hlk167799956"/>
      <w:r>
        <w:rPr>
          <w:rFonts w:hint="eastAsia"/>
          <w:color w:val="000000" w:themeColor="text1"/>
          <w14:textFill>
            <w14:solidFill>
              <w14:schemeClr w14:val="tx1"/>
            </w14:solidFill>
          </w14:textFill>
        </w:rPr>
        <w:t>持股</w:t>
      </w:r>
      <w:r>
        <w:rPr>
          <w:color w:val="000000" w:themeColor="text1"/>
          <w14:textFill>
            <w14:solidFill>
              <w14:schemeClr w14:val="tx1"/>
            </w14:solidFill>
          </w14:textFill>
        </w:rPr>
        <w:t>5%以上股东、前</w:t>
      </w:r>
      <w:r>
        <w:rPr>
          <w:rFonts w:hint="eastAsia"/>
          <w:color w:val="000000" w:themeColor="text1"/>
          <w14:textFill>
            <w14:solidFill>
              <w14:schemeClr w14:val="tx1"/>
            </w14:solidFill>
          </w14:textFill>
        </w:rPr>
        <w:t>十</w:t>
      </w:r>
      <w:r>
        <w:rPr>
          <w:color w:val="000000" w:themeColor="text1"/>
          <w14:textFill>
            <w14:solidFill>
              <w14:schemeClr w14:val="tx1"/>
            </w14:solidFill>
          </w14:textFill>
        </w:rPr>
        <w:t>名股东及前</w:t>
      </w:r>
      <w:r>
        <w:rPr>
          <w:rFonts w:hint="eastAsia"/>
          <w:color w:val="000000" w:themeColor="text1"/>
          <w14:textFill>
            <w14:solidFill>
              <w14:schemeClr w14:val="tx1"/>
            </w14:solidFill>
          </w14:textFill>
        </w:rPr>
        <w:t>十</w:t>
      </w:r>
      <w:r>
        <w:rPr>
          <w:color w:val="000000" w:themeColor="text1"/>
          <w14:textFill>
            <w14:solidFill>
              <w14:schemeClr w14:val="tx1"/>
            </w14:solidFill>
          </w14:textFill>
        </w:rPr>
        <w:t>名无限售流通股股东参与转融通业务出借股份情况</w:t>
      </w:r>
    </w:p>
    <w:sdt>
      <w:sdtPr>
        <w:rPr>
          <w:bCs w:val="0"/>
          <w:color w:val="000000" w:themeColor="text1"/>
          <w14:textFill>
            <w14:solidFill>
              <w14:schemeClr w14:val="tx1"/>
            </w14:solidFill>
          </w14:textFill>
        </w:rPr>
        <w:alias w:val="是否适用：前十名股东参与转融通业务出借股份情况[双击切换]"/>
        <w:tag w:val="_GBC_781f403c98a6480ab0058d21456ae70f"/>
        <w:id w:val="1160120447"/>
        <w:placeholder>
          <w:docPart w:val="GBC22222222222222222222222222222"/>
        </w:placeholder>
      </w:sdtPr>
      <w:sdtEndPr>
        <w:rPr>
          <w:bCs w:val="0"/>
          <w:color w:val="000000" w:themeColor="text1"/>
          <w14:textFill>
            <w14:solidFill>
              <w14:schemeClr w14:val="tx1"/>
            </w14:solidFill>
          </w14:textFill>
        </w:rPr>
      </w:sdtEndPr>
      <w:sdtContent>
        <w:p w14:paraId="15AB16F9">
          <w:pPr>
            <w:rPr>
              <w:bCs w:val="0"/>
              <w:color w:val="000000" w:themeColor="text1"/>
              <w14:textFill>
                <w14:solidFill>
                  <w14:schemeClr w14:val="tx1"/>
                </w14:solidFill>
              </w14:textFill>
            </w:rPr>
          </w:pPr>
          <w:r>
            <w:rPr>
              <w:rFonts w:ascii="宋体" w:hAnsi="宋体"/>
              <w:bCs w:val="0"/>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bCs w:val="0"/>
              <w:color w:val="000000" w:themeColor="text1"/>
              <w14:textFill>
                <w14:solidFill>
                  <w14:schemeClr w14:val="tx1"/>
                </w14:solidFill>
              </w14:textFill>
            </w:rPr>
            <w:fldChar w:fldCharType="end"/>
          </w:r>
          <w:r>
            <w:rPr>
              <w:rFonts w:ascii="宋体" w:hAnsi="宋体"/>
              <w:bCs w:val="0"/>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bCs w:val="0"/>
              <w:color w:val="000000" w:themeColor="text1"/>
              <w14:textFill>
                <w14:solidFill>
                  <w14:schemeClr w14:val="tx1"/>
                </w14:solidFill>
              </w14:textFill>
            </w:rPr>
            <w:fldChar w:fldCharType="end"/>
          </w:r>
        </w:p>
      </w:sdtContent>
    </w:sdt>
    <w:p w14:paraId="5F9CFDCF">
      <w:pPr>
        <w:rPr>
          <w:color w:val="000000" w:themeColor="text1"/>
          <w14:textFill>
            <w14:solidFill>
              <w14:schemeClr w14:val="tx1"/>
            </w14:solidFill>
          </w14:textFill>
        </w:rPr>
      </w:pPr>
    </w:p>
    <w:bookmarkEnd w:id="91"/>
    <w:p w14:paraId="24C1E69C">
      <w:pPr>
        <w:rPr>
          <w:color w:val="000000" w:themeColor="text1"/>
          <w14:textFill>
            <w14:solidFill>
              <w14:schemeClr w14:val="tx1"/>
            </w14:solidFill>
          </w14:textFill>
        </w:rPr>
      </w:pPr>
      <w:bookmarkStart w:id="96" w:name="_Hlk155094189"/>
      <w:r>
        <w:rPr>
          <w:rFonts w:hint="eastAsia"/>
          <w:color w:val="000000" w:themeColor="text1"/>
          <w14:textFill>
            <w14:solidFill>
              <w14:schemeClr w14:val="tx1"/>
            </w14:solidFill>
          </w14:textFill>
        </w:rPr>
        <w:t>前十</w:t>
      </w:r>
      <w:r>
        <w:rPr>
          <w:color w:val="000000" w:themeColor="text1"/>
          <w14:textFill>
            <w14:solidFill>
              <w14:schemeClr w14:val="tx1"/>
            </w14:solidFill>
          </w14:textFill>
        </w:rPr>
        <w:t>名股东及前</w:t>
      </w:r>
      <w:r>
        <w:rPr>
          <w:rFonts w:hint="eastAsia"/>
          <w:color w:val="000000" w:themeColor="text1"/>
          <w14:textFill>
            <w14:solidFill>
              <w14:schemeClr w14:val="tx1"/>
            </w14:solidFill>
          </w14:textFill>
        </w:rPr>
        <w:t>十</w:t>
      </w:r>
      <w:r>
        <w:rPr>
          <w:color w:val="000000" w:themeColor="text1"/>
          <w14:textFill>
            <w14:solidFill>
              <w14:schemeClr w14:val="tx1"/>
            </w14:solidFill>
          </w14:textFill>
        </w:rPr>
        <w:t>名无限售流通股股东因转融通出借/归还原因导致较上期发生变化</w:t>
      </w:r>
    </w:p>
    <w:sdt>
      <w:sdtPr>
        <w:rPr>
          <w:rFonts w:hint="eastAsia"/>
          <w:color w:val="000000" w:themeColor="text1"/>
          <w14:textFill>
            <w14:solidFill>
              <w14:schemeClr w14:val="tx1"/>
            </w14:solidFill>
          </w14:textFill>
        </w:rPr>
        <w:alias w:val="是否适用：前十名股东较上期发生变化[双击切换]"/>
        <w:tag w:val="_GBC_892ba31f016544c894d3e29851e8125d"/>
        <w:id w:val="1658182052"/>
        <w:placeholder>
          <w:docPart w:val="GBC22222222222222222222222222222"/>
        </w:placeholder>
      </w:sdtPr>
      <w:sdtEndPr>
        <w:rPr>
          <w:rFonts w:hint="eastAsia"/>
          <w:color w:val="000000" w:themeColor="text1"/>
          <w14:textFill>
            <w14:solidFill>
              <w14:schemeClr w14:val="tx1"/>
            </w14:solidFill>
          </w14:textFill>
        </w:rPr>
      </w:sdtEndPr>
      <w:sdtContent>
        <w:p w14:paraId="3DB8C48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458C21D">
      <w:pPr>
        <w:rPr>
          <w:color w:val="000000" w:themeColor="text1"/>
          <w14:textFill>
            <w14:solidFill>
              <w14:schemeClr w14:val="tx1"/>
            </w14:solidFill>
          </w14:textFill>
        </w:rPr>
      </w:pPr>
    </w:p>
    <w:bookmarkEnd w:id="92"/>
    <w:bookmarkEnd w:id="93"/>
    <w:bookmarkEnd w:id="94"/>
    <w:bookmarkEnd w:id="95"/>
    <w:bookmarkEnd w:id="96"/>
    <w:p w14:paraId="0C1BC687">
      <w:pPr>
        <w:rPr>
          <w:color w:val="000000" w:themeColor="text1"/>
          <w14:textFill>
            <w14:solidFill>
              <w14:schemeClr w14:val="tx1"/>
            </w14:solidFill>
          </w14:textFill>
        </w:rPr>
      </w:pPr>
      <w:r>
        <w:rPr>
          <w:color w:val="000000" w:themeColor="text1"/>
          <w14:textFill>
            <w14:solidFill>
              <w14:schemeClr w14:val="tx1"/>
            </w14:solidFill>
          </w14:textFill>
        </w:rPr>
        <w:t>前十名有限售条件股东持股数量及限售条件</w:t>
      </w:r>
    </w:p>
    <w:sdt>
      <w:sdtPr>
        <w:rPr>
          <w:bCs w:val="0"/>
          <w:color w:val="000000" w:themeColor="text1"/>
          <w14:textFill>
            <w14:solidFill>
              <w14:schemeClr w14:val="tx1"/>
            </w14:solidFill>
          </w14:textFill>
        </w:rPr>
        <w:alias w:val="是否适用：前十名有限售条件股东持股数量及限售条件[双击切换]"/>
        <w:tag w:val="_GBC_681c25d581914cb19d4b007c00511b6a"/>
        <w:id w:val="-580221820"/>
        <w:placeholder>
          <w:docPart w:val="GBC22222222222222222222222222222"/>
        </w:placeholder>
      </w:sdtPr>
      <w:sdtEndPr>
        <w:rPr>
          <w:bCs w:val="0"/>
          <w:color w:val="000000" w:themeColor="text1"/>
          <w14:textFill>
            <w14:solidFill>
              <w14:schemeClr w14:val="tx1"/>
            </w14:solidFill>
          </w14:textFill>
        </w:rPr>
      </w:sdtEndPr>
      <w:sdtContent>
        <w:p w14:paraId="209BE36A">
          <w:pPr>
            <w:rPr>
              <w:bCs w:val="0"/>
              <w:color w:val="000000" w:themeColor="text1"/>
              <w14:textFill>
                <w14:solidFill>
                  <w14:schemeClr w14:val="tx1"/>
                </w14:solidFill>
              </w14:textFill>
            </w:rPr>
          </w:pPr>
          <w:r>
            <w:rPr>
              <w:rFonts w:ascii="宋体" w:hAnsi="宋体"/>
              <w:bCs w:val="0"/>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bCs w:val="0"/>
              <w:color w:val="000000" w:themeColor="text1"/>
              <w14:textFill>
                <w14:solidFill>
                  <w14:schemeClr w14:val="tx1"/>
                </w14:solidFill>
              </w14:textFill>
            </w:rPr>
            <w:fldChar w:fldCharType="end"/>
          </w:r>
          <w:r>
            <w:rPr>
              <w:rFonts w:ascii="宋体" w:hAnsi="宋体"/>
              <w:bCs w:val="0"/>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bCs w:val="0"/>
              <w:color w:val="000000" w:themeColor="text1"/>
              <w14:textFill>
                <w14:solidFill>
                  <w14:schemeClr w14:val="tx1"/>
                </w14:solidFill>
              </w14:textFill>
            </w:rPr>
            <w:fldChar w:fldCharType="end"/>
          </w:r>
        </w:p>
      </w:sdtContent>
    </w:sdt>
    <w:p w14:paraId="17702018">
      <w:pPr>
        <w:rPr>
          <w:color w:val="000000" w:themeColor="text1"/>
          <w14:textFill>
            <w14:solidFill>
              <w14:schemeClr w14:val="tx1"/>
            </w14:solidFill>
          </w14:textFill>
        </w:rPr>
      </w:pPr>
    </w:p>
    <w:p w14:paraId="438BF03E">
      <w:pPr>
        <w:pStyle w:val="4"/>
        <w:numPr>
          <w:ilvl w:val="1"/>
          <w:numId w:val="27"/>
        </w:numPr>
        <w:rPr>
          <w:rFonts w:hint="eastAsia" w:ascii="宋体" w:hAnsi="宋体"/>
          <w:color w:val="000000" w:themeColor="text1"/>
          <w14:textFill>
            <w14:solidFill>
              <w14:schemeClr w14:val="tx1"/>
            </w14:solidFill>
          </w14:textFill>
        </w:rPr>
      </w:pPr>
      <w:bookmarkStart w:id="97" w:name="_Toc342059486"/>
      <w:bookmarkEnd w:id="97"/>
      <w:bookmarkStart w:id="98" w:name="_Toc342565999"/>
      <w:bookmarkEnd w:id="98"/>
      <w:bookmarkStart w:id="99" w:name="_Hlk167800260"/>
      <w:bookmarkEnd w:id="99"/>
      <w:bookmarkStart w:id="100" w:name="_Toc342059487"/>
      <w:bookmarkStart w:id="101" w:name="_Toc342566000"/>
      <w:r>
        <w:rPr>
          <w:rFonts w:ascii="宋体" w:hAnsi="宋体"/>
          <w:color w:val="000000" w:themeColor="text1"/>
          <w14:textFill>
            <w14:solidFill>
              <w14:schemeClr w14:val="tx1"/>
            </w14:solidFill>
          </w14:textFill>
        </w:rPr>
        <w:t>战略投资者或一般法人因配售新股成为前</w:t>
      </w:r>
      <w:r>
        <w:rPr>
          <w:rFonts w:hint="eastAsia" w:ascii="宋体" w:hAnsi="宋体"/>
          <w:color w:val="000000" w:themeColor="text1"/>
          <w14:textFill>
            <w14:solidFill>
              <w14:schemeClr w14:val="tx1"/>
            </w14:solidFill>
          </w14:textFill>
        </w:rPr>
        <w:t>十</w:t>
      </w:r>
      <w:r>
        <w:rPr>
          <w:rFonts w:ascii="宋体" w:hAnsi="宋体"/>
          <w:color w:val="000000" w:themeColor="text1"/>
          <w14:textFill>
            <w14:solidFill>
              <w14:schemeClr w14:val="tx1"/>
            </w14:solidFill>
          </w14:textFill>
        </w:rPr>
        <w:t>名股东</w:t>
      </w:r>
    </w:p>
    <w:sdt>
      <w:sdtPr>
        <w:rPr>
          <w:color w:val="000000" w:themeColor="text1"/>
          <w14:textFill>
            <w14:solidFill>
              <w14:schemeClr w14:val="tx1"/>
            </w14:solidFill>
          </w14:textFill>
        </w:rPr>
        <w:alias w:val="是否适用：战略投资者或一般法人因配售新股成为前10名股东[双击切换]"/>
        <w:tag w:val="_GBC_fe7bdc72bd78490fb48d0f3eaca6248e"/>
        <w:id w:val="-1145200702"/>
        <w:placeholder>
          <w:docPart w:val="GBC22222222222222222222222222222"/>
        </w:placeholder>
      </w:sdtPr>
      <w:sdtEndPr>
        <w:rPr>
          <w:color w:val="000000" w:themeColor="text1"/>
          <w14:textFill>
            <w14:solidFill>
              <w14:schemeClr w14:val="tx1"/>
            </w14:solidFill>
          </w14:textFill>
        </w:rPr>
      </w:sdtEndPr>
      <w:sdtContent>
        <w:p w14:paraId="6A8C44D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23A403B">
      <w:pPr>
        <w:rPr>
          <w:color w:val="000000" w:themeColor="text1"/>
          <w14:textFill>
            <w14:solidFill>
              <w14:schemeClr w14:val="tx1"/>
            </w14:solidFill>
          </w14:textFill>
        </w:rPr>
      </w:pPr>
    </w:p>
    <w:p w14:paraId="2FBED387">
      <w:pPr>
        <w:pStyle w:val="3"/>
        <w:numPr>
          <w:ilvl w:val="0"/>
          <w:numId w:val="24"/>
        </w:numPr>
        <w:spacing w:line="360" w:lineRule="auto"/>
        <w:ind w:left="422" w:hanging="422"/>
        <w:rPr>
          <w:rFonts w:hint="eastAsia" w:ascii="宋体" w:hAnsi="宋体"/>
          <w:color w:val="000000" w:themeColor="text1"/>
          <w14:textFill>
            <w14:solidFill>
              <w14:schemeClr w14:val="tx1"/>
            </w14:solidFill>
          </w14:textFill>
        </w:rPr>
      </w:pPr>
      <w:bookmarkStart w:id="102" w:name="_Toc342057944"/>
      <w:bookmarkStart w:id="103" w:name="_Toc342566004"/>
      <w:r>
        <w:rPr>
          <w:rFonts w:ascii="宋体" w:hAnsi="宋体"/>
          <w:color w:val="000000" w:themeColor="text1"/>
          <w14:textFill>
            <w14:solidFill>
              <w14:schemeClr w14:val="tx1"/>
            </w14:solidFill>
          </w14:textFill>
        </w:rPr>
        <w:t>董事和高级管理人员情况</w:t>
      </w:r>
    </w:p>
    <w:p w14:paraId="46C5AF72">
      <w:pPr>
        <w:pStyle w:val="4"/>
        <w:numPr>
          <w:ilvl w:val="2"/>
          <w:numId w:val="28"/>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现任及报告期内离任董事和高级管理人员持股变动情况</w:t>
      </w:r>
    </w:p>
    <w:sdt>
      <w:sdtPr>
        <w:rPr>
          <w:color w:val="000000" w:themeColor="text1"/>
          <w14:textFill>
            <w14:solidFill>
              <w14:schemeClr w14:val="tx1"/>
            </w14:solidFill>
          </w14:textFill>
        </w:rPr>
        <w:alias w:val="是否适用：董事、监事和高级管理人员持股变动[双击切换]"/>
        <w:tag w:val="_GBC_e4aa9f89c24b4cbb80c479762adcf568"/>
        <w:id w:val="125984610"/>
        <w:placeholder>
          <w:docPart w:val="GBC22222222222222222222222222222"/>
        </w:placeholder>
      </w:sdtPr>
      <w:sdtEndPr>
        <w:rPr>
          <w:color w:val="000000" w:themeColor="text1"/>
          <w14:textFill>
            <w14:solidFill>
              <w14:schemeClr w14:val="tx1"/>
            </w14:solidFill>
          </w14:textFill>
        </w:rPr>
      </w:sdtEndPr>
      <w:sdtContent>
        <w:p w14:paraId="28E8743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8C04177">
      <w:pPr>
        <w:rPr>
          <w:color w:val="000000" w:themeColor="text1"/>
          <w14:textFill>
            <w14:solidFill>
              <w14:schemeClr w14:val="tx1"/>
            </w14:solidFill>
          </w14:textFill>
        </w:rPr>
      </w:pPr>
    </w:p>
    <w:p w14:paraId="029C755C">
      <w:pPr>
        <w:rPr>
          <w:color w:val="000000" w:themeColor="text1"/>
          <w14:textFill>
            <w14:solidFill>
              <w14:schemeClr w14:val="tx1"/>
            </w14:solidFill>
          </w14:textFill>
        </w:rPr>
      </w:pPr>
      <w:r>
        <w:rPr>
          <w:color w:val="000000" w:themeColor="text1"/>
          <w14:textFill>
            <w14:solidFill>
              <w14:schemeClr w14:val="tx1"/>
            </w14:solidFill>
          </w14:textFill>
        </w:rPr>
        <w:t>其它情况说明</w:t>
      </w:r>
    </w:p>
    <w:sdt>
      <w:sdtPr>
        <w:rPr>
          <w:color w:val="000000" w:themeColor="text1"/>
          <w14:textFill>
            <w14:solidFill>
              <w14:schemeClr w14:val="tx1"/>
            </w14:solidFill>
          </w14:textFill>
        </w:rPr>
        <w:alias w:val="是否适用：董事、监事 和高级管理人员持股变动及报酬情况其他情况说明[双击切换]"/>
        <w:tag w:val="_GBC_6604d619d6f94a81b12f8155637bb211"/>
        <w:id w:val="1175153599"/>
        <w:placeholder>
          <w:docPart w:val="GBC22222222222222222222222222222"/>
        </w:placeholder>
      </w:sdtPr>
      <w:sdtEndPr>
        <w:rPr>
          <w:color w:val="000000" w:themeColor="text1"/>
          <w14:textFill>
            <w14:solidFill>
              <w14:schemeClr w14:val="tx1"/>
            </w14:solidFill>
          </w14:textFill>
        </w:rPr>
      </w:sdtEndPr>
      <w:sdtContent>
        <w:p w14:paraId="474EF91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BB73A82">
      <w:pPr>
        <w:rPr>
          <w:color w:val="000000" w:themeColor="text1"/>
          <w14:textFill>
            <w14:solidFill>
              <w14:schemeClr w14:val="tx1"/>
            </w14:solidFill>
          </w14:textFill>
        </w:rPr>
      </w:pPr>
    </w:p>
    <w:bookmarkEnd w:id="102"/>
    <w:bookmarkEnd w:id="103"/>
    <w:p w14:paraId="7F4C5275">
      <w:pPr>
        <w:pStyle w:val="4"/>
        <w:numPr>
          <w:ilvl w:val="2"/>
          <w:numId w:val="28"/>
        </w:numPr>
        <w:rPr>
          <w:rFonts w:hint="eastAsia" w:ascii="宋体" w:hAnsi="宋体"/>
          <w:color w:val="000000" w:themeColor="text1"/>
          <w14:textFill>
            <w14:solidFill>
              <w14:schemeClr w14:val="tx1"/>
            </w14:solidFill>
          </w14:textFill>
        </w:rPr>
      </w:pPr>
      <w:bookmarkStart w:id="104" w:name="_Toc342057945"/>
      <w:bookmarkStart w:id="105" w:name="_Toc342566005"/>
      <w:r>
        <w:rPr>
          <w:rFonts w:hint="eastAsia" w:ascii="宋体" w:hAnsi="宋体"/>
          <w:color w:val="000000" w:themeColor="text1"/>
          <w14:textFill>
            <w14:solidFill>
              <w14:schemeClr w14:val="tx1"/>
            </w14:solidFill>
          </w14:textFill>
        </w:rPr>
        <w:t>董事、高级管理人员报告期内被授予的股权激励情况</w:t>
      </w:r>
      <w:bookmarkEnd w:id="104"/>
      <w:bookmarkEnd w:id="105"/>
    </w:p>
    <w:p w14:paraId="2E044C6A">
      <w:pPr>
        <w:kinsoku w:val="0"/>
        <w:overflowPunct w:val="0"/>
        <w:autoSpaceDE w:val="0"/>
        <w:autoSpaceDN w:val="0"/>
        <w:adjustRightInd w:val="0"/>
        <w:snapToGrid w:val="0"/>
        <w:rPr>
          <w:color w:val="000000" w:themeColor="text1"/>
          <w14:textFill>
            <w14:solidFill>
              <w14:schemeClr w14:val="tx1"/>
            </w14:solidFill>
          </w14:textFill>
        </w:rPr>
      </w:pPr>
      <w:sdt>
        <w:sdtPr>
          <w:rPr>
            <w:rFonts w:hint="eastAsia"/>
            <w:color w:val="000000" w:themeColor="text1"/>
            <w14:textFill>
              <w14:solidFill>
                <w14:schemeClr w14:val="tx1"/>
              </w14:solidFill>
            </w14:textFill>
          </w:rPr>
          <w:alias w:val="是否适用：董事、监事、高级管理人员报告期内被授予的股权激励情况[双击切换]"/>
          <w:tag w:val="_GBC_3c204ebee7cf4fc2a7c4a3ad63ffe1c4"/>
          <w:id w:val="392395513"/>
          <w:placeholder>
            <w:docPart w:val="GBC22222222222222222222222222222"/>
          </w:placeholder>
        </w:sdtPr>
        <w:sdtEndPr>
          <w:rPr>
            <w:rFonts w:hint="eastAsia"/>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p w14:paraId="75F4465C">
      <w:pPr>
        <w:rPr>
          <w:color w:val="000000" w:themeColor="text1"/>
          <w14:textFill>
            <w14:solidFill>
              <w14:schemeClr w14:val="tx1"/>
            </w14:solidFill>
          </w14:textFill>
        </w:rPr>
      </w:pPr>
    </w:p>
    <w:p w14:paraId="373C3F0B">
      <w:pPr>
        <w:rPr>
          <w:color w:val="000000" w:themeColor="text1"/>
          <w14:textFill>
            <w14:solidFill>
              <w14:schemeClr w14:val="tx1"/>
            </w14:solidFill>
          </w14:textFill>
        </w:rPr>
      </w:pPr>
    </w:p>
    <w:p w14:paraId="1D4B5A25">
      <w:pPr>
        <w:pStyle w:val="4"/>
        <w:numPr>
          <w:ilvl w:val="2"/>
          <w:numId w:val="28"/>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其他董事、监事、高级管理人员情况说明[双击切换]"/>
        <w:tag w:val="_GBC_8e7eb434c4c34c1b86cdb9f39b70c323"/>
        <w:id w:val="-1905973720"/>
        <w:placeholder>
          <w:docPart w:val="GBC22222222222222222222222222222"/>
        </w:placeholder>
      </w:sdtPr>
      <w:sdtEndPr>
        <w:rPr>
          <w:color w:val="000000" w:themeColor="text1"/>
          <w14:textFill>
            <w14:solidFill>
              <w14:schemeClr w14:val="tx1"/>
            </w14:solidFill>
          </w14:textFill>
        </w:rPr>
      </w:sdtEndPr>
      <w:sdtContent>
        <w:p w14:paraId="6ECE0C6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1BF2994">
      <w:pPr>
        <w:rPr>
          <w:color w:val="000000" w:themeColor="text1"/>
          <w14:textFill>
            <w14:solidFill>
              <w14:schemeClr w14:val="tx1"/>
            </w14:solidFill>
          </w14:textFill>
        </w:rPr>
      </w:pPr>
    </w:p>
    <w:bookmarkEnd w:id="100"/>
    <w:bookmarkEnd w:id="101"/>
    <w:p w14:paraId="4DAB0255">
      <w:pPr>
        <w:pStyle w:val="3"/>
        <w:numPr>
          <w:ilvl w:val="0"/>
          <w:numId w:val="24"/>
        </w:numPr>
        <w:spacing w:line="360" w:lineRule="auto"/>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控股股东或实际控制人变更情况</w:t>
      </w:r>
    </w:p>
    <w:sdt>
      <w:sdtPr>
        <w:rPr>
          <w:color w:val="000000" w:themeColor="text1"/>
          <w14:textFill>
            <w14:solidFill>
              <w14:schemeClr w14:val="tx1"/>
            </w14:solidFill>
          </w14:textFill>
        </w:rPr>
        <w:alias w:val="是否适用：控股股东及实际控制人变更情况[双击切换]"/>
        <w:tag w:val="_GBC_84ff369a3f714dbbbec5a13460906f4b"/>
        <w:id w:val="1986427473"/>
        <w:placeholder>
          <w:docPart w:val="GBC22222222222222222222222222222"/>
        </w:placeholder>
      </w:sdtPr>
      <w:sdtEndPr>
        <w:rPr>
          <w:color w:val="000000" w:themeColor="text1"/>
          <w14:textFill>
            <w14:solidFill>
              <w14:schemeClr w14:val="tx1"/>
            </w14:solidFill>
          </w14:textFill>
        </w:rPr>
      </w:sdtEndPr>
      <w:sdtContent>
        <w:p w14:paraId="3485628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C2295BC">
      <w:pPr>
        <w:rPr>
          <w:color w:val="000000" w:themeColor="text1"/>
          <w14:textFill>
            <w14:solidFill>
              <w14:schemeClr w14:val="tx1"/>
            </w14:solidFill>
          </w14:textFill>
        </w:rPr>
      </w:pPr>
    </w:p>
    <w:p w14:paraId="55D73752">
      <w:pPr>
        <w:pStyle w:val="3"/>
        <w:numPr>
          <w:ilvl w:val="0"/>
          <w:numId w:val="24"/>
        </w:numPr>
        <w:spacing w:line="360" w:lineRule="auto"/>
        <w:ind w:left="422" w:hanging="422"/>
        <w:rPr>
          <w:rFonts w:hint="eastAsia" w:ascii="黑体" w:hAnsi="黑体"/>
          <w:color w:val="000000" w:themeColor="text1"/>
          <w14:textFill>
            <w14:solidFill>
              <w14:schemeClr w14:val="tx1"/>
            </w14:solidFill>
          </w14:textFill>
        </w:rPr>
      </w:pPr>
      <w:bookmarkStart w:id="106" w:name="_Toc392233017"/>
      <w:bookmarkStart w:id="107" w:name="_Toc76114279"/>
      <w:r>
        <w:rPr>
          <w:rFonts w:hint="eastAsia" w:ascii="黑体" w:hAnsi="黑体"/>
          <w:color w:val="000000" w:themeColor="text1"/>
          <w14:textFill>
            <w14:solidFill>
              <w14:schemeClr w14:val="tx1"/>
            </w14:solidFill>
          </w14:textFill>
        </w:rPr>
        <w:t>优先股相关情况</w:t>
      </w:r>
    </w:p>
    <w:bookmarkEnd w:id="106"/>
    <w:bookmarkEnd w:id="107"/>
    <w:sdt>
      <w:sdtPr>
        <w:rPr>
          <w:color w:val="000000" w:themeColor="text1"/>
          <w14:textFill>
            <w14:solidFill>
              <w14:schemeClr w14:val="tx1"/>
            </w14:solidFill>
          </w14:textFill>
        </w:rPr>
        <w:alias w:val="是否适用：优先股相关情况[双击切换]"/>
        <w:tag w:val="_GBC_2113adbee8464e1c828b3d6d35c60abf"/>
        <w:id w:val="1457835923"/>
        <w:placeholder>
          <w:docPart w:val="GBC22222222222222222222222222222"/>
        </w:placeholder>
      </w:sdtPr>
      <w:sdtEndPr>
        <w:rPr>
          <w:color w:val="000000" w:themeColor="text1"/>
          <w14:textFill>
            <w14:solidFill>
              <w14:schemeClr w14:val="tx1"/>
            </w14:solidFill>
          </w14:textFill>
        </w:rPr>
      </w:sdtEndPr>
      <w:sdtContent>
        <w:p w14:paraId="3C721F8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130569D">
      <w:pPr>
        <w:rPr>
          <w:color w:val="000000" w:themeColor="text1"/>
          <w14:textFill>
            <w14:solidFill>
              <w14:schemeClr w14:val="tx1"/>
            </w14:solidFill>
          </w14:textFill>
        </w:rPr>
      </w:pPr>
    </w:p>
    <w:p w14:paraId="36776CF9">
      <w:pPr>
        <w:rPr>
          <w:color w:val="000000" w:themeColor="text1"/>
          <w14:textFill>
            <w14:solidFill>
              <w14:schemeClr w14:val="tx1"/>
            </w14:solidFill>
          </w14:textFill>
        </w:rPr>
      </w:pPr>
    </w:p>
    <w:p w14:paraId="1E9C5F2E">
      <w:pPr>
        <w:rPr>
          <w:color w:val="000000" w:themeColor="text1"/>
          <w14:textFill>
            <w14:solidFill>
              <w14:schemeClr w14:val="tx1"/>
            </w14:solidFill>
          </w14:textFill>
        </w:rPr>
        <w:sectPr>
          <w:pgSz w:w="11906" w:h="16838"/>
          <w:pgMar w:top="1525" w:right="1276" w:bottom="1440" w:left="1797" w:header="851" w:footer="992" w:gutter="0"/>
          <w:cols w:space="425" w:num="1"/>
          <w:docGrid w:linePitch="312" w:charSpace="0"/>
        </w:sectPr>
      </w:pPr>
    </w:p>
    <w:p w14:paraId="6FFC3B07">
      <w:pPr>
        <w:rPr>
          <w:color w:val="000000" w:themeColor="text1"/>
          <w14:textFill>
            <w14:solidFill>
              <w14:schemeClr w14:val="tx1"/>
            </w14:solidFill>
          </w14:textFill>
        </w:rPr>
      </w:pPr>
    </w:p>
    <w:p w14:paraId="3A717B26">
      <w:pPr>
        <w:pStyle w:val="2"/>
        <w:numPr>
          <w:ilvl w:val="0"/>
          <w:numId w:val="2"/>
        </w:numPr>
        <w:rPr>
          <w:rFonts w:hint="eastAsia" w:ascii="黑体" w:hAnsi="黑体"/>
          <w:bCs/>
          <w:color w:val="000000" w:themeColor="text1"/>
          <w:szCs w:val="28"/>
          <w14:textFill>
            <w14:solidFill>
              <w14:schemeClr w14:val="tx1"/>
            </w14:solidFill>
          </w14:textFill>
        </w:rPr>
      </w:pPr>
      <w:bookmarkStart w:id="108" w:name="_Toc236303311"/>
      <w:bookmarkStart w:id="109" w:name="_Toc76114280"/>
      <w:bookmarkStart w:id="110" w:name="_Toc438111012"/>
      <w:bookmarkStart w:id="111" w:name="_Toc437440717"/>
      <w:r>
        <w:rPr>
          <w:rFonts w:hint="eastAsia" w:ascii="黑体" w:hAnsi="黑体"/>
          <w:color w:val="000000" w:themeColor="text1"/>
          <w:szCs w:val="28"/>
          <w14:textFill>
            <w14:solidFill>
              <w14:schemeClr w14:val="tx1"/>
            </w14:solidFill>
          </w14:textFill>
        </w:rPr>
        <w:t>债券相关情况</w:t>
      </w:r>
      <w:bookmarkEnd w:id="108"/>
    </w:p>
    <w:bookmarkEnd w:id="109"/>
    <w:bookmarkEnd w:id="110"/>
    <w:bookmarkEnd w:id="111"/>
    <w:p w14:paraId="2E8E212B">
      <w:pPr>
        <w:pStyle w:val="3"/>
        <w:numPr>
          <w:ilvl w:val="0"/>
          <w:numId w:val="29"/>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公司债券（含企业债券）和非金融企业债务融资工具</w:t>
      </w:r>
    </w:p>
    <w:sdt>
      <w:sdtPr>
        <w:rPr>
          <w:color w:val="000000" w:themeColor="text1"/>
          <w14:textFill>
            <w14:solidFill>
              <w14:schemeClr w14:val="tx1"/>
            </w14:solidFill>
          </w14:textFill>
        </w:rPr>
        <w:alias w:val="是否适用：债券相关情况[双击切换]"/>
        <w:tag w:val="_GBC_8e6b9cf2d8c24a6faf41199f98e408b3"/>
        <w:id w:val="-478920776"/>
        <w:placeholder>
          <w:docPart w:val="GBC22222222222222222222222222222"/>
        </w:placeholder>
      </w:sdtPr>
      <w:sdtEndPr>
        <w:rPr>
          <w:color w:val="000000" w:themeColor="text1"/>
          <w14:textFill>
            <w14:solidFill>
              <w14:schemeClr w14:val="tx1"/>
            </w14:solidFill>
          </w14:textFill>
        </w:rPr>
      </w:sdtEndPr>
      <w:sdtContent>
        <w:p w14:paraId="1D9B4996">
          <w:pPr>
            <w:rPr>
              <w:color w:val="000000" w:themeColor="text1"/>
              <w14:textFill>
                <w14:solidFill>
                  <w14:schemeClr w14:val="tx1"/>
                </w14:solidFill>
              </w14:textFill>
            </w:rPr>
          </w:pPr>
          <w:bookmarkStart w:id="112" w:name="_Hlk73352152"/>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112"/>
    <w:p w14:paraId="6962C699">
      <w:pPr>
        <w:rPr>
          <w:color w:val="000000" w:themeColor="text1"/>
          <w14:textFill>
            <w14:solidFill>
              <w14:schemeClr w14:val="tx1"/>
            </w14:solidFill>
          </w14:textFill>
        </w:rPr>
      </w:pPr>
    </w:p>
    <w:p w14:paraId="0D69C3E3">
      <w:pPr>
        <w:pStyle w:val="3"/>
        <w:numPr>
          <w:ilvl w:val="0"/>
          <w:numId w:val="29"/>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可转换公司债券情况</w:t>
      </w:r>
    </w:p>
    <w:sdt>
      <w:sdtPr>
        <w:rPr>
          <w:color w:val="000000" w:themeColor="text1"/>
          <w14:textFill>
            <w14:solidFill>
              <w14:schemeClr w14:val="tx1"/>
            </w14:solidFill>
          </w14:textFill>
        </w:rPr>
        <w:alias w:val="是否适用：可转换公司债券情况[双击切换]"/>
        <w:tag w:val="_GBC_6a49e99841294af3b87ba6216b1997d9"/>
        <w:id w:val="1746447664"/>
        <w:placeholder>
          <w:docPart w:val="GBC22222222222222222222222222222"/>
        </w:placeholder>
      </w:sdtPr>
      <w:sdtEndPr>
        <w:rPr>
          <w:color w:val="000000" w:themeColor="text1"/>
          <w14:textFill>
            <w14:solidFill>
              <w14:schemeClr w14:val="tx1"/>
            </w14:solidFill>
          </w14:textFill>
        </w:rPr>
      </w:sdtEndPr>
      <w:sdtContent>
        <w:p w14:paraId="2D8C88F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36E8F93">
      <w:pPr>
        <w:rPr>
          <w:color w:val="000000" w:themeColor="text1"/>
          <w14:textFill>
            <w14:solidFill>
              <w14:schemeClr w14:val="tx1"/>
            </w14:solidFill>
          </w14:textFill>
        </w:rPr>
      </w:pPr>
    </w:p>
    <w:p w14:paraId="43869DD8">
      <w:pPr>
        <w:rPr>
          <w:color w:val="000000" w:themeColor="text1"/>
          <w14:textFill>
            <w14:solidFill>
              <w14:schemeClr w14:val="tx1"/>
            </w14:solidFill>
          </w14:textFill>
        </w:rPr>
      </w:pPr>
    </w:p>
    <w:p w14:paraId="1E623E17">
      <w:pPr>
        <w:rPr>
          <w:color w:val="000000" w:themeColor="text1"/>
          <w14:textFill>
            <w14:solidFill>
              <w14:schemeClr w14:val="tx1"/>
            </w14:solidFill>
          </w14:textFill>
        </w:rPr>
        <w:sectPr>
          <w:pgSz w:w="11906" w:h="16838"/>
          <w:pgMar w:top="1525" w:right="1276" w:bottom="1440" w:left="1797" w:header="851" w:footer="992" w:gutter="0"/>
          <w:cols w:space="425" w:num="1"/>
          <w:docGrid w:linePitch="312" w:charSpace="0"/>
        </w:sectPr>
      </w:pPr>
    </w:p>
    <w:p w14:paraId="39F4AAEF">
      <w:pPr>
        <w:pStyle w:val="2"/>
        <w:numPr>
          <w:ilvl w:val="0"/>
          <w:numId w:val="2"/>
        </w:numPr>
        <w:rPr>
          <w:rFonts w:hint="eastAsia" w:ascii="黑体" w:hAnsi="黑体"/>
          <w:bCs/>
          <w:color w:val="000000" w:themeColor="text1"/>
          <w:szCs w:val="28"/>
          <w14:textFill>
            <w14:solidFill>
              <w14:schemeClr w14:val="tx1"/>
            </w14:solidFill>
          </w14:textFill>
        </w:rPr>
      </w:pPr>
      <w:bookmarkStart w:id="113" w:name="_Toc236303312"/>
      <w:bookmarkStart w:id="114" w:name="_Toc76114281"/>
      <w:r>
        <w:rPr>
          <w:rFonts w:ascii="黑体" w:hAnsi="黑体"/>
          <w:color w:val="000000" w:themeColor="text1"/>
          <w:szCs w:val="28"/>
          <w14:textFill>
            <w14:solidFill>
              <w14:schemeClr w14:val="tx1"/>
            </w14:solidFill>
          </w14:textFill>
        </w:rPr>
        <w:t>财务报告</w:t>
      </w:r>
      <w:bookmarkEnd w:id="113"/>
    </w:p>
    <w:bookmarkEnd w:id="114"/>
    <w:p w14:paraId="7A4E5D99">
      <w:pPr>
        <w:pStyle w:val="3"/>
        <w:numPr>
          <w:ilvl w:val="0"/>
          <w:numId w:val="30"/>
        </w:numPr>
        <w:ind w:left="420" w:hanging="42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审计报告</w:t>
      </w:r>
    </w:p>
    <w:sdt>
      <w:sdtPr>
        <w:rPr>
          <w:color w:val="000000" w:themeColor="text1"/>
          <w14:textFill>
            <w14:solidFill>
              <w14:schemeClr w14:val="tx1"/>
            </w14:solidFill>
          </w14:textFill>
        </w:rPr>
        <w:alias w:val="是否适用：审计报告[双击切换]"/>
        <w:tag w:val="_GBC_33dac3baf6634fba91e3026ebaaad280"/>
        <w:id w:val="73873939"/>
        <w:placeholder>
          <w:docPart w:val="GBC22222222222222222222222222222"/>
        </w:placeholder>
      </w:sdtPr>
      <w:sdtEndPr>
        <w:rPr>
          <w:color w:val="000000" w:themeColor="text1"/>
          <w14:textFill>
            <w14:solidFill>
              <w14:schemeClr w14:val="tx1"/>
            </w14:solidFill>
          </w14:textFill>
        </w:rPr>
      </w:sdtEndPr>
      <w:sdtContent>
        <w:p w14:paraId="2B69C16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32E3C68">
      <w:pPr>
        <w:rPr>
          <w:color w:val="000000" w:themeColor="text1"/>
          <w14:textFill>
            <w14:solidFill>
              <w14:schemeClr w14:val="tx1"/>
            </w14:solidFill>
          </w14:textFill>
        </w:rPr>
      </w:pPr>
    </w:p>
    <w:p w14:paraId="6FD01208">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财务报表</w:t>
      </w:r>
    </w:p>
    <w:p w14:paraId="1C50BC36">
      <w:pPr>
        <w:pStyle w:val="4"/>
        <w:jc w:val="center"/>
        <w:rPr>
          <w:rFonts w:hint="eastAsia" w:ascii="宋体" w:hAnsi="宋体"/>
          <w:color w:val="000000" w:themeColor="text1"/>
          <w14:textFill>
            <w14:solidFill>
              <w14:schemeClr w14:val="tx1"/>
            </w14:solidFill>
          </w14:textFill>
        </w:rPr>
      </w:pPr>
      <w:bookmarkStart w:id="115" w:name="_Hlk10208794"/>
      <w:bookmarkStart w:id="116" w:name="OLE_LINK5"/>
      <w:r>
        <w:rPr>
          <w:rFonts w:hint="eastAsia" w:ascii="宋体" w:hAnsi="宋体"/>
          <w:color w:val="000000" w:themeColor="text1"/>
          <w14:textFill>
            <w14:solidFill>
              <w14:schemeClr w14:val="tx1"/>
            </w14:solidFill>
          </w14:textFill>
        </w:rPr>
        <w:t>合并资产负债表</w:t>
      </w:r>
    </w:p>
    <w:p w14:paraId="60512E78">
      <w:pPr>
        <w:snapToGrid w:val="0"/>
        <w:spacing w:line="240" w:lineRule="atLeast"/>
        <w:jc w:val="center"/>
        <w:rPr>
          <w:b/>
          <w:color w:val="000000" w:themeColor="text1"/>
          <w14:textFill>
            <w14:solidFill>
              <w14:schemeClr w14:val="tx1"/>
            </w14:solidFill>
          </w14:textFill>
        </w:rPr>
      </w:pPr>
      <w:r>
        <w:rPr>
          <w:color w:val="000000" w:themeColor="text1"/>
          <w14:textFill>
            <w14:solidFill>
              <w14:schemeClr w14:val="tx1"/>
            </w14:solidFill>
          </w14:textFill>
        </w:rPr>
        <w:t>2026年6月30日</w:t>
      </w:r>
    </w:p>
    <w:p w14:paraId="25709D0B">
      <w:pPr>
        <w:rPr>
          <w:color w:val="000000" w:themeColor="text1"/>
          <w14:textFill>
            <w14:solidFill>
              <w14:schemeClr w14:val="tx1"/>
            </w14:solidFill>
          </w14:textFill>
        </w:rPr>
      </w:pPr>
      <w:r>
        <w:rPr>
          <w:color w:val="000000" w:themeColor="text1"/>
          <w14:textFill>
            <w14:solidFill>
              <w14:schemeClr w14:val="tx1"/>
            </w14:solidFill>
          </w14:textFill>
        </w:rPr>
        <w:t xml:space="preserve">编制单位： </w:t>
      </w:r>
      <w:sdt>
        <w:sdtPr>
          <w:rPr>
            <w:color w:val="000000" w:themeColor="text1"/>
            <w14:textFill>
              <w14:solidFill>
                <w14:schemeClr w14:val="tx1"/>
              </w14:solidFill>
            </w14:textFill>
          </w:rPr>
          <w:alias w:val="公司法定中文名称"/>
          <w:tag w:val="_GBC_76dae7aa62d842859c05c05e750163c2"/>
          <w:id w:val="2116860832"/>
          <w:placeholder>
            <w:docPart w:val="GBC22222222222222222222222222222"/>
          </w:placeholder>
          <w:dataBinding w:prefixMappings="xmlns:clcid-cgi='clcid-cgi'" w:xpath="/*/clcid-cgi:GongSiFaDingZhongWenMingCheng[not(@periodRef)]" w:storeItemID="{89EBAB94-44A0-46A2-B712-30D997D04A6D}"/>
          <w:text/>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山东好当家海洋发展股份有限公司</w:t>
          </w:r>
        </w:sdtContent>
      </w:sdt>
    </w:p>
    <w:p w14:paraId="6C45749A">
      <w:pPr>
        <w:jc w:val="right"/>
        <w:rPr>
          <w:color w:val="000000" w:themeColor="text1"/>
          <w14:textFill>
            <w14:solidFill>
              <w14:schemeClr w14:val="tx1"/>
            </w14:solidFill>
          </w14:textFill>
        </w:rPr>
      </w:pPr>
      <w:r>
        <w:rPr>
          <w:color w:val="000000" w:themeColor="text1"/>
          <w14:textFill>
            <w14:solidFill>
              <w14:schemeClr w14:val="tx1"/>
            </w14:solidFill>
          </w14:textFill>
        </w:rPr>
        <w:t>单位：</w:t>
      </w:r>
      <w:sdt>
        <w:sdtPr>
          <w:rPr>
            <w:color w:val="000000" w:themeColor="text1"/>
            <w14:textFill>
              <w14:solidFill>
                <w14:schemeClr w14:val="tx1"/>
              </w14:solidFill>
            </w14:textFill>
          </w:rPr>
          <w:alias w:val="单位：合并资产负债表"/>
          <w:tag w:val="_GBC_710dced47e5943589779e071c78c5512"/>
          <w:id w:val="13306391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元</w:t>
          </w:r>
        </w:sdtContent>
      </w:sdt>
      <w:r>
        <w:rPr>
          <w:color w:val="000000" w:themeColor="text1"/>
          <w14:textFill>
            <w14:solidFill>
              <w14:schemeClr w14:val="tx1"/>
            </w14:solidFill>
          </w14:textFill>
        </w:rPr>
        <w:t xml:space="preserve"> 币种：</w:t>
      </w:r>
      <w:sdt>
        <w:sdtPr>
          <w:rPr>
            <w:color w:val="000000" w:themeColor="text1"/>
            <w14:textFill>
              <w14:solidFill>
                <w14:schemeClr w14:val="tx1"/>
              </w14:solidFill>
            </w14:textFill>
          </w:rPr>
          <w:alias w:val="币种：合并资产负债表"/>
          <w:tag w:val="_GBC_7e2679155b104d33ba04158c7414bcff"/>
          <w:id w:val="-20886011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人民币</w:t>
          </w:r>
        </w:sdtContent>
      </w:sdt>
    </w:p>
    <w:tbl>
      <w:tblPr>
        <w:tblStyle w:val="37"/>
        <w:tblW w:w="4994"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871"/>
        <w:gridCol w:w="1105"/>
        <w:gridCol w:w="2487"/>
        <w:gridCol w:w="2349"/>
      </w:tblGrid>
      <w:tr w14:paraId="25D23A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1d3f74748a444e6ea0d191e81e54edca"/>
            <w:id w:val="1753317194"/>
          </w:sdtPr>
          <w:sdtContent>
            <w:tc>
              <w:tcPr>
                <w:tcW w:w="1629" w:type="pct"/>
                <w:tcBorders>
                  <w:top w:val="outset" w:color="auto" w:sz="6" w:space="0"/>
                  <w:left w:val="outset" w:color="auto" w:sz="6" w:space="0"/>
                  <w:bottom w:val="outset" w:color="auto" w:sz="6" w:space="0"/>
                  <w:right w:val="outset" w:color="auto" w:sz="6" w:space="0"/>
                </w:tcBorders>
                <w:vAlign w:val="center"/>
              </w:tcPr>
              <w:p w14:paraId="3F972E55">
                <w:pPr>
                  <w:jc w:val="center"/>
                  <w:rPr>
                    <w:b/>
                    <w:color w:val="000000" w:themeColor="text1"/>
                    <w14:textFill>
                      <w14:solidFill>
                        <w14:schemeClr w14:val="tx1"/>
                      </w14:solidFill>
                    </w14:textFill>
                  </w:rPr>
                </w:pPr>
                <w:bookmarkStart w:id="117" w:name="_Hlk137046697"/>
                <w:r>
                  <w:rPr>
                    <w:b/>
                    <w:color w:val="000000" w:themeColor="text1"/>
                    <w14:textFill>
                      <w14:solidFill>
                        <w14:schemeClr w14:val="tx1"/>
                      </w14:solidFill>
                    </w14:textFill>
                  </w:rPr>
                  <w:t>项目</w:t>
                </w:r>
              </w:p>
            </w:tc>
          </w:sdtContent>
        </w:sdt>
        <w:sdt>
          <w:sdtPr>
            <w:tag w:val="_PLD_da216b439a53487e85f12225916c5563"/>
            <w:id w:val="-1776946590"/>
          </w:sdtPr>
          <w:sdtContent>
            <w:tc>
              <w:tcPr>
                <w:tcW w:w="627" w:type="pct"/>
                <w:tcBorders>
                  <w:top w:val="outset" w:color="auto" w:sz="6" w:space="0"/>
                  <w:left w:val="outset" w:color="auto" w:sz="6" w:space="0"/>
                  <w:bottom w:val="outset" w:color="auto" w:sz="6" w:space="0"/>
                  <w:right w:val="outset" w:color="auto" w:sz="6" w:space="0"/>
                </w:tcBorders>
                <w:vAlign w:val="center"/>
              </w:tcPr>
              <w:p w14:paraId="25D94C6C">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附注</w:t>
                </w:r>
              </w:p>
            </w:tc>
          </w:sdtContent>
        </w:sdt>
        <w:sdt>
          <w:sdtPr>
            <w:tag w:val="_PLD_21df1d74f3114abf83688ef31bc4d9a7"/>
            <w:id w:val="305754179"/>
          </w:sdtPr>
          <w:sdtContent>
            <w:tc>
              <w:tcPr>
                <w:tcW w:w="1411" w:type="pct"/>
                <w:tcBorders>
                  <w:top w:val="outset" w:color="auto" w:sz="6" w:space="0"/>
                  <w:left w:val="outset" w:color="auto" w:sz="6" w:space="0"/>
                  <w:bottom w:val="outset" w:color="auto" w:sz="6" w:space="0"/>
                  <w:right w:val="outset" w:color="auto" w:sz="6" w:space="0"/>
                </w:tcBorders>
                <w:vAlign w:val="center"/>
              </w:tcPr>
              <w:p w14:paraId="1C558109">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2026年6月</w:t>
                </w:r>
                <w:r>
                  <w:rPr>
                    <w:b/>
                    <w:color w:val="000000" w:themeColor="text1"/>
                    <w14:textFill>
                      <w14:solidFill>
                        <w14:schemeClr w14:val="tx1"/>
                      </w14:solidFill>
                    </w14:textFill>
                  </w:rPr>
                  <w:t>3</w:t>
                </w:r>
                <w:r>
                  <w:rPr>
                    <w:rFonts w:hint="eastAsia"/>
                    <w:b/>
                    <w:color w:val="000000" w:themeColor="text1"/>
                    <w14:textFill>
                      <w14:solidFill>
                        <w14:schemeClr w14:val="tx1"/>
                      </w14:solidFill>
                    </w14:textFill>
                  </w:rPr>
                  <w:t>0日</w:t>
                </w:r>
              </w:p>
            </w:tc>
          </w:sdtContent>
        </w:sdt>
        <w:sdt>
          <w:sdtPr>
            <w:tag w:val="_PLD_d92c936206d34a64b4b2139999e7311b"/>
            <w:id w:val="586124169"/>
          </w:sdtPr>
          <w:sdtContent>
            <w:tc>
              <w:tcPr>
                <w:tcW w:w="1333" w:type="pct"/>
                <w:tcBorders>
                  <w:top w:val="outset" w:color="auto" w:sz="6" w:space="0"/>
                  <w:left w:val="outset" w:color="auto" w:sz="6" w:space="0"/>
                  <w:bottom w:val="outset" w:color="auto" w:sz="6" w:space="0"/>
                  <w:right w:val="outset" w:color="auto" w:sz="6" w:space="0"/>
                </w:tcBorders>
                <w:vAlign w:val="center"/>
              </w:tcPr>
              <w:p w14:paraId="1743F9C8">
                <w:pPr>
                  <w:jc w:val="center"/>
                  <w:rPr>
                    <w:b/>
                    <w:color w:val="000000" w:themeColor="text1"/>
                    <w14:textFill>
                      <w14:solidFill>
                        <w14:schemeClr w14:val="tx1"/>
                      </w14:solidFill>
                    </w14:textFill>
                  </w:rPr>
                </w:pPr>
                <w:r>
                  <w:rPr>
                    <w:b/>
                    <w:color w:val="000000" w:themeColor="text1"/>
                    <w14:textFill>
                      <w14:solidFill>
                        <w14:schemeClr w14:val="tx1"/>
                      </w14:solidFill>
                    </w14:textFill>
                  </w:rPr>
                  <w:t>2025年12月31日</w:t>
                </w:r>
              </w:p>
            </w:tc>
          </w:sdtContent>
        </w:sdt>
      </w:tr>
      <w:tr w14:paraId="37560F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c47a329e79ad491ca413bdaf35b1f19b"/>
            <w:id w:val="1885606505"/>
          </w:sdtPr>
          <w:sdtContent>
            <w:tc>
              <w:tcPr>
                <w:tcW w:w="5000" w:type="pct"/>
                <w:gridSpan w:val="4"/>
                <w:tcBorders>
                  <w:top w:val="outset" w:color="auto" w:sz="6" w:space="0"/>
                  <w:left w:val="outset" w:color="auto" w:sz="6" w:space="0"/>
                  <w:bottom w:val="outset" w:color="auto" w:sz="6" w:space="0"/>
                  <w:right w:val="outset" w:color="auto" w:sz="6" w:space="0"/>
                </w:tcBorders>
                <w:vAlign w:val="center"/>
              </w:tcPr>
              <w:p w14:paraId="0D169B72">
                <w:pPr>
                  <w:rPr>
                    <w:b/>
                    <w:color w:val="000000" w:themeColor="text1"/>
                    <w14:textFill>
                      <w14:solidFill>
                        <w14:schemeClr w14:val="tx1"/>
                      </w14:solidFill>
                    </w14:textFill>
                  </w:rPr>
                </w:pPr>
                <w:r>
                  <w:rPr>
                    <w:rFonts w:hint="eastAsia"/>
                    <w:b/>
                    <w:color w:val="000000" w:themeColor="text1"/>
                    <w14:textFill>
                      <w14:solidFill>
                        <w14:schemeClr w14:val="tx1"/>
                      </w14:solidFill>
                    </w14:textFill>
                  </w:rPr>
                  <w:t>流动资产：</w:t>
                </w:r>
              </w:p>
            </w:tc>
          </w:sdtContent>
        </w:sdt>
      </w:tr>
      <w:tr w14:paraId="1F0906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BA6059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货币资金</w:t>
            </w:r>
          </w:p>
        </w:tc>
        <w:tc>
          <w:tcPr>
            <w:tcW w:w="627" w:type="pct"/>
            <w:tcBorders>
              <w:top w:val="outset" w:color="auto" w:sz="6" w:space="0"/>
              <w:left w:val="outset" w:color="auto" w:sz="6" w:space="0"/>
              <w:bottom w:val="outset" w:color="auto" w:sz="6" w:space="0"/>
              <w:right w:val="outset" w:color="auto" w:sz="6" w:space="0"/>
            </w:tcBorders>
            <w:vAlign w:val="center"/>
          </w:tcPr>
          <w:p w14:paraId="2B318CCF"/>
        </w:tc>
        <w:tc>
          <w:tcPr>
            <w:tcW w:w="1411" w:type="pct"/>
            <w:tcBorders>
              <w:top w:val="outset" w:color="auto" w:sz="6" w:space="0"/>
              <w:left w:val="outset" w:color="auto" w:sz="6" w:space="0"/>
              <w:bottom w:val="outset" w:color="auto" w:sz="6" w:space="0"/>
              <w:right w:val="outset" w:color="auto" w:sz="6" w:space="0"/>
            </w:tcBorders>
            <w:vAlign w:val="center"/>
          </w:tcPr>
          <w:p w14:paraId="26F3ACF4">
            <w:pPr>
              <w:jc w:val="right"/>
            </w:pPr>
            <w:r>
              <w:t>564,381,814.46</w:t>
            </w:r>
          </w:p>
        </w:tc>
        <w:tc>
          <w:tcPr>
            <w:tcW w:w="1333" w:type="pct"/>
            <w:tcBorders>
              <w:top w:val="outset" w:color="auto" w:sz="6" w:space="0"/>
              <w:left w:val="outset" w:color="auto" w:sz="6" w:space="0"/>
              <w:bottom w:val="outset" w:color="auto" w:sz="6" w:space="0"/>
              <w:right w:val="outset" w:color="auto" w:sz="6" w:space="0"/>
            </w:tcBorders>
            <w:vAlign w:val="center"/>
          </w:tcPr>
          <w:p w14:paraId="6D3ED89E">
            <w:pPr>
              <w:jc w:val="right"/>
            </w:pPr>
            <w:r>
              <w:t>439,939,019.02</w:t>
            </w:r>
          </w:p>
        </w:tc>
      </w:tr>
      <w:tr w14:paraId="48C75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842CCC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结算备付金</w:t>
            </w:r>
          </w:p>
        </w:tc>
        <w:tc>
          <w:tcPr>
            <w:tcW w:w="627" w:type="pct"/>
            <w:tcBorders>
              <w:top w:val="outset" w:color="auto" w:sz="6" w:space="0"/>
              <w:left w:val="outset" w:color="auto" w:sz="6" w:space="0"/>
              <w:bottom w:val="outset" w:color="auto" w:sz="6" w:space="0"/>
              <w:right w:val="outset" w:color="auto" w:sz="6" w:space="0"/>
            </w:tcBorders>
            <w:vAlign w:val="center"/>
          </w:tcPr>
          <w:p w14:paraId="75B5BE5C"/>
        </w:tc>
        <w:tc>
          <w:tcPr>
            <w:tcW w:w="1411" w:type="pct"/>
            <w:tcBorders>
              <w:top w:val="outset" w:color="auto" w:sz="6" w:space="0"/>
              <w:left w:val="outset" w:color="auto" w:sz="6" w:space="0"/>
              <w:bottom w:val="outset" w:color="auto" w:sz="6" w:space="0"/>
              <w:right w:val="outset" w:color="auto" w:sz="6" w:space="0"/>
            </w:tcBorders>
            <w:vAlign w:val="center"/>
          </w:tcPr>
          <w:p w14:paraId="5854BCBE">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45D99F76">
            <w:pPr>
              <w:jc w:val="right"/>
            </w:pPr>
          </w:p>
        </w:tc>
      </w:tr>
      <w:tr w14:paraId="4C9E1D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211C08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拆出资金</w:t>
            </w:r>
          </w:p>
        </w:tc>
        <w:tc>
          <w:tcPr>
            <w:tcW w:w="627" w:type="pct"/>
            <w:tcBorders>
              <w:top w:val="outset" w:color="auto" w:sz="6" w:space="0"/>
              <w:left w:val="outset" w:color="auto" w:sz="6" w:space="0"/>
              <w:bottom w:val="outset" w:color="auto" w:sz="6" w:space="0"/>
              <w:right w:val="outset" w:color="auto" w:sz="6" w:space="0"/>
            </w:tcBorders>
            <w:vAlign w:val="center"/>
          </w:tcPr>
          <w:p w14:paraId="1E137F8B"/>
        </w:tc>
        <w:tc>
          <w:tcPr>
            <w:tcW w:w="1411" w:type="pct"/>
            <w:tcBorders>
              <w:top w:val="outset" w:color="auto" w:sz="6" w:space="0"/>
              <w:left w:val="outset" w:color="auto" w:sz="6" w:space="0"/>
              <w:bottom w:val="outset" w:color="auto" w:sz="6" w:space="0"/>
              <w:right w:val="outset" w:color="auto" w:sz="6" w:space="0"/>
            </w:tcBorders>
            <w:vAlign w:val="center"/>
          </w:tcPr>
          <w:p w14:paraId="6D10A713">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32E66ADB">
            <w:pPr>
              <w:jc w:val="right"/>
            </w:pPr>
          </w:p>
        </w:tc>
      </w:tr>
      <w:tr w14:paraId="202E70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8D38FA9">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交易性金融资产</w:t>
            </w:r>
          </w:p>
        </w:tc>
        <w:tc>
          <w:tcPr>
            <w:tcW w:w="627" w:type="pct"/>
            <w:tcBorders>
              <w:top w:val="outset" w:color="auto" w:sz="6" w:space="0"/>
              <w:left w:val="outset" w:color="auto" w:sz="6" w:space="0"/>
              <w:bottom w:val="outset" w:color="auto" w:sz="6" w:space="0"/>
              <w:right w:val="outset" w:color="auto" w:sz="6" w:space="0"/>
            </w:tcBorders>
            <w:vAlign w:val="center"/>
          </w:tcPr>
          <w:p w14:paraId="173B2794"/>
        </w:tc>
        <w:tc>
          <w:tcPr>
            <w:tcW w:w="1411" w:type="pct"/>
            <w:tcBorders>
              <w:top w:val="outset" w:color="auto" w:sz="6" w:space="0"/>
              <w:left w:val="outset" w:color="auto" w:sz="6" w:space="0"/>
              <w:bottom w:val="outset" w:color="auto" w:sz="6" w:space="0"/>
              <w:right w:val="outset" w:color="auto" w:sz="6" w:space="0"/>
            </w:tcBorders>
            <w:vAlign w:val="center"/>
          </w:tcPr>
          <w:p w14:paraId="536A22CB">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29C5B145">
            <w:pPr>
              <w:jc w:val="right"/>
            </w:pPr>
          </w:p>
        </w:tc>
      </w:tr>
      <w:tr w14:paraId="39D8A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0A435D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衍生金融资产</w:t>
            </w:r>
          </w:p>
        </w:tc>
        <w:tc>
          <w:tcPr>
            <w:tcW w:w="627" w:type="pct"/>
            <w:tcBorders>
              <w:top w:val="outset" w:color="auto" w:sz="6" w:space="0"/>
              <w:left w:val="outset" w:color="auto" w:sz="6" w:space="0"/>
              <w:bottom w:val="outset" w:color="auto" w:sz="6" w:space="0"/>
              <w:right w:val="outset" w:color="auto" w:sz="6" w:space="0"/>
            </w:tcBorders>
            <w:vAlign w:val="center"/>
          </w:tcPr>
          <w:p w14:paraId="26B27962"/>
        </w:tc>
        <w:tc>
          <w:tcPr>
            <w:tcW w:w="1411" w:type="pct"/>
            <w:tcBorders>
              <w:top w:val="outset" w:color="auto" w:sz="6" w:space="0"/>
              <w:left w:val="outset" w:color="auto" w:sz="6" w:space="0"/>
              <w:bottom w:val="outset" w:color="auto" w:sz="6" w:space="0"/>
              <w:right w:val="outset" w:color="auto" w:sz="6" w:space="0"/>
            </w:tcBorders>
            <w:vAlign w:val="center"/>
          </w:tcPr>
          <w:p w14:paraId="27E77D3E">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76BC88CA">
            <w:pPr>
              <w:jc w:val="right"/>
            </w:pPr>
          </w:p>
        </w:tc>
      </w:tr>
      <w:tr w14:paraId="371874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6D8F8A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w:t>
            </w:r>
          </w:p>
        </w:tc>
        <w:tc>
          <w:tcPr>
            <w:tcW w:w="627" w:type="pct"/>
            <w:tcBorders>
              <w:top w:val="outset" w:color="auto" w:sz="6" w:space="0"/>
              <w:left w:val="outset" w:color="auto" w:sz="6" w:space="0"/>
              <w:bottom w:val="outset" w:color="auto" w:sz="6" w:space="0"/>
              <w:right w:val="outset" w:color="auto" w:sz="6" w:space="0"/>
            </w:tcBorders>
            <w:vAlign w:val="center"/>
          </w:tcPr>
          <w:p w14:paraId="0CC769EC"/>
        </w:tc>
        <w:tc>
          <w:tcPr>
            <w:tcW w:w="1411" w:type="pct"/>
            <w:tcBorders>
              <w:top w:val="outset" w:color="auto" w:sz="6" w:space="0"/>
              <w:left w:val="outset" w:color="auto" w:sz="6" w:space="0"/>
              <w:bottom w:val="outset" w:color="auto" w:sz="6" w:space="0"/>
              <w:right w:val="outset" w:color="auto" w:sz="6" w:space="0"/>
            </w:tcBorders>
            <w:vAlign w:val="center"/>
          </w:tcPr>
          <w:p w14:paraId="59373B01">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36DF7F03">
            <w:pPr>
              <w:jc w:val="right"/>
            </w:pPr>
            <w:r>
              <w:t>23,833.68</w:t>
            </w:r>
          </w:p>
        </w:tc>
      </w:tr>
      <w:tr w14:paraId="3A1D84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03187A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w:t>
            </w:r>
          </w:p>
        </w:tc>
        <w:tc>
          <w:tcPr>
            <w:tcW w:w="627" w:type="pct"/>
            <w:tcBorders>
              <w:top w:val="outset" w:color="auto" w:sz="6" w:space="0"/>
              <w:left w:val="outset" w:color="auto" w:sz="6" w:space="0"/>
              <w:bottom w:val="outset" w:color="auto" w:sz="6" w:space="0"/>
              <w:right w:val="outset" w:color="auto" w:sz="6" w:space="0"/>
            </w:tcBorders>
            <w:vAlign w:val="center"/>
          </w:tcPr>
          <w:p w14:paraId="472D2266"/>
        </w:tc>
        <w:tc>
          <w:tcPr>
            <w:tcW w:w="1411" w:type="pct"/>
            <w:tcBorders>
              <w:top w:val="outset" w:color="auto" w:sz="6" w:space="0"/>
              <w:left w:val="outset" w:color="auto" w:sz="6" w:space="0"/>
              <w:bottom w:val="outset" w:color="auto" w:sz="6" w:space="0"/>
              <w:right w:val="outset" w:color="auto" w:sz="6" w:space="0"/>
            </w:tcBorders>
            <w:vAlign w:val="center"/>
          </w:tcPr>
          <w:p w14:paraId="298D8703">
            <w:pPr>
              <w:jc w:val="right"/>
            </w:pPr>
            <w:r>
              <w:t>38,232,775.10</w:t>
            </w:r>
          </w:p>
        </w:tc>
        <w:tc>
          <w:tcPr>
            <w:tcW w:w="1333" w:type="pct"/>
            <w:tcBorders>
              <w:top w:val="outset" w:color="auto" w:sz="6" w:space="0"/>
              <w:left w:val="outset" w:color="auto" w:sz="6" w:space="0"/>
              <w:bottom w:val="outset" w:color="auto" w:sz="6" w:space="0"/>
              <w:right w:val="outset" w:color="auto" w:sz="6" w:space="0"/>
            </w:tcBorders>
            <w:vAlign w:val="center"/>
          </w:tcPr>
          <w:p w14:paraId="35813D68">
            <w:pPr>
              <w:jc w:val="right"/>
            </w:pPr>
            <w:r>
              <w:t>32,482,966.41</w:t>
            </w:r>
          </w:p>
        </w:tc>
      </w:tr>
      <w:tr w14:paraId="20DA55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980DF7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应收款项融资</w:t>
            </w:r>
          </w:p>
        </w:tc>
        <w:tc>
          <w:tcPr>
            <w:tcW w:w="627" w:type="pct"/>
            <w:tcBorders>
              <w:top w:val="outset" w:color="auto" w:sz="6" w:space="0"/>
              <w:left w:val="outset" w:color="auto" w:sz="6" w:space="0"/>
              <w:bottom w:val="outset" w:color="auto" w:sz="6" w:space="0"/>
              <w:right w:val="outset" w:color="auto" w:sz="6" w:space="0"/>
            </w:tcBorders>
            <w:vAlign w:val="center"/>
          </w:tcPr>
          <w:p w14:paraId="0008FB79"/>
        </w:tc>
        <w:tc>
          <w:tcPr>
            <w:tcW w:w="1411" w:type="pct"/>
            <w:tcBorders>
              <w:top w:val="outset" w:color="auto" w:sz="6" w:space="0"/>
              <w:left w:val="outset" w:color="auto" w:sz="6" w:space="0"/>
              <w:bottom w:val="outset" w:color="auto" w:sz="6" w:space="0"/>
              <w:right w:val="outset" w:color="auto" w:sz="6" w:space="0"/>
            </w:tcBorders>
            <w:vAlign w:val="center"/>
          </w:tcPr>
          <w:p w14:paraId="73A40960">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77089F75">
            <w:pPr>
              <w:jc w:val="right"/>
            </w:pPr>
          </w:p>
        </w:tc>
      </w:tr>
      <w:tr w14:paraId="38FB22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3129F6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预付款项</w:t>
            </w:r>
          </w:p>
        </w:tc>
        <w:tc>
          <w:tcPr>
            <w:tcW w:w="627" w:type="pct"/>
            <w:tcBorders>
              <w:top w:val="outset" w:color="auto" w:sz="6" w:space="0"/>
              <w:left w:val="outset" w:color="auto" w:sz="6" w:space="0"/>
              <w:bottom w:val="outset" w:color="auto" w:sz="6" w:space="0"/>
              <w:right w:val="outset" w:color="auto" w:sz="6" w:space="0"/>
            </w:tcBorders>
            <w:vAlign w:val="center"/>
          </w:tcPr>
          <w:p w14:paraId="2C7B186D"/>
        </w:tc>
        <w:tc>
          <w:tcPr>
            <w:tcW w:w="1411" w:type="pct"/>
            <w:tcBorders>
              <w:top w:val="outset" w:color="auto" w:sz="6" w:space="0"/>
              <w:left w:val="outset" w:color="auto" w:sz="6" w:space="0"/>
              <w:bottom w:val="outset" w:color="auto" w:sz="6" w:space="0"/>
              <w:right w:val="outset" w:color="auto" w:sz="6" w:space="0"/>
            </w:tcBorders>
            <w:vAlign w:val="center"/>
          </w:tcPr>
          <w:p w14:paraId="0964E2F2">
            <w:pPr>
              <w:jc w:val="right"/>
            </w:pPr>
            <w:r>
              <w:t>14,014,347.15</w:t>
            </w:r>
          </w:p>
        </w:tc>
        <w:tc>
          <w:tcPr>
            <w:tcW w:w="1333" w:type="pct"/>
            <w:tcBorders>
              <w:top w:val="outset" w:color="auto" w:sz="6" w:space="0"/>
              <w:left w:val="outset" w:color="auto" w:sz="6" w:space="0"/>
              <w:bottom w:val="outset" w:color="auto" w:sz="6" w:space="0"/>
              <w:right w:val="outset" w:color="auto" w:sz="6" w:space="0"/>
            </w:tcBorders>
            <w:vAlign w:val="center"/>
          </w:tcPr>
          <w:p w14:paraId="7E630D1E">
            <w:pPr>
              <w:jc w:val="right"/>
            </w:pPr>
            <w:r>
              <w:t>7,590,566.39</w:t>
            </w:r>
          </w:p>
        </w:tc>
      </w:tr>
      <w:tr w14:paraId="5999E9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629" w:type="pct"/>
            <w:tcBorders>
              <w:top w:val="outset" w:color="auto" w:sz="6" w:space="0"/>
              <w:left w:val="outset" w:color="auto" w:sz="6" w:space="0"/>
              <w:bottom w:val="outset" w:color="auto" w:sz="6" w:space="0"/>
              <w:right w:val="outset" w:color="auto" w:sz="6" w:space="0"/>
            </w:tcBorders>
            <w:vAlign w:val="center"/>
          </w:tcPr>
          <w:p w14:paraId="156274B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应收保费</w:t>
            </w:r>
          </w:p>
        </w:tc>
        <w:tc>
          <w:tcPr>
            <w:tcW w:w="627" w:type="pct"/>
            <w:tcBorders>
              <w:top w:val="outset" w:color="auto" w:sz="6" w:space="0"/>
              <w:left w:val="outset" w:color="auto" w:sz="6" w:space="0"/>
              <w:bottom w:val="outset" w:color="auto" w:sz="6" w:space="0"/>
              <w:right w:val="outset" w:color="auto" w:sz="6" w:space="0"/>
            </w:tcBorders>
            <w:vAlign w:val="center"/>
          </w:tcPr>
          <w:p w14:paraId="7D23B6DD"/>
        </w:tc>
        <w:tc>
          <w:tcPr>
            <w:tcW w:w="1411" w:type="pct"/>
            <w:tcBorders>
              <w:top w:val="outset" w:color="auto" w:sz="6" w:space="0"/>
              <w:left w:val="outset" w:color="auto" w:sz="6" w:space="0"/>
              <w:bottom w:val="outset" w:color="auto" w:sz="6" w:space="0"/>
              <w:right w:val="outset" w:color="auto" w:sz="6" w:space="0"/>
            </w:tcBorders>
            <w:vAlign w:val="center"/>
          </w:tcPr>
          <w:p w14:paraId="5E2B3332">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3A57E932">
            <w:pPr>
              <w:jc w:val="right"/>
            </w:pPr>
          </w:p>
        </w:tc>
      </w:tr>
      <w:tr w14:paraId="4FDB8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09DA2CB">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应收分保账款</w:t>
            </w:r>
          </w:p>
        </w:tc>
        <w:tc>
          <w:tcPr>
            <w:tcW w:w="627" w:type="pct"/>
            <w:tcBorders>
              <w:top w:val="outset" w:color="auto" w:sz="6" w:space="0"/>
              <w:left w:val="outset" w:color="auto" w:sz="6" w:space="0"/>
              <w:bottom w:val="outset" w:color="auto" w:sz="6" w:space="0"/>
              <w:right w:val="outset" w:color="auto" w:sz="6" w:space="0"/>
            </w:tcBorders>
            <w:vAlign w:val="center"/>
          </w:tcPr>
          <w:p w14:paraId="3A7AFA32"/>
        </w:tc>
        <w:tc>
          <w:tcPr>
            <w:tcW w:w="1411" w:type="pct"/>
            <w:tcBorders>
              <w:top w:val="outset" w:color="auto" w:sz="6" w:space="0"/>
              <w:left w:val="outset" w:color="auto" w:sz="6" w:space="0"/>
              <w:bottom w:val="outset" w:color="auto" w:sz="6" w:space="0"/>
              <w:right w:val="outset" w:color="auto" w:sz="6" w:space="0"/>
            </w:tcBorders>
            <w:vAlign w:val="center"/>
          </w:tcPr>
          <w:p w14:paraId="1ADD2FB4">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327BBBAC">
            <w:pPr>
              <w:jc w:val="right"/>
            </w:pPr>
          </w:p>
        </w:tc>
      </w:tr>
      <w:tr w14:paraId="4F991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2DFEE4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应收分保合同准备金</w:t>
            </w:r>
          </w:p>
        </w:tc>
        <w:tc>
          <w:tcPr>
            <w:tcW w:w="627" w:type="pct"/>
            <w:tcBorders>
              <w:top w:val="outset" w:color="auto" w:sz="6" w:space="0"/>
              <w:left w:val="outset" w:color="auto" w:sz="6" w:space="0"/>
              <w:bottom w:val="outset" w:color="auto" w:sz="6" w:space="0"/>
              <w:right w:val="outset" w:color="auto" w:sz="6" w:space="0"/>
            </w:tcBorders>
            <w:vAlign w:val="center"/>
          </w:tcPr>
          <w:p w14:paraId="53C5DF95"/>
        </w:tc>
        <w:tc>
          <w:tcPr>
            <w:tcW w:w="1411" w:type="pct"/>
            <w:tcBorders>
              <w:top w:val="outset" w:color="auto" w:sz="6" w:space="0"/>
              <w:left w:val="outset" w:color="auto" w:sz="6" w:space="0"/>
              <w:bottom w:val="outset" w:color="auto" w:sz="6" w:space="0"/>
              <w:right w:val="outset" w:color="auto" w:sz="6" w:space="0"/>
            </w:tcBorders>
            <w:vAlign w:val="center"/>
          </w:tcPr>
          <w:p w14:paraId="691F2846">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6B58FAC4">
            <w:pPr>
              <w:jc w:val="right"/>
            </w:pPr>
          </w:p>
        </w:tc>
      </w:tr>
      <w:tr w14:paraId="512236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FDE990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w:t>
            </w:r>
          </w:p>
        </w:tc>
        <w:tc>
          <w:tcPr>
            <w:tcW w:w="627" w:type="pct"/>
            <w:tcBorders>
              <w:top w:val="outset" w:color="auto" w:sz="6" w:space="0"/>
              <w:left w:val="outset" w:color="auto" w:sz="6" w:space="0"/>
              <w:bottom w:val="outset" w:color="auto" w:sz="6" w:space="0"/>
              <w:right w:val="outset" w:color="auto" w:sz="6" w:space="0"/>
            </w:tcBorders>
            <w:vAlign w:val="center"/>
          </w:tcPr>
          <w:p w14:paraId="59A05A3C"/>
        </w:tc>
        <w:tc>
          <w:tcPr>
            <w:tcW w:w="1411" w:type="pct"/>
            <w:tcBorders>
              <w:top w:val="outset" w:color="auto" w:sz="6" w:space="0"/>
              <w:left w:val="outset" w:color="auto" w:sz="6" w:space="0"/>
              <w:bottom w:val="outset" w:color="auto" w:sz="6" w:space="0"/>
              <w:right w:val="outset" w:color="auto" w:sz="6" w:space="0"/>
            </w:tcBorders>
            <w:vAlign w:val="center"/>
          </w:tcPr>
          <w:p w14:paraId="77B28357">
            <w:pPr>
              <w:jc w:val="right"/>
            </w:pPr>
            <w:r>
              <w:t>19,338,177.28</w:t>
            </w:r>
          </w:p>
        </w:tc>
        <w:tc>
          <w:tcPr>
            <w:tcW w:w="1333" w:type="pct"/>
            <w:tcBorders>
              <w:top w:val="outset" w:color="auto" w:sz="6" w:space="0"/>
              <w:left w:val="outset" w:color="auto" w:sz="6" w:space="0"/>
              <w:bottom w:val="outset" w:color="auto" w:sz="6" w:space="0"/>
              <w:right w:val="outset" w:color="auto" w:sz="6" w:space="0"/>
            </w:tcBorders>
            <w:vAlign w:val="center"/>
          </w:tcPr>
          <w:p w14:paraId="16658EC1">
            <w:pPr>
              <w:jc w:val="right"/>
            </w:pPr>
            <w:r>
              <w:t>8,159,517.49</w:t>
            </w:r>
          </w:p>
        </w:tc>
      </w:tr>
      <w:tr w14:paraId="20368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885B27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其中：应收利息</w:t>
            </w:r>
          </w:p>
        </w:tc>
        <w:tc>
          <w:tcPr>
            <w:tcW w:w="627" w:type="pct"/>
            <w:tcBorders>
              <w:top w:val="outset" w:color="auto" w:sz="6" w:space="0"/>
              <w:left w:val="outset" w:color="auto" w:sz="6" w:space="0"/>
              <w:bottom w:val="outset" w:color="auto" w:sz="6" w:space="0"/>
              <w:right w:val="outset" w:color="auto" w:sz="6" w:space="0"/>
            </w:tcBorders>
            <w:vAlign w:val="center"/>
          </w:tcPr>
          <w:p w14:paraId="2C1D6A8F"/>
        </w:tc>
        <w:tc>
          <w:tcPr>
            <w:tcW w:w="1411" w:type="pct"/>
            <w:tcBorders>
              <w:top w:val="outset" w:color="auto" w:sz="6" w:space="0"/>
              <w:left w:val="outset" w:color="auto" w:sz="6" w:space="0"/>
              <w:bottom w:val="outset" w:color="auto" w:sz="6" w:space="0"/>
              <w:right w:val="outset" w:color="auto" w:sz="6" w:space="0"/>
            </w:tcBorders>
            <w:vAlign w:val="center"/>
          </w:tcPr>
          <w:p w14:paraId="7F8DC12B">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7C388AEC">
            <w:pPr>
              <w:jc w:val="right"/>
            </w:pPr>
          </w:p>
        </w:tc>
      </w:tr>
      <w:tr w14:paraId="67D37D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7D0D52C">
            <w:pPr>
              <w:ind w:firstLine="840" w:firstLineChars="400"/>
              <w:rPr>
                <w:color w:val="000000" w:themeColor="text1"/>
                <w14:textFill>
                  <w14:solidFill>
                    <w14:schemeClr w14:val="tx1"/>
                  </w14:solidFill>
                </w14:textFill>
              </w:rPr>
            </w:pPr>
            <w:r>
              <w:rPr>
                <w:rFonts w:hint="eastAsia"/>
                <w:color w:val="000000" w:themeColor="text1"/>
                <w14:textFill>
                  <w14:solidFill>
                    <w14:schemeClr w14:val="tx1"/>
                  </w14:solidFill>
                </w14:textFill>
              </w:rPr>
              <w:t>应收股利</w:t>
            </w:r>
          </w:p>
        </w:tc>
        <w:tc>
          <w:tcPr>
            <w:tcW w:w="627" w:type="pct"/>
            <w:tcBorders>
              <w:top w:val="outset" w:color="auto" w:sz="6" w:space="0"/>
              <w:left w:val="outset" w:color="auto" w:sz="6" w:space="0"/>
              <w:bottom w:val="outset" w:color="auto" w:sz="6" w:space="0"/>
              <w:right w:val="outset" w:color="auto" w:sz="6" w:space="0"/>
            </w:tcBorders>
            <w:vAlign w:val="center"/>
          </w:tcPr>
          <w:p w14:paraId="518EDCF0"/>
        </w:tc>
        <w:tc>
          <w:tcPr>
            <w:tcW w:w="1411" w:type="pct"/>
            <w:tcBorders>
              <w:top w:val="outset" w:color="auto" w:sz="6" w:space="0"/>
              <w:left w:val="outset" w:color="auto" w:sz="6" w:space="0"/>
              <w:bottom w:val="outset" w:color="auto" w:sz="6" w:space="0"/>
              <w:right w:val="outset" w:color="auto" w:sz="6" w:space="0"/>
            </w:tcBorders>
            <w:vAlign w:val="center"/>
          </w:tcPr>
          <w:p w14:paraId="70BEC8DD">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622CB2C8">
            <w:pPr>
              <w:jc w:val="right"/>
            </w:pPr>
          </w:p>
        </w:tc>
      </w:tr>
      <w:tr w14:paraId="6C1791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772E4C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买入返售金融资产</w:t>
            </w:r>
          </w:p>
        </w:tc>
        <w:tc>
          <w:tcPr>
            <w:tcW w:w="627" w:type="pct"/>
            <w:tcBorders>
              <w:top w:val="outset" w:color="auto" w:sz="6" w:space="0"/>
              <w:left w:val="outset" w:color="auto" w:sz="6" w:space="0"/>
              <w:bottom w:val="outset" w:color="auto" w:sz="6" w:space="0"/>
              <w:right w:val="outset" w:color="auto" w:sz="6" w:space="0"/>
            </w:tcBorders>
            <w:vAlign w:val="center"/>
          </w:tcPr>
          <w:p w14:paraId="4DBF5EB7"/>
        </w:tc>
        <w:tc>
          <w:tcPr>
            <w:tcW w:w="1411" w:type="pct"/>
            <w:tcBorders>
              <w:top w:val="outset" w:color="auto" w:sz="6" w:space="0"/>
              <w:left w:val="outset" w:color="auto" w:sz="6" w:space="0"/>
              <w:bottom w:val="outset" w:color="auto" w:sz="6" w:space="0"/>
              <w:right w:val="outset" w:color="auto" w:sz="6" w:space="0"/>
            </w:tcBorders>
            <w:vAlign w:val="center"/>
          </w:tcPr>
          <w:p w14:paraId="41A163B4">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677AC655">
            <w:pPr>
              <w:jc w:val="right"/>
            </w:pPr>
          </w:p>
        </w:tc>
      </w:tr>
      <w:tr w14:paraId="22DD0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5F4261E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存货</w:t>
            </w:r>
          </w:p>
        </w:tc>
        <w:tc>
          <w:tcPr>
            <w:tcW w:w="627" w:type="pct"/>
            <w:tcBorders>
              <w:top w:val="outset" w:color="auto" w:sz="6" w:space="0"/>
              <w:left w:val="outset" w:color="auto" w:sz="6" w:space="0"/>
              <w:bottom w:val="outset" w:color="auto" w:sz="6" w:space="0"/>
              <w:right w:val="outset" w:color="auto" w:sz="6" w:space="0"/>
            </w:tcBorders>
            <w:vAlign w:val="center"/>
          </w:tcPr>
          <w:p w14:paraId="10B1FC49"/>
        </w:tc>
        <w:tc>
          <w:tcPr>
            <w:tcW w:w="1411" w:type="pct"/>
            <w:tcBorders>
              <w:top w:val="outset" w:color="auto" w:sz="6" w:space="0"/>
              <w:left w:val="outset" w:color="auto" w:sz="6" w:space="0"/>
              <w:bottom w:val="outset" w:color="auto" w:sz="6" w:space="0"/>
              <w:right w:val="outset" w:color="auto" w:sz="6" w:space="0"/>
            </w:tcBorders>
            <w:vAlign w:val="center"/>
          </w:tcPr>
          <w:p w14:paraId="1728468D">
            <w:pPr>
              <w:jc w:val="right"/>
            </w:pPr>
            <w:r>
              <w:t>708,651,327.72</w:t>
            </w:r>
          </w:p>
        </w:tc>
        <w:tc>
          <w:tcPr>
            <w:tcW w:w="1333" w:type="pct"/>
            <w:tcBorders>
              <w:top w:val="outset" w:color="auto" w:sz="6" w:space="0"/>
              <w:left w:val="outset" w:color="auto" w:sz="6" w:space="0"/>
              <w:bottom w:val="outset" w:color="auto" w:sz="6" w:space="0"/>
              <w:right w:val="outset" w:color="auto" w:sz="6" w:space="0"/>
            </w:tcBorders>
            <w:vAlign w:val="center"/>
          </w:tcPr>
          <w:p w14:paraId="7F275461">
            <w:pPr>
              <w:jc w:val="right"/>
            </w:pPr>
            <w:r>
              <w:t>785,169,505.67</w:t>
            </w:r>
          </w:p>
        </w:tc>
      </w:tr>
      <w:tr w14:paraId="4C3BCE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35CB0C4">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其中：数据资源</w:t>
            </w:r>
          </w:p>
        </w:tc>
        <w:tc>
          <w:tcPr>
            <w:tcW w:w="627" w:type="pct"/>
            <w:tcBorders>
              <w:top w:val="outset" w:color="auto" w:sz="6" w:space="0"/>
              <w:left w:val="outset" w:color="auto" w:sz="6" w:space="0"/>
              <w:bottom w:val="outset" w:color="auto" w:sz="6" w:space="0"/>
              <w:right w:val="outset" w:color="auto" w:sz="6" w:space="0"/>
            </w:tcBorders>
            <w:vAlign w:val="center"/>
          </w:tcPr>
          <w:p w14:paraId="65F610B0"/>
        </w:tc>
        <w:tc>
          <w:tcPr>
            <w:tcW w:w="1411" w:type="pct"/>
            <w:tcBorders>
              <w:top w:val="outset" w:color="auto" w:sz="6" w:space="0"/>
              <w:left w:val="outset" w:color="auto" w:sz="6" w:space="0"/>
              <w:bottom w:val="outset" w:color="auto" w:sz="6" w:space="0"/>
              <w:right w:val="outset" w:color="auto" w:sz="6" w:space="0"/>
            </w:tcBorders>
            <w:vAlign w:val="center"/>
          </w:tcPr>
          <w:p w14:paraId="2BEB26B3">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7738770B">
            <w:pPr>
              <w:jc w:val="right"/>
            </w:pPr>
          </w:p>
        </w:tc>
      </w:tr>
      <w:tr w14:paraId="72FFF7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D7DD2D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合同资产</w:t>
            </w:r>
          </w:p>
        </w:tc>
        <w:tc>
          <w:tcPr>
            <w:tcW w:w="627" w:type="pct"/>
            <w:tcBorders>
              <w:top w:val="outset" w:color="auto" w:sz="6" w:space="0"/>
              <w:left w:val="outset" w:color="auto" w:sz="6" w:space="0"/>
              <w:bottom w:val="outset" w:color="auto" w:sz="6" w:space="0"/>
              <w:right w:val="outset" w:color="auto" w:sz="6" w:space="0"/>
            </w:tcBorders>
            <w:vAlign w:val="center"/>
          </w:tcPr>
          <w:p w14:paraId="4F0DF777"/>
        </w:tc>
        <w:tc>
          <w:tcPr>
            <w:tcW w:w="1411" w:type="pct"/>
            <w:tcBorders>
              <w:top w:val="outset" w:color="auto" w:sz="6" w:space="0"/>
              <w:left w:val="outset" w:color="auto" w:sz="6" w:space="0"/>
              <w:bottom w:val="outset" w:color="auto" w:sz="6" w:space="0"/>
              <w:right w:val="outset" w:color="auto" w:sz="6" w:space="0"/>
            </w:tcBorders>
            <w:vAlign w:val="center"/>
          </w:tcPr>
          <w:p w14:paraId="65DB7203">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2EB1B881">
            <w:pPr>
              <w:jc w:val="right"/>
            </w:pPr>
          </w:p>
        </w:tc>
      </w:tr>
      <w:tr w14:paraId="70C1A9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0C39371">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持有待售资产</w:t>
            </w:r>
          </w:p>
        </w:tc>
        <w:tc>
          <w:tcPr>
            <w:tcW w:w="627" w:type="pct"/>
            <w:tcBorders>
              <w:top w:val="outset" w:color="auto" w:sz="6" w:space="0"/>
              <w:left w:val="outset" w:color="auto" w:sz="6" w:space="0"/>
              <w:bottom w:val="outset" w:color="auto" w:sz="6" w:space="0"/>
              <w:right w:val="outset" w:color="auto" w:sz="6" w:space="0"/>
            </w:tcBorders>
            <w:vAlign w:val="center"/>
          </w:tcPr>
          <w:p w14:paraId="49FC52A8"/>
        </w:tc>
        <w:tc>
          <w:tcPr>
            <w:tcW w:w="1411" w:type="pct"/>
            <w:tcBorders>
              <w:top w:val="outset" w:color="auto" w:sz="6" w:space="0"/>
              <w:left w:val="outset" w:color="auto" w:sz="6" w:space="0"/>
              <w:bottom w:val="outset" w:color="auto" w:sz="6" w:space="0"/>
              <w:right w:val="outset" w:color="auto" w:sz="6" w:space="0"/>
            </w:tcBorders>
            <w:vAlign w:val="center"/>
          </w:tcPr>
          <w:p w14:paraId="6FFBD37D">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2AED6829">
            <w:pPr>
              <w:jc w:val="right"/>
            </w:pPr>
          </w:p>
        </w:tc>
      </w:tr>
      <w:tr w14:paraId="711807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50855EEC">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一年内到期的非流动资产</w:t>
            </w:r>
          </w:p>
        </w:tc>
        <w:tc>
          <w:tcPr>
            <w:tcW w:w="627" w:type="pct"/>
            <w:tcBorders>
              <w:top w:val="outset" w:color="auto" w:sz="6" w:space="0"/>
              <w:left w:val="outset" w:color="auto" w:sz="6" w:space="0"/>
              <w:bottom w:val="outset" w:color="auto" w:sz="6" w:space="0"/>
              <w:right w:val="outset" w:color="auto" w:sz="6" w:space="0"/>
            </w:tcBorders>
            <w:vAlign w:val="center"/>
          </w:tcPr>
          <w:p w14:paraId="27976990"/>
        </w:tc>
        <w:tc>
          <w:tcPr>
            <w:tcW w:w="1411" w:type="pct"/>
            <w:tcBorders>
              <w:top w:val="outset" w:color="auto" w:sz="6" w:space="0"/>
              <w:left w:val="outset" w:color="auto" w:sz="6" w:space="0"/>
              <w:bottom w:val="outset" w:color="auto" w:sz="6" w:space="0"/>
              <w:right w:val="outset" w:color="auto" w:sz="6" w:space="0"/>
            </w:tcBorders>
            <w:vAlign w:val="center"/>
          </w:tcPr>
          <w:p w14:paraId="76B98D61">
            <w:pPr>
              <w:jc w:val="right"/>
            </w:pPr>
            <w:r>
              <w:t>83,707,335.27</w:t>
            </w:r>
          </w:p>
        </w:tc>
        <w:tc>
          <w:tcPr>
            <w:tcW w:w="1333" w:type="pct"/>
            <w:tcBorders>
              <w:top w:val="outset" w:color="auto" w:sz="6" w:space="0"/>
              <w:left w:val="outset" w:color="auto" w:sz="6" w:space="0"/>
              <w:bottom w:val="outset" w:color="auto" w:sz="6" w:space="0"/>
              <w:right w:val="outset" w:color="auto" w:sz="6" w:space="0"/>
            </w:tcBorders>
            <w:vAlign w:val="center"/>
          </w:tcPr>
          <w:p w14:paraId="4771BACC">
            <w:pPr>
              <w:jc w:val="right"/>
            </w:pPr>
            <w:r>
              <w:t>49,492,840.50</w:t>
            </w:r>
          </w:p>
        </w:tc>
      </w:tr>
      <w:tr w14:paraId="62C188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1F7539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其他流动资产</w:t>
            </w:r>
          </w:p>
        </w:tc>
        <w:tc>
          <w:tcPr>
            <w:tcW w:w="627" w:type="pct"/>
            <w:tcBorders>
              <w:top w:val="outset" w:color="auto" w:sz="6" w:space="0"/>
              <w:left w:val="outset" w:color="auto" w:sz="6" w:space="0"/>
              <w:bottom w:val="outset" w:color="auto" w:sz="6" w:space="0"/>
              <w:right w:val="outset" w:color="auto" w:sz="6" w:space="0"/>
            </w:tcBorders>
            <w:vAlign w:val="center"/>
          </w:tcPr>
          <w:p w14:paraId="484FC504"/>
        </w:tc>
        <w:tc>
          <w:tcPr>
            <w:tcW w:w="1411" w:type="pct"/>
            <w:tcBorders>
              <w:top w:val="outset" w:color="auto" w:sz="6" w:space="0"/>
              <w:left w:val="outset" w:color="auto" w:sz="6" w:space="0"/>
              <w:bottom w:val="outset" w:color="auto" w:sz="6" w:space="0"/>
              <w:right w:val="outset" w:color="auto" w:sz="6" w:space="0"/>
            </w:tcBorders>
            <w:vAlign w:val="center"/>
          </w:tcPr>
          <w:p w14:paraId="37460485">
            <w:pPr>
              <w:jc w:val="right"/>
            </w:pPr>
            <w:r>
              <w:t>14,998,718.39</w:t>
            </w:r>
          </w:p>
        </w:tc>
        <w:tc>
          <w:tcPr>
            <w:tcW w:w="1333" w:type="pct"/>
            <w:tcBorders>
              <w:top w:val="outset" w:color="auto" w:sz="6" w:space="0"/>
              <w:left w:val="outset" w:color="auto" w:sz="6" w:space="0"/>
              <w:bottom w:val="outset" w:color="auto" w:sz="6" w:space="0"/>
              <w:right w:val="outset" w:color="auto" w:sz="6" w:space="0"/>
            </w:tcBorders>
            <w:vAlign w:val="center"/>
          </w:tcPr>
          <w:p w14:paraId="14282288">
            <w:pPr>
              <w:jc w:val="right"/>
            </w:pPr>
            <w:r>
              <w:t>28,090,253.52</w:t>
            </w:r>
          </w:p>
        </w:tc>
      </w:tr>
      <w:tr w14:paraId="07B0B3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59BD9AD">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流动资产合计</w:t>
            </w:r>
          </w:p>
        </w:tc>
        <w:tc>
          <w:tcPr>
            <w:tcW w:w="627" w:type="pct"/>
            <w:tcBorders>
              <w:top w:val="outset" w:color="auto" w:sz="6" w:space="0"/>
              <w:left w:val="outset" w:color="auto" w:sz="6" w:space="0"/>
              <w:bottom w:val="outset" w:color="auto" w:sz="6" w:space="0"/>
              <w:right w:val="outset" w:color="auto" w:sz="6" w:space="0"/>
            </w:tcBorders>
            <w:vAlign w:val="center"/>
          </w:tcPr>
          <w:p w14:paraId="36FA8309"/>
        </w:tc>
        <w:tc>
          <w:tcPr>
            <w:tcW w:w="1411" w:type="pct"/>
            <w:tcBorders>
              <w:top w:val="outset" w:color="auto" w:sz="6" w:space="0"/>
              <w:left w:val="outset" w:color="auto" w:sz="6" w:space="0"/>
              <w:bottom w:val="outset" w:color="auto" w:sz="6" w:space="0"/>
              <w:right w:val="outset" w:color="auto" w:sz="6" w:space="0"/>
            </w:tcBorders>
            <w:vAlign w:val="center"/>
          </w:tcPr>
          <w:p w14:paraId="4381CB28">
            <w:pPr>
              <w:jc w:val="right"/>
            </w:pPr>
            <w:r>
              <w:t>1,443,324,495.37</w:t>
            </w:r>
          </w:p>
        </w:tc>
        <w:tc>
          <w:tcPr>
            <w:tcW w:w="1333" w:type="pct"/>
            <w:tcBorders>
              <w:top w:val="outset" w:color="auto" w:sz="6" w:space="0"/>
              <w:left w:val="outset" w:color="auto" w:sz="6" w:space="0"/>
              <w:bottom w:val="outset" w:color="auto" w:sz="6" w:space="0"/>
              <w:right w:val="outset" w:color="auto" w:sz="6" w:space="0"/>
            </w:tcBorders>
            <w:vAlign w:val="center"/>
          </w:tcPr>
          <w:p w14:paraId="655BA408">
            <w:pPr>
              <w:jc w:val="right"/>
            </w:pPr>
            <w:r>
              <w:t>1,350,948,502.68</w:t>
            </w:r>
          </w:p>
        </w:tc>
      </w:tr>
      <w:tr w14:paraId="43E75A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66ac6acc14e74939b5cc43190a3afd2b"/>
            <w:id w:val="-1782640514"/>
          </w:sdtPr>
          <w:sdtContent>
            <w:tc>
              <w:tcPr>
                <w:tcW w:w="5000" w:type="pct"/>
                <w:gridSpan w:val="4"/>
                <w:tcBorders>
                  <w:top w:val="outset" w:color="auto" w:sz="6" w:space="0"/>
                  <w:left w:val="outset" w:color="auto" w:sz="6" w:space="0"/>
                  <w:bottom w:val="outset" w:color="auto" w:sz="6" w:space="0"/>
                  <w:right w:val="outset" w:color="auto" w:sz="6" w:space="0"/>
                </w:tcBorders>
                <w:vAlign w:val="center"/>
              </w:tcPr>
              <w:p w14:paraId="20DC70FD">
                <w:pPr>
                  <w:rPr>
                    <w:color w:val="000000" w:themeColor="text1"/>
                    <w14:textFill>
                      <w14:solidFill>
                        <w14:schemeClr w14:val="tx1"/>
                      </w14:solidFill>
                    </w14:textFill>
                  </w:rPr>
                </w:pPr>
                <w:r>
                  <w:rPr>
                    <w:rFonts w:hint="eastAsia"/>
                    <w:b/>
                    <w:color w:val="000000" w:themeColor="text1"/>
                    <w14:textFill>
                      <w14:solidFill>
                        <w14:schemeClr w14:val="tx1"/>
                      </w14:solidFill>
                    </w14:textFill>
                  </w:rPr>
                  <w:t>非流动资产：</w:t>
                </w:r>
              </w:p>
            </w:tc>
          </w:sdtContent>
        </w:sdt>
      </w:tr>
      <w:tr w14:paraId="2AB7D3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D90499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发放贷款和垫款</w:t>
            </w:r>
          </w:p>
        </w:tc>
        <w:tc>
          <w:tcPr>
            <w:tcW w:w="627" w:type="pct"/>
            <w:tcBorders>
              <w:top w:val="outset" w:color="auto" w:sz="6" w:space="0"/>
              <w:left w:val="outset" w:color="auto" w:sz="6" w:space="0"/>
              <w:bottom w:val="outset" w:color="auto" w:sz="6" w:space="0"/>
              <w:right w:val="outset" w:color="auto" w:sz="6" w:space="0"/>
            </w:tcBorders>
            <w:vAlign w:val="center"/>
          </w:tcPr>
          <w:p w14:paraId="43650724"/>
        </w:tc>
        <w:tc>
          <w:tcPr>
            <w:tcW w:w="1411" w:type="pct"/>
            <w:tcBorders>
              <w:top w:val="outset" w:color="auto" w:sz="6" w:space="0"/>
              <w:left w:val="outset" w:color="auto" w:sz="6" w:space="0"/>
              <w:bottom w:val="outset" w:color="auto" w:sz="6" w:space="0"/>
              <w:right w:val="outset" w:color="auto" w:sz="6" w:space="0"/>
            </w:tcBorders>
            <w:vAlign w:val="center"/>
          </w:tcPr>
          <w:p w14:paraId="15CFDAA1">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62031134">
            <w:pPr>
              <w:jc w:val="right"/>
            </w:pPr>
          </w:p>
        </w:tc>
      </w:tr>
      <w:tr w14:paraId="3E72E4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926A26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债权投资</w:t>
            </w:r>
          </w:p>
        </w:tc>
        <w:tc>
          <w:tcPr>
            <w:tcW w:w="627" w:type="pct"/>
            <w:tcBorders>
              <w:top w:val="outset" w:color="auto" w:sz="6" w:space="0"/>
              <w:left w:val="outset" w:color="auto" w:sz="6" w:space="0"/>
              <w:bottom w:val="outset" w:color="auto" w:sz="6" w:space="0"/>
              <w:right w:val="outset" w:color="auto" w:sz="6" w:space="0"/>
            </w:tcBorders>
            <w:vAlign w:val="center"/>
          </w:tcPr>
          <w:p w14:paraId="0A314FD8"/>
        </w:tc>
        <w:tc>
          <w:tcPr>
            <w:tcW w:w="1411" w:type="pct"/>
            <w:tcBorders>
              <w:top w:val="outset" w:color="auto" w:sz="6" w:space="0"/>
              <w:left w:val="outset" w:color="auto" w:sz="6" w:space="0"/>
              <w:bottom w:val="outset" w:color="auto" w:sz="6" w:space="0"/>
              <w:right w:val="outset" w:color="auto" w:sz="6" w:space="0"/>
            </w:tcBorders>
            <w:vAlign w:val="center"/>
          </w:tcPr>
          <w:p w14:paraId="20D0BFB4">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035712A5">
            <w:pPr>
              <w:jc w:val="right"/>
            </w:pPr>
          </w:p>
        </w:tc>
      </w:tr>
      <w:tr w14:paraId="2C8DB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58B6362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其他债权投资</w:t>
            </w:r>
          </w:p>
        </w:tc>
        <w:tc>
          <w:tcPr>
            <w:tcW w:w="627" w:type="pct"/>
            <w:tcBorders>
              <w:top w:val="outset" w:color="auto" w:sz="6" w:space="0"/>
              <w:left w:val="outset" w:color="auto" w:sz="6" w:space="0"/>
              <w:bottom w:val="outset" w:color="auto" w:sz="6" w:space="0"/>
              <w:right w:val="outset" w:color="auto" w:sz="6" w:space="0"/>
            </w:tcBorders>
            <w:vAlign w:val="center"/>
          </w:tcPr>
          <w:p w14:paraId="61479270"/>
        </w:tc>
        <w:tc>
          <w:tcPr>
            <w:tcW w:w="1411" w:type="pct"/>
            <w:tcBorders>
              <w:top w:val="outset" w:color="auto" w:sz="6" w:space="0"/>
              <w:left w:val="outset" w:color="auto" w:sz="6" w:space="0"/>
              <w:bottom w:val="outset" w:color="auto" w:sz="6" w:space="0"/>
              <w:right w:val="outset" w:color="auto" w:sz="6" w:space="0"/>
            </w:tcBorders>
            <w:vAlign w:val="center"/>
          </w:tcPr>
          <w:p w14:paraId="11C9B599">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02485912">
            <w:pPr>
              <w:jc w:val="right"/>
            </w:pPr>
          </w:p>
        </w:tc>
      </w:tr>
      <w:tr w14:paraId="5D25E7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543DFAC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w:t>
            </w:r>
          </w:p>
        </w:tc>
        <w:tc>
          <w:tcPr>
            <w:tcW w:w="627" w:type="pct"/>
            <w:tcBorders>
              <w:top w:val="outset" w:color="auto" w:sz="6" w:space="0"/>
              <w:left w:val="outset" w:color="auto" w:sz="6" w:space="0"/>
              <w:bottom w:val="outset" w:color="auto" w:sz="6" w:space="0"/>
              <w:right w:val="outset" w:color="auto" w:sz="6" w:space="0"/>
            </w:tcBorders>
            <w:vAlign w:val="center"/>
          </w:tcPr>
          <w:p w14:paraId="68CA5C90"/>
        </w:tc>
        <w:tc>
          <w:tcPr>
            <w:tcW w:w="1411" w:type="pct"/>
            <w:tcBorders>
              <w:top w:val="outset" w:color="auto" w:sz="6" w:space="0"/>
              <w:left w:val="outset" w:color="auto" w:sz="6" w:space="0"/>
              <w:bottom w:val="outset" w:color="auto" w:sz="6" w:space="0"/>
              <w:right w:val="outset" w:color="auto" w:sz="6" w:space="0"/>
            </w:tcBorders>
            <w:vAlign w:val="center"/>
          </w:tcPr>
          <w:p w14:paraId="364DE9F6">
            <w:pPr>
              <w:jc w:val="right"/>
            </w:pPr>
            <w:r>
              <w:t>4,600,000.00</w:t>
            </w:r>
          </w:p>
        </w:tc>
        <w:tc>
          <w:tcPr>
            <w:tcW w:w="1333" w:type="pct"/>
            <w:tcBorders>
              <w:top w:val="outset" w:color="auto" w:sz="6" w:space="0"/>
              <w:left w:val="outset" w:color="auto" w:sz="6" w:space="0"/>
              <w:bottom w:val="outset" w:color="auto" w:sz="6" w:space="0"/>
              <w:right w:val="outset" w:color="auto" w:sz="6" w:space="0"/>
            </w:tcBorders>
            <w:vAlign w:val="center"/>
          </w:tcPr>
          <w:p w14:paraId="6615608D">
            <w:pPr>
              <w:jc w:val="right"/>
            </w:pPr>
            <w:r>
              <w:t>3,100,000.00</w:t>
            </w:r>
          </w:p>
        </w:tc>
      </w:tr>
      <w:tr w14:paraId="0510A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22C112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长期股权投资</w:t>
            </w:r>
          </w:p>
        </w:tc>
        <w:tc>
          <w:tcPr>
            <w:tcW w:w="627" w:type="pct"/>
            <w:tcBorders>
              <w:top w:val="outset" w:color="auto" w:sz="6" w:space="0"/>
              <w:left w:val="outset" w:color="auto" w:sz="6" w:space="0"/>
              <w:bottom w:val="outset" w:color="auto" w:sz="6" w:space="0"/>
              <w:right w:val="outset" w:color="auto" w:sz="6" w:space="0"/>
            </w:tcBorders>
            <w:vAlign w:val="center"/>
          </w:tcPr>
          <w:p w14:paraId="3F9A9C65"/>
        </w:tc>
        <w:tc>
          <w:tcPr>
            <w:tcW w:w="1411" w:type="pct"/>
            <w:tcBorders>
              <w:top w:val="outset" w:color="auto" w:sz="6" w:space="0"/>
              <w:left w:val="outset" w:color="auto" w:sz="6" w:space="0"/>
              <w:bottom w:val="outset" w:color="auto" w:sz="6" w:space="0"/>
              <w:right w:val="outset" w:color="auto" w:sz="6" w:space="0"/>
            </w:tcBorders>
            <w:vAlign w:val="center"/>
          </w:tcPr>
          <w:p w14:paraId="296EB45F">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170A66A6">
            <w:pPr>
              <w:jc w:val="right"/>
            </w:pPr>
          </w:p>
        </w:tc>
      </w:tr>
      <w:tr w14:paraId="45B2B2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A32464B">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其他权益工具投资</w:t>
            </w:r>
          </w:p>
        </w:tc>
        <w:tc>
          <w:tcPr>
            <w:tcW w:w="627" w:type="pct"/>
            <w:tcBorders>
              <w:top w:val="outset" w:color="auto" w:sz="6" w:space="0"/>
              <w:left w:val="outset" w:color="auto" w:sz="6" w:space="0"/>
              <w:bottom w:val="outset" w:color="auto" w:sz="6" w:space="0"/>
              <w:right w:val="outset" w:color="auto" w:sz="6" w:space="0"/>
            </w:tcBorders>
            <w:vAlign w:val="center"/>
          </w:tcPr>
          <w:p w14:paraId="25BF8A08"/>
        </w:tc>
        <w:tc>
          <w:tcPr>
            <w:tcW w:w="1411" w:type="pct"/>
            <w:tcBorders>
              <w:top w:val="outset" w:color="auto" w:sz="6" w:space="0"/>
              <w:left w:val="outset" w:color="auto" w:sz="6" w:space="0"/>
              <w:bottom w:val="outset" w:color="auto" w:sz="6" w:space="0"/>
              <w:right w:val="outset" w:color="auto" w:sz="6" w:space="0"/>
            </w:tcBorders>
            <w:vAlign w:val="center"/>
          </w:tcPr>
          <w:p w14:paraId="401F2621">
            <w:pPr>
              <w:jc w:val="right"/>
            </w:pPr>
            <w:r>
              <w:t>186,947,832.70</w:t>
            </w:r>
          </w:p>
        </w:tc>
        <w:tc>
          <w:tcPr>
            <w:tcW w:w="1333" w:type="pct"/>
            <w:tcBorders>
              <w:top w:val="outset" w:color="auto" w:sz="6" w:space="0"/>
              <w:left w:val="outset" w:color="auto" w:sz="6" w:space="0"/>
              <w:bottom w:val="outset" w:color="auto" w:sz="6" w:space="0"/>
              <w:right w:val="outset" w:color="auto" w:sz="6" w:space="0"/>
            </w:tcBorders>
            <w:vAlign w:val="center"/>
          </w:tcPr>
          <w:p w14:paraId="060695EF">
            <w:pPr>
              <w:jc w:val="right"/>
            </w:pPr>
            <w:r>
              <w:t>186,947,832.70</w:t>
            </w:r>
          </w:p>
        </w:tc>
      </w:tr>
      <w:tr w14:paraId="7A6145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373560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其他非流动金融资产</w:t>
            </w:r>
          </w:p>
        </w:tc>
        <w:tc>
          <w:tcPr>
            <w:tcW w:w="627" w:type="pct"/>
            <w:tcBorders>
              <w:top w:val="outset" w:color="auto" w:sz="6" w:space="0"/>
              <w:left w:val="outset" w:color="auto" w:sz="6" w:space="0"/>
              <w:bottom w:val="outset" w:color="auto" w:sz="6" w:space="0"/>
              <w:right w:val="outset" w:color="auto" w:sz="6" w:space="0"/>
            </w:tcBorders>
            <w:vAlign w:val="center"/>
          </w:tcPr>
          <w:p w14:paraId="2AB79233"/>
        </w:tc>
        <w:tc>
          <w:tcPr>
            <w:tcW w:w="1411" w:type="pct"/>
            <w:tcBorders>
              <w:top w:val="outset" w:color="auto" w:sz="6" w:space="0"/>
              <w:left w:val="outset" w:color="auto" w:sz="6" w:space="0"/>
              <w:bottom w:val="outset" w:color="auto" w:sz="6" w:space="0"/>
              <w:right w:val="outset" w:color="auto" w:sz="6" w:space="0"/>
            </w:tcBorders>
            <w:vAlign w:val="center"/>
          </w:tcPr>
          <w:p w14:paraId="5F707196">
            <w:pPr>
              <w:jc w:val="right"/>
            </w:pPr>
            <w:r>
              <w:t>1,188,672.25</w:t>
            </w:r>
          </w:p>
        </w:tc>
        <w:tc>
          <w:tcPr>
            <w:tcW w:w="1333" w:type="pct"/>
            <w:tcBorders>
              <w:top w:val="outset" w:color="auto" w:sz="6" w:space="0"/>
              <w:left w:val="outset" w:color="auto" w:sz="6" w:space="0"/>
              <w:bottom w:val="outset" w:color="auto" w:sz="6" w:space="0"/>
              <w:right w:val="outset" w:color="auto" w:sz="6" w:space="0"/>
            </w:tcBorders>
            <w:vAlign w:val="center"/>
          </w:tcPr>
          <w:p w14:paraId="77C27722">
            <w:pPr>
              <w:jc w:val="right"/>
            </w:pPr>
            <w:r>
              <w:t>1,906,940.35</w:t>
            </w:r>
          </w:p>
        </w:tc>
      </w:tr>
      <w:tr w14:paraId="0E4ADA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0C417E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投资性房地产</w:t>
            </w:r>
          </w:p>
        </w:tc>
        <w:tc>
          <w:tcPr>
            <w:tcW w:w="627" w:type="pct"/>
            <w:tcBorders>
              <w:top w:val="outset" w:color="auto" w:sz="6" w:space="0"/>
              <w:left w:val="outset" w:color="auto" w:sz="6" w:space="0"/>
              <w:bottom w:val="outset" w:color="auto" w:sz="6" w:space="0"/>
              <w:right w:val="outset" w:color="auto" w:sz="6" w:space="0"/>
            </w:tcBorders>
            <w:vAlign w:val="center"/>
          </w:tcPr>
          <w:p w14:paraId="7DD49535"/>
        </w:tc>
        <w:tc>
          <w:tcPr>
            <w:tcW w:w="1411" w:type="pct"/>
            <w:tcBorders>
              <w:top w:val="outset" w:color="auto" w:sz="6" w:space="0"/>
              <w:left w:val="outset" w:color="auto" w:sz="6" w:space="0"/>
              <w:bottom w:val="outset" w:color="auto" w:sz="6" w:space="0"/>
              <w:right w:val="outset" w:color="auto" w:sz="6" w:space="0"/>
            </w:tcBorders>
            <w:vAlign w:val="center"/>
          </w:tcPr>
          <w:p w14:paraId="5F6D123B">
            <w:pPr>
              <w:jc w:val="right"/>
            </w:pPr>
            <w:r>
              <w:t>52,819,122.43</w:t>
            </w:r>
          </w:p>
        </w:tc>
        <w:tc>
          <w:tcPr>
            <w:tcW w:w="1333" w:type="pct"/>
            <w:tcBorders>
              <w:top w:val="outset" w:color="auto" w:sz="6" w:space="0"/>
              <w:left w:val="outset" w:color="auto" w:sz="6" w:space="0"/>
              <w:bottom w:val="outset" w:color="auto" w:sz="6" w:space="0"/>
              <w:right w:val="outset" w:color="auto" w:sz="6" w:space="0"/>
            </w:tcBorders>
            <w:vAlign w:val="center"/>
          </w:tcPr>
          <w:p w14:paraId="7661501A">
            <w:pPr>
              <w:jc w:val="right"/>
            </w:pPr>
            <w:r>
              <w:t>54,220,388.29</w:t>
            </w:r>
          </w:p>
        </w:tc>
      </w:tr>
      <w:tr w14:paraId="77615D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89FC27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固定资产</w:t>
            </w:r>
          </w:p>
        </w:tc>
        <w:tc>
          <w:tcPr>
            <w:tcW w:w="627" w:type="pct"/>
            <w:tcBorders>
              <w:top w:val="outset" w:color="auto" w:sz="6" w:space="0"/>
              <w:left w:val="outset" w:color="auto" w:sz="6" w:space="0"/>
              <w:bottom w:val="outset" w:color="auto" w:sz="6" w:space="0"/>
              <w:right w:val="outset" w:color="auto" w:sz="6" w:space="0"/>
            </w:tcBorders>
            <w:vAlign w:val="center"/>
          </w:tcPr>
          <w:p w14:paraId="53F32C56"/>
        </w:tc>
        <w:tc>
          <w:tcPr>
            <w:tcW w:w="1411" w:type="pct"/>
            <w:tcBorders>
              <w:top w:val="outset" w:color="auto" w:sz="6" w:space="0"/>
              <w:left w:val="outset" w:color="auto" w:sz="6" w:space="0"/>
              <w:bottom w:val="outset" w:color="auto" w:sz="6" w:space="0"/>
              <w:right w:val="outset" w:color="auto" w:sz="6" w:space="0"/>
            </w:tcBorders>
            <w:vAlign w:val="center"/>
          </w:tcPr>
          <w:p w14:paraId="32F8BD6E">
            <w:pPr>
              <w:jc w:val="right"/>
            </w:pPr>
            <w:r>
              <w:t>3,148,783,333.48</w:t>
            </w:r>
          </w:p>
        </w:tc>
        <w:tc>
          <w:tcPr>
            <w:tcW w:w="1333" w:type="pct"/>
            <w:tcBorders>
              <w:top w:val="outset" w:color="auto" w:sz="6" w:space="0"/>
              <w:left w:val="outset" w:color="auto" w:sz="6" w:space="0"/>
              <w:bottom w:val="outset" w:color="auto" w:sz="6" w:space="0"/>
              <w:right w:val="outset" w:color="auto" w:sz="6" w:space="0"/>
            </w:tcBorders>
            <w:vAlign w:val="center"/>
          </w:tcPr>
          <w:p w14:paraId="0B87E4CE">
            <w:pPr>
              <w:jc w:val="right"/>
            </w:pPr>
            <w:r>
              <w:t>3,228,611,565.05</w:t>
            </w:r>
          </w:p>
        </w:tc>
      </w:tr>
      <w:tr w14:paraId="2763EE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D3A6CC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在建工程</w:t>
            </w:r>
          </w:p>
        </w:tc>
        <w:tc>
          <w:tcPr>
            <w:tcW w:w="627" w:type="pct"/>
            <w:tcBorders>
              <w:top w:val="outset" w:color="auto" w:sz="6" w:space="0"/>
              <w:left w:val="outset" w:color="auto" w:sz="6" w:space="0"/>
              <w:bottom w:val="outset" w:color="auto" w:sz="6" w:space="0"/>
              <w:right w:val="outset" w:color="auto" w:sz="6" w:space="0"/>
            </w:tcBorders>
            <w:vAlign w:val="center"/>
          </w:tcPr>
          <w:p w14:paraId="756BA764"/>
        </w:tc>
        <w:tc>
          <w:tcPr>
            <w:tcW w:w="1411" w:type="pct"/>
            <w:tcBorders>
              <w:top w:val="outset" w:color="auto" w:sz="6" w:space="0"/>
              <w:left w:val="outset" w:color="auto" w:sz="6" w:space="0"/>
              <w:bottom w:val="outset" w:color="auto" w:sz="6" w:space="0"/>
              <w:right w:val="outset" w:color="auto" w:sz="6" w:space="0"/>
            </w:tcBorders>
            <w:vAlign w:val="center"/>
          </w:tcPr>
          <w:p w14:paraId="3E01A1D6">
            <w:pPr>
              <w:jc w:val="right"/>
            </w:pPr>
            <w:r>
              <w:t>2,770,233.15</w:t>
            </w:r>
          </w:p>
        </w:tc>
        <w:tc>
          <w:tcPr>
            <w:tcW w:w="1333" w:type="pct"/>
            <w:tcBorders>
              <w:top w:val="outset" w:color="auto" w:sz="6" w:space="0"/>
              <w:left w:val="outset" w:color="auto" w:sz="6" w:space="0"/>
              <w:bottom w:val="outset" w:color="auto" w:sz="6" w:space="0"/>
              <w:right w:val="outset" w:color="auto" w:sz="6" w:space="0"/>
            </w:tcBorders>
            <w:vAlign w:val="center"/>
          </w:tcPr>
          <w:p w14:paraId="5FAA67FB">
            <w:pPr>
              <w:jc w:val="right"/>
            </w:pPr>
            <w:r>
              <w:t>1,697,848.20</w:t>
            </w:r>
          </w:p>
        </w:tc>
      </w:tr>
      <w:tr w14:paraId="31334D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FCE5BB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生产性生物资产</w:t>
            </w:r>
          </w:p>
        </w:tc>
        <w:tc>
          <w:tcPr>
            <w:tcW w:w="627" w:type="pct"/>
            <w:tcBorders>
              <w:top w:val="outset" w:color="auto" w:sz="6" w:space="0"/>
              <w:left w:val="outset" w:color="auto" w:sz="6" w:space="0"/>
              <w:bottom w:val="outset" w:color="auto" w:sz="6" w:space="0"/>
              <w:right w:val="outset" w:color="auto" w:sz="6" w:space="0"/>
            </w:tcBorders>
            <w:vAlign w:val="center"/>
          </w:tcPr>
          <w:p w14:paraId="6AA22CE3"/>
        </w:tc>
        <w:tc>
          <w:tcPr>
            <w:tcW w:w="1411" w:type="pct"/>
            <w:tcBorders>
              <w:top w:val="outset" w:color="auto" w:sz="6" w:space="0"/>
              <w:left w:val="outset" w:color="auto" w:sz="6" w:space="0"/>
              <w:bottom w:val="outset" w:color="auto" w:sz="6" w:space="0"/>
              <w:right w:val="outset" w:color="auto" w:sz="6" w:space="0"/>
            </w:tcBorders>
            <w:vAlign w:val="center"/>
          </w:tcPr>
          <w:p w14:paraId="6AA0E863">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3A001BB2">
            <w:pPr>
              <w:jc w:val="right"/>
            </w:pPr>
          </w:p>
        </w:tc>
      </w:tr>
      <w:tr w14:paraId="010325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833553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油气资产</w:t>
            </w:r>
          </w:p>
        </w:tc>
        <w:tc>
          <w:tcPr>
            <w:tcW w:w="627" w:type="pct"/>
            <w:tcBorders>
              <w:top w:val="outset" w:color="auto" w:sz="6" w:space="0"/>
              <w:left w:val="outset" w:color="auto" w:sz="6" w:space="0"/>
              <w:bottom w:val="outset" w:color="auto" w:sz="6" w:space="0"/>
              <w:right w:val="outset" w:color="auto" w:sz="6" w:space="0"/>
            </w:tcBorders>
            <w:vAlign w:val="center"/>
          </w:tcPr>
          <w:p w14:paraId="045A13C1"/>
        </w:tc>
        <w:tc>
          <w:tcPr>
            <w:tcW w:w="1411" w:type="pct"/>
            <w:tcBorders>
              <w:top w:val="outset" w:color="auto" w:sz="6" w:space="0"/>
              <w:left w:val="outset" w:color="auto" w:sz="6" w:space="0"/>
              <w:bottom w:val="outset" w:color="auto" w:sz="6" w:space="0"/>
              <w:right w:val="outset" w:color="auto" w:sz="6" w:space="0"/>
            </w:tcBorders>
            <w:vAlign w:val="center"/>
          </w:tcPr>
          <w:p w14:paraId="0EB479A1">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3CAAD6E7">
            <w:pPr>
              <w:jc w:val="right"/>
            </w:pPr>
          </w:p>
        </w:tc>
      </w:tr>
      <w:tr w14:paraId="5B8BA8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0BCA17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使用权资产</w:t>
            </w:r>
          </w:p>
        </w:tc>
        <w:tc>
          <w:tcPr>
            <w:tcW w:w="627" w:type="pct"/>
            <w:tcBorders>
              <w:top w:val="outset" w:color="auto" w:sz="6" w:space="0"/>
              <w:left w:val="outset" w:color="auto" w:sz="6" w:space="0"/>
              <w:bottom w:val="outset" w:color="auto" w:sz="6" w:space="0"/>
              <w:right w:val="outset" w:color="auto" w:sz="6" w:space="0"/>
            </w:tcBorders>
            <w:vAlign w:val="center"/>
          </w:tcPr>
          <w:p w14:paraId="0F8B6625"/>
        </w:tc>
        <w:tc>
          <w:tcPr>
            <w:tcW w:w="1411" w:type="pct"/>
            <w:tcBorders>
              <w:top w:val="outset" w:color="auto" w:sz="6" w:space="0"/>
              <w:left w:val="outset" w:color="auto" w:sz="6" w:space="0"/>
              <w:bottom w:val="outset" w:color="auto" w:sz="6" w:space="0"/>
              <w:right w:val="outset" w:color="auto" w:sz="6" w:space="0"/>
            </w:tcBorders>
            <w:vAlign w:val="center"/>
          </w:tcPr>
          <w:p w14:paraId="71DA4785">
            <w:pPr>
              <w:jc w:val="right"/>
            </w:pPr>
            <w:r>
              <w:t>47,440,352.30</w:t>
            </w:r>
          </w:p>
        </w:tc>
        <w:tc>
          <w:tcPr>
            <w:tcW w:w="1333" w:type="pct"/>
            <w:tcBorders>
              <w:top w:val="outset" w:color="auto" w:sz="6" w:space="0"/>
              <w:left w:val="outset" w:color="auto" w:sz="6" w:space="0"/>
              <w:bottom w:val="outset" w:color="auto" w:sz="6" w:space="0"/>
              <w:right w:val="outset" w:color="auto" w:sz="6" w:space="0"/>
            </w:tcBorders>
            <w:vAlign w:val="center"/>
          </w:tcPr>
          <w:p w14:paraId="5DF6AE5A">
            <w:pPr>
              <w:jc w:val="right"/>
            </w:pPr>
            <w:r>
              <w:t>49,112,045.32</w:t>
            </w:r>
          </w:p>
        </w:tc>
      </w:tr>
      <w:tr w14:paraId="1B78FC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7C8855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无形资产</w:t>
            </w:r>
          </w:p>
        </w:tc>
        <w:tc>
          <w:tcPr>
            <w:tcW w:w="627" w:type="pct"/>
            <w:tcBorders>
              <w:top w:val="outset" w:color="auto" w:sz="6" w:space="0"/>
              <w:left w:val="outset" w:color="auto" w:sz="6" w:space="0"/>
              <w:bottom w:val="outset" w:color="auto" w:sz="6" w:space="0"/>
              <w:right w:val="outset" w:color="auto" w:sz="6" w:space="0"/>
            </w:tcBorders>
            <w:vAlign w:val="center"/>
          </w:tcPr>
          <w:p w14:paraId="02AFE8C5"/>
        </w:tc>
        <w:tc>
          <w:tcPr>
            <w:tcW w:w="1411" w:type="pct"/>
            <w:tcBorders>
              <w:top w:val="outset" w:color="auto" w:sz="6" w:space="0"/>
              <w:left w:val="outset" w:color="auto" w:sz="6" w:space="0"/>
              <w:bottom w:val="outset" w:color="auto" w:sz="6" w:space="0"/>
              <w:right w:val="outset" w:color="auto" w:sz="6" w:space="0"/>
            </w:tcBorders>
            <w:vAlign w:val="center"/>
          </w:tcPr>
          <w:p w14:paraId="31818DB5">
            <w:pPr>
              <w:jc w:val="right"/>
            </w:pPr>
            <w:r>
              <w:t>1,350,948,647.24</w:t>
            </w:r>
          </w:p>
        </w:tc>
        <w:tc>
          <w:tcPr>
            <w:tcW w:w="1333" w:type="pct"/>
            <w:tcBorders>
              <w:top w:val="outset" w:color="auto" w:sz="6" w:space="0"/>
              <w:left w:val="outset" w:color="auto" w:sz="6" w:space="0"/>
              <w:bottom w:val="outset" w:color="auto" w:sz="6" w:space="0"/>
              <w:right w:val="outset" w:color="auto" w:sz="6" w:space="0"/>
            </w:tcBorders>
            <w:vAlign w:val="center"/>
          </w:tcPr>
          <w:p w14:paraId="52261ED0">
            <w:pPr>
              <w:jc w:val="right"/>
            </w:pPr>
            <w:r>
              <w:t>1,165,706,178.53</w:t>
            </w:r>
          </w:p>
        </w:tc>
      </w:tr>
      <w:tr w14:paraId="08E34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B69C36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其中：数据资源</w:t>
            </w:r>
          </w:p>
        </w:tc>
        <w:tc>
          <w:tcPr>
            <w:tcW w:w="627" w:type="pct"/>
            <w:tcBorders>
              <w:top w:val="outset" w:color="auto" w:sz="6" w:space="0"/>
              <w:left w:val="outset" w:color="auto" w:sz="6" w:space="0"/>
              <w:bottom w:val="outset" w:color="auto" w:sz="6" w:space="0"/>
              <w:right w:val="outset" w:color="auto" w:sz="6" w:space="0"/>
            </w:tcBorders>
            <w:vAlign w:val="center"/>
          </w:tcPr>
          <w:p w14:paraId="73793F78"/>
        </w:tc>
        <w:tc>
          <w:tcPr>
            <w:tcW w:w="1411" w:type="pct"/>
            <w:tcBorders>
              <w:top w:val="outset" w:color="auto" w:sz="6" w:space="0"/>
              <w:left w:val="outset" w:color="auto" w:sz="6" w:space="0"/>
              <w:bottom w:val="outset" w:color="auto" w:sz="6" w:space="0"/>
              <w:right w:val="outset" w:color="auto" w:sz="6" w:space="0"/>
            </w:tcBorders>
            <w:vAlign w:val="center"/>
          </w:tcPr>
          <w:p w14:paraId="0D84D9A1">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3C9DB2DB">
            <w:pPr>
              <w:jc w:val="right"/>
            </w:pPr>
          </w:p>
        </w:tc>
      </w:tr>
      <w:tr w14:paraId="43874C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2F42B61">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开发支出</w:t>
            </w:r>
          </w:p>
        </w:tc>
        <w:tc>
          <w:tcPr>
            <w:tcW w:w="627" w:type="pct"/>
            <w:tcBorders>
              <w:top w:val="outset" w:color="auto" w:sz="6" w:space="0"/>
              <w:left w:val="outset" w:color="auto" w:sz="6" w:space="0"/>
              <w:bottom w:val="outset" w:color="auto" w:sz="6" w:space="0"/>
              <w:right w:val="outset" w:color="auto" w:sz="6" w:space="0"/>
            </w:tcBorders>
            <w:vAlign w:val="center"/>
          </w:tcPr>
          <w:p w14:paraId="3C30DB31"/>
        </w:tc>
        <w:tc>
          <w:tcPr>
            <w:tcW w:w="1411" w:type="pct"/>
            <w:tcBorders>
              <w:top w:val="outset" w:color="auto" w:sz="6" w:space="0"/>
              <w:left w:val="outset" w:color="auto" w:sz="6" w:space="0"/>
              <w:bottom w:val="outset" w:color="auto" w:sz="6" w:space="0"/>
              <w:right w:val="outset" w:color="auto" w:sz="6" w:space="0"/>
            </w:tcBorders>
            <w:vAlign w:val="center"/>
          </w:tcPr>
          <w:p w14:paraId="3955AE0F">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27034553">
            <w:pPr>
              <w:jc w:val="right"/>
            </w:pPr>
          </w:p>
        </w:tc>
      </w:tr>
      <w:tr w14:paraId="633C11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8986C8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其中：数据资源</w:t>
            </w:r>
          </w:p>
        </w:tc>
        <w:tc>
          <w:tcPr>
            <w:tcW w:w="627" w:type="pct"/>
            <w:tcBorders>
              <w:top w:val="outset" w:color="auto" w:sz="6" w:space="0"/>
              <w:left w:val="outset" w:color="auto" w:sz="6" w:space="0"/>
              <w:bottom w:val="outset" w:color="auto" w:sz="6" w:space="0"/>
              <w:right w:val="outset" w:color="auto" w:sz="6" w:space="0"/>
            </w:tcBorders>
            <w:vAlign w:val="center"/>
          </w:tcPr>
          <w:p w14:paraId="4A87ED14"/>
        </w:tc>
        <w:tc>
          <w:tcPr>
            <w:tcW w:w="1411" w:type="pct"/>
            <w:tcBorders>
              <w:top w:val="outset" w:color="auto" w:sz="6" w:space="0"/>
              <w:left w:val="outset" w:color="auto" w:sz="6" w:space="0"/>
              <w:bottom w:val="outset" w:color="auto" w:sz="6" w:space="0"/>
              <w:right w:val="outset" w:color="auto" w:sz="6" w:space="0"/>
            </w:tcBorders>
            <w:vAlign w:val="center"/>
          </w:tcPr>
          <w:p w14:paraId="5B9EEC09">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7AD1F1F4">
            <w:pPr>
              <w:jc w:val="right"/>
            </w:pPr>
          </w:p>
        </w:tc>
      </w:tr>
      <w:tr w14:paraId="0B3AA7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629" w:type="pct"/>
            <w:tcBorders>
              <w:top w:val="outset" w:color="auto" w:sz="6" w:space="0"/>
              <w:left w:val="outset" w:color="auto" w:sz="6" w:space="0"/>
              <w:bottom w:val="outset" w:color="auto" w:sz="6" w:space="0"/>
              <w:right w:val="outset" w:color="auto" w:sz="6" w:space="0"/>
            </w:tcBorders>
            <w:vAlign w:val="center"/>
          </w:tcPr>
          <w:p w14:paraId="1288ADB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商誉</w:t>
            </w:r>
          </w:p>
        </w:tc>
        <w:tc>
          <w:tcPr>
            <w:tcW w:w="627" w:type="pct"/>
            <w:tcBorders>
              <w:top w:val="outset" w:color="auto" w:sz="6" w:space="0"/>
              <w:left w:val="outset" w:color="auto" w:sz="6" w:space="0"/>
              <w:bottom w:val="outset" w:color="auto" w:sz="6" w:space="0"/>
              <w:right w:val="outset" w:color="auto" w:sz="6" w:space="0"/>
            </w:tcBorders>
            <w:vAlign w:val="center"/>
          </w:tcPr>
          <w:p w14:paraId="207CAEDB"/>
        </w:tc>
        <w:tc>
          <w:tcPr>
            <w:tcW w:w="1411" w:type="pct"/>
            <w:tcBorders>
              <w:top w:val="outset" w:color="auto" w:sz="6" w:space="0"/>
              <w:left w:val="outset" w:color="auto" w:sz="6" w:space="0"/>
              <w:bottom w:val="outset" w:color="auto" w:sz="6" w:space="0"/>
              <w:right w:val="outset" w:color="auto" w:sz="6" w:space="0"/>
            </w:tcBorders>
            <w:vAlign w:val="center"/>
          </w:tcPr>
          <w:p w14:paraId="6A4CC094">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1D84D060">
            <w:pPr>
              <w:jc w:val="right"/>
            </w:pPr>
          </w:p>
        </w:tc>
      </w:tr>
      <w:tr w14:paraId="67FB48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44619C7">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长期待摊费用</w:t>
            </w:r>
          </w:p>
        </w:tc>
        <w:tc>
          <w:tcPr>
            <w:tcW w:w="627" w:type="pct"/>
            <w:tcBorders>
              <w:top w:val="outset" w:color="auto" w:sz="6" w:space="0"/>
              <w:left w:val="outset" w:color="auto" w:sz="6" w:space="0"/>
              <w:bottom w:val="outset" w:color="auto" w:sz="6" w:space="0"/>
              <w:right w:val="outset" w:color="auto" w:sz="6" w:space="0"/>
            </w:tcBorders>
            <w:vAlign w:val="center"/>
          </w:tcPr>
          <w:p w14:paraId="7057E159"/>
        </w:tc>
        <w:tc>
          <w:tcPr>
            <w:tcW w:w="1411" w:type="pct"/>
            <w:tcBorders>
              <w:top w:val="outset" w:color="auto" w:sz="6" w:space="0"/>
              <w:left w:val="outset" w:color="auto" w:sz="6" w:space="0"/>
              <w:bottom w:val="outset" w:color="auto" w:sz="6" w:space="0"/>
              <w:right w:val="outset" w:color="auto" w:sz="6" w:space="0"/>
            </w:tcBorders>
            <w:vAlign w:val="center"/>
          </w:tcPr>
          <w:p w14:paraId="766D0F69">
            <w:pPr>
              <w:jc w:val="right"/>
            </w:pPr>
            <w:r>
              <w:t>459,680,649.73</w:t>
            </w:r>
          </w:p>
        </w:tc>
        <w:tc>
          <w:tcPr>
            <w:tcW w:w="1333" w:type="pct"/>
            <w:tcBorders>
              <w:top w:val="outset" w:color="auto" w:sz="6" w:space="0"/>
              <w:left w:val="outset" w:color="auto" w:sz="6" w:space="0"/>
              <w:bottom w:val="outset" w:color="auto" w:sz="6" w:space="0"/>
              <w:right w:val="outset" w:color="auto" w:sz="6" w:space="0"/>
            </w:tcBorders>
            <w:vAlign w:val="center"/>
          </w:tcPr>
          <w:p w14:paraId="50F5278E">
            <w:pPr>
              <w:jc w:val="right"/>
            </w:pPr>
            <w:r>
              <w:t>482,056,686.68</w:t>
            </w:r>
          </w:p>
        </w:tc>
      </w:tr>
      <w:tr w14:paraId="17722A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E1A49F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递延所得税资产</w:t>
            </w:r>
          </w:p>
        </w:tc>
        <w:tc>
          <w:tcPr>
            <w:tcW w:w="627" w:type="pct"/>
            <w:tcBorders>
              <w:top w:val="outset" w:color="auto" w:sz="6" w:space="0"/>
              <w:left w:val="outset" w:color="auto" w:sz="6" w:space="0"/>
              <w:bottom w:val="outset" w:color="auto" w:sz="6" w:space="0"/>
              <w:right w:val="outset" w:color="auto" w:sz="6" w:space="0"/>
            </w:tcBorders>
            <w:vAlign w:val="center"/>
          </w:tcPr>
          <w:p w14:paraId="41958524"/>
        </w:tc>
        <w:tc>
          <w:tcPr>
            <w:tcW w:w="1411" w:type="pct"/>
            <w:tcBorders>
              <w:top w:val="outset" w:color="auto" w:sz="6" w:space="0"/>
              <w:left w:val="outset" w:color="auto" w:sz="6" w:space="0"/>
              <w:bottom w:val="outset" w:color="auto" w:sz="6" w:space="0"/>
              <w:right w:val="outset" w:color="auto" w:sz="6" w:space="0"/>
            </w:tcBorders>
            <w:vAlign w:val="center"/>
          </w:tcPr>
          <w:p w14:paraId="20219730">
            <w:pPr>
              <w:jc w:val="right"/>
            </w:pPr>
            <w:r>
              <w:t>3,369,180.27</w:t>
            </w:r>
          </w:p>
        </w:tc>
        <w:tc>
          <w:tcPr>
            <w:tcW w:w="1333" w:type="pct"/>
            <w:tcBorders>
              <w:top w:val="outset" w:color="auto" w:sz="6" w:space="0"/>
              <w:left w:val="outset" w:color="auto" w:sz="6" w:space="0"/>
              <w:bottom w:val="outset" w:color="auto" w:sz="6" w:space="0"/>
              <w:right w:val="outset" w:color="auto" w:sz="6" w:space="0"/>
            </w:tcBorders>
            <w:vAlign w:val="center"/>
          </w:tcPr>
          <w:p w14:paraId="43B1CF80">
            <w:pPr>
              <w:jc w:val="right"/>
            </w:pPr>
            <w:r>
              <w:t>3,369,180.27</w:t>
            </w:r>
          </w:p>
        </w:tc>
      </w:tr>
      <w:tr w14:paraId="618B06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1E006D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其他非流动资产</w:t>
            </w:r>
          </w:p>
        </w:tc>
        <w:tc>
          <w:tcPr>
            <w:tcW w:w="627" w:type="pct"/>
            <w:tcBorders>
              <w:top w:val="outset" w:color="auto" w:sz="6" w:space="0"/>
              <w:left w:val="outset" w:color="auto" w:sz="6" w:space="0"/>
              <w:bottom w:val="outset" w:color="auto" w:sz="6" w:space="0"/>
              <w:right w:val="outset" w:color="auto" w:sz="6" w:space="0"/>
            </w:tcBorders>
            <w:vAlign w:val="center"/>
          </w:tcPr>
          <w:p w14:paraId="5A73F558"/>
        </w:tc>
        <w:tc>
          <w:tcPr>
            <w:tcW w:w="1411" w:type="pct"/>
            <w:tcBorders>
              <w:top w:val="outset" w:color="auto" w:sz="6" w:space="0"/>
              <w:left w:val="outset" w:color="auto" w:sz="6" w:space="0"/>
              <w:bottom w:val="outset" w:color="auto" w:sz="6" w:space="0"/>
              <w:right w:val="outset" w:color="auto" w:sz="6" w:space="0"/>
            </w:tcBorders>
            <w:vAlign w:val="center"/>
          </w:tcPr>
          <w:p w14:paraId="2D981F7D">
            <w:pPr>
              <w:jc w:val="right"/>
            </w:pPr>
            <w:r>
              <w:t>94,490,202.13</w:t>
            </w:r>
          </w:p>
        </w:tc>
        <w:tc>
          <w:tcPr>
            <w:tcW w:w="1333" w:type="pct"/>
            <w:tcBorders>
              <w:top w:val="outset" w:color="auto" w:sz="6" w:space="0"/>
              <w:left w:val="outset" w:color="auto" w:sz="6" w:space="0"/>
              <w:bottom w:val="outset" w:color="auto" w:sz="6" w:space="0"/>
              <w:right w:val="outset" w:color="auto" w:sz="6" w:space="0"/>
            </w:tcBorders>
            <w:vAlign w:val="center"/>
          </w:tcPr>
          <w:p w14:paraId="3FFCD52D">
            <w:pPr>
              <w:jc w:val="right"/>
            </w:pPr>
            <w:r>
              <w:t>144,063,362.44</w:t>
            </w:r>
          </w:p>
        </w:tc>
      </w:tr>
      <w:tr w14:paraId="7E256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D7AA19C">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非流动资产合计</w:t>
            </w:r>
          </w:p>
        </w:tc>
        <w:tc>
          <w:tcPr>
            <w:tcW w:w="627" w:type="pct"/>
            <w:tcBorders>
              <w:top w:val="outset" w:color="auto" w:sz="6" w:space="0"/>
              <w:left w:val="outset" w:color="auto" w:sz="6" w:space="0"/>
              <w:bottom w:val="outset" w:color="auto" w:sz="6" w:space="0"/>
              <w:right w:val="outset" w:color="auto" w:sz="6" w:space="0"/>
            </w:tcBorders>
            <w:vAlign w:val="center"/>
          </w:tcPr>
          <w:p w14:paraId="54969C89"/>
        </w:tc>
        <w:tc>
          <w:tcPr>
            <w:tcW w:w="1411" w:type="pct"/>
            <w:tcBorders>
              <w:top w:val="outset" w:color="auto" w:sz="6" w:space="0"/>
              <w:left w:val="outset" w:color="auto" w:sz="6" w:space="0"/>
              <w:bottom w:val="outset" w:color="auto" w:sz="6" w:space="0"/>
              <w:right w:val="outset" w:color="auto" w:sz="6" w:space="0"/>
            </w:tcBorders>
            <w:vAlign w:val="center"/>
          </w:tcPr>
          <w:p w14:paraId="31001CD2">
            <w:pPr>
              <w:jc w:val="right"/>
            </w:pPr>
            <w:r>
              <w:t>5,353,038,225.68</w:t>
            </w:r>
          </w:p>
        </w:tc>
        <w:tc>
          <w:tcPr>
            <w:tcW w:w="1333" w:type="pct"/>
            <w:tcBorders>
              <w:top w:val="outset" w:color="auto" w:sz="6" w:space="0"/>
              <w:left w:val="outset" w:color="auto" w:sz="6" w:space="0"/>
              <w:bottom w:val="outset" w:color="auto" w:sz="6" w:space="0"/>
              <w:right w:val="outset" w:color="auto" w:sz="6" w:space="0"/>
            </w:tcBorders>
            <w:vAlign w:val="center"/>
          </w:tcPr>
          <w:p w14:paraId="6C5E7117">
            <w:pPr>
              <w:jc w:val="right"/>
            </w:pPr>
            <w:r>
              <w:t>5,320,792,027.83</w:t>
            </w:r>
          </w:p>
        </w:tc>
      </w:tr>
      <w:tr w14:paraId="242548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AE6F8CE">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资产总计</w:t>
            </w:r>
          </w:p>
        </w:tc>
        <w:tc>
          <w:tcPr>
            <w:tcW w:w="627" w:type="pct"/>
            <w:tcBorders>
              <w:top w:val="outset" w:color="auto" w:sz="6" w:space="0"/>
              <w:left w:val="outset" w:color="auto" w:sz="6" w:space="0"/>
              <w:bottom w:val="outset" w:color="auto" w:sz="6" w:space="0"/>
              <w:right w:val="outset" w:color="auto" w:sz="6" w:space="0"/>
            </w:tcBorders>
            <w:vAlign w:val="center"/>
          </w:tcPr>
          <w:p w14:paraId="09E3F70B"/>
        </w:tc>
        <w:tc>
          <w:tcPr>
            <w:tcW w:w="1411" w:type="pct"/>
            <w:tcBorders>
              <w:top w:val="outset" w:color="auto" w:sz="6" w:space="0"/>
              <w:left w:val="outset" w:color="auto" w:sz="6" w:space="0"/>
              <w:bottom w:val="outset" w:color="auto" w:sz="6" w:space="0"/>
              <w:right w:val="outset" w:color="auto" w:sz="6" w:space="0"/>
            </w:tcBorders>
            <w:vAlign w:val="center"/>
          </w:tcPr>
          <w:p w14:paraId="09890C62">
            <w:pPr>
              <w:jc w:val="right"/>
            </w:pPr>
            <w:r>
              <w:t>6,796,362,721.05</w:t>
            </w:r>
          </w:p>
        </w:tc>
        <w:tc>
          <w:tcPr>
            <w:tcW w:w="1333" w:type="pct"/>
            <w:tcBorders>
              <w:top w:val="outset" w:color="auto" w:sz="6" w:space="0"/>
              <w:left w:val="outset" w:color="auto" w:sz="6" w:space="0"/>
              <w:bottom w:val="outset" w:color="auto" w:sz="6" w:space="0"/>
              <w:right w:val="outset" w:color="auto" w:sz="6" w:space="0"/>
            </w:tcBorders>
            <w:vAlign w:val="center"/>
          </w:tcPr>
          <w:p w14:paraId="69ACC598">
            <w:pPr>
              <w:jc w:val="right"/>
            </w:pPr>
            <w:r>
              <w:t>6,671,740,530.51</w:t>
            </w:r>
          </w:p>
        </w:tc>
      </w:tr>
      <w:tr w14:paraId="683FD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9375d0f637964c329fb26d2b4f648745"/>
            <w:id w:val="244159748"/>
          </w:sdtPr>
          <w:sdtContent>
            <w:tc>
              <w:tcPr>
                <w:tcW w:w="5000" w:type="pct"/>
                <w:gridSpan w:val="4"/>
                <w:tcBorders>
                  <w:top w:val="outset" w:color="auto" w:sz="6" w:space="0"/>
                  <w:left w:val="outset" w:color="auto" w:sz="6" w:space="0"/>
                  <w:bottom w:val="outset" w:color="auto" w:sz="6" w:space="0"/>
                  <w:right w:val="outset" w:color="auto" w:sz="6" w:space="0"/>
                </w:tcBorders>
                <w:vAlign w:val="center"/>
              </w:tcPr>
              <w:p w14:paraId="45625411">
                <w:pPr>
                  <w:rPr>
                    <w:color w:val="000000" w:themeColor="text1"/>
                    <w14:textFill>
                      <w14:solidFill>
                        <w14:schemeClr w14:val="tx1"/>
                      </w14:solidFill>
                    </w14:textFill>
                  </w:rPr>
                </w:pPr>
                <w:r>
                  <w:rPr>
                    <w:rFonts w:hint="eastAsia"/>
                    <w:b/>
                    <w:color w:val="000000" w:themeColor="text1"/>
                    <w14:textFill>
                      <w14:solidFill>
                        <w14:schemeClr w14:val="tx1"/>
                      </w14:solidFill>
                    </w14:textFill>
                  </w:rPr>
                  <w:t>流动负债：</w:t>
                </w:r>
              </w:p>
            </w:tc>
          </w:sdtContent>
        </w:sdt>
      </w:tr>
      <w:tr w14:paraId="34B452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4668B2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短期借款</w:t>
            </w:r>
          </w:p>
        </w:tc>
        <w:tc>
          <w:tcPr>
            <w:tcW w:w="627" w:type="pct"/>
            <w:tcBorders>
              <w:top w:val="outset" w:color="auto" w:sz="6" w:space="0"/>
              <w:left w:val="outset" w:color="auto" w:sz="6" w:space="0"/>
              <w:bottom w:val="outset" w:color="auto" w:sz="6" w:space="0"/>
              <w:right w:val="outset" w:color="auto" w:sz="6" w:space="0"/>
            </w:tcBorders>
            <w:vAlign w:val="center"/>
          </w:tcPr>
          <w:p w14:paraId="1CF44762"/>
        </w:tc>
        <w:tc>
          <w:tcPr>
            <w:tcW w:w="1411" w:type="pct"/>
            <w:tcBorders>
              <w:top w:val="outset" w:color="auto" w:sz="6" w:space="0"/>
              <w:left w:val="outset" w:color="auto" w:sz="6" w:space="0"/>
              <w:bottom w:val="outset" w:color="auto" w:sz="6" w:space="0"/>
              <w:right w:val="outset" w:color="auto" w:sz="6" w:space="0"/>
            </w:tcBorders>
            <w:vAlign w:val="center"/>
          </w:tcPr>
          <w:p w14:paraId="62633EB6">
            <w:pPr>
              <w:jc w:val="right"/>
            </w:pPr>
            <w:r>
              <w:t>2,310,640,708.43</w:t>
            </w:r>
          </w:p>
        </w:tc>
        <w:tc>
          <w:tcPr>
            <w:tcW w:w="1333" w:type="pct"/>
            <w:tcBorders>
              <w:top w:val="outset" w:color="auto" w:sz="6" w:space="0"/>
              <w:left w:val="outset" w:color="auto" w:sz="6" w:space="0"/>
              <w:bottom w:val="outset" w:color="auto" w:sz="6" w:space="0"/>
              <w:right w:val="outset" w:color="auto" w:sz="6" w:space="0"/>
            </w:tcBorders>
            <w:vAlign w:val="center"/>
          </w:tcPr>
          <w:p w14:paraId="1469AA3B">
            <w:pPr>
              <w:jc w:val="right"/>
            </w:pPr>
            <w:r>
              <w:t>2,229,374,400.00</w:t>
            </w:r>
          </w:p>
        </w:tc>
      </w:tr>
      <w:tr w14:paraId="5CE316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4C64F0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向中央银行借款</w:t>
            </w:r>
          </w:p>
        </w:tc>
        <w:tc>
          <w:tcPr>
            <w:tcW w:w="627" w:type="pct"/>
            <w:tcBorders>
              <w:top w:val="outset" w:color="auto" w:sz="6" w:space="0"/>
              <w:left w:val="outset" w:color="auto" w:sz="6" w:space="0"/>
              <w:bottom w:val="outset" w:color="auto" w:sz="6" w:space="0"/>
              <w:right w:val="outset" w:color="auto" w:sz="6" w:space="0"/>
            </w:tcBorders>
            <w:vAlign w:val="center"/>
          </w:tcPr>
          <w:p w14:paraId="46D1BCF1"/>
        </w:tc>
        <w:tc>
          <w:tcPr>
            <w:tcW w:w="1411" w:type="pct"/>
            <w:tcBorders>
              <w:top w:val="outset" w:color="auto" w:sz="6" w:space="0"/>
              <w:left w:val="outset" w:color="auto" w:sz="6" w:space="0"/>
              <w:bottom w:val="outset" w:color="auto" w:sz="6" w:space="0"/>
              <w:right w:val="outset" w:color="auto" w:sz="6" w:space="0"/>
            </w:tcBorders>
            <w:vAlign w:val="center"/>
          </w:tcPr>
          <w:p w14:paraId="774A52BF">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79556A7C">
            <w:pPr>
              <w:jc w:val="right"/>
            </w:pPr>
          </w:p>
        </w:tc>
      </w:tr>
      <w:tr w14:paraId="2E682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ED1C61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拆入资金</w:t>
            </w:r>
          </w:p>
        </w:tc>
        <w:tc>
          <w:tcPr>
            <w:tcW w:w="627" w:type="pct"/>
            <w:tcBorders>
              <w:top w:val="outset" w:color="auto" w:sz="6" w:space="0"/>
              <w:left w:val="outset" w:color="auto" w:sz="6" w:space="0"/>
              <w:bottom w:val="outset" w:color="auto" w:sz="6" w:space="0"/>
              <w:right w:val="outset" w:color="auto" w:sz="6" w:space="0"/>
            </w:tcBorders>
            <w:vAlign w:val="center"/>
          </w:tcPr>
          <w:p w14:paraId="20A84FBF"/>
        </w:tc>
        <w:tc>
          <w:tcPr>
            <w:tcW w:w="1411" w:type="pct"/>
            <w:tcBorders>
              <w:top w:val="outset" w:color="auto" w:sz="6" w:space="0"/>
              <w:left w:val="outset" w:color="auto" w:sz="6" w:space="0"/>
              <w:bottom w:val="outset" w:color="auto" w:sz="6" w:space="0"/>
              <w:right w:val="outset" w:color="auto" w:sz="6" w:space="0"/>
            </w:tcBorders>
            <w:vAlign w:val="center"/>
          </w:tcPr>
          <w:p w14:paraId="7408167E">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7553E43E">
            <w:pPr>
              <w:jc w:val="right"/>
            </w:pPr>
          </w:p>
        </w:tc>
      </w:tr>
      <w:tr w14:paraId="26AD7B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C3E8E01">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交易性金融负债</w:t>
            </w:r>
          </w:p>
        </w:tc>
        <w:tc>
          <w:tcPr>
            <w:tcW w:w="627" w:type="pct"/>
            <w:tcBorders>
              <w:top w:val="outset" w:color="auto" w:sz="6" w:space="0"/>
              <w:left w:val="outset" w:color="auto" w:sz="6" w:space="0"/>
              <w:bottom w:val="outset" w:color="auto" w:sz="6" w:space="0"/>
              <w:right w:val="outset" w:color="auto" w:sz="6" w:space="0"/>
            </w:tcBorders>
            <w:vAlign w:val="center"/>
          </w:tcPr>
          <w:p w14:paraId="36DAA6EA"/>
        </w:tc>
        <w:tc>
          <w:tcPr>
            <w:tcW w:w="1411" w:type="pct"/>
            <w:tcBorders>
              <w:top w:val="outset" w:color="auto" w:sz="6" w:space="0"/>
              <w:left w:val="outset" w:color="auto" w:sz="6" w:space="0"/>
              <w:bottom w:val="outset" w:color="auto" w:sz="6" w:space="0"/>
              <w:right w:val="outset" w:color="auto" w:sz="6" w:space="0"/>
            </w:tcBorders>
            <w:vAlign w:val="center"/>
          </w:tcPr>
          <w:p w14:paraId="7D421DDF">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6C80DD0F">
            <w:pPr>
              <w:jc w:val="right"/>
            </w:pPr>
          </w:p>
        </w:tc>
      </w:tr>
      <w:tr w14:paraId="46CEDE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871D6A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衍生金融负债</w:t>
            </w:r>
          </w:p>
        </w:tc>
        <w:tc>
          <w:tcPr>
            <w:tcW w:w="627" w:type="pct"/>
            <w:tcBorders>
              <w:top w:val="outset" w:color="auto" w:sz="6" w:space="0"/>
              <w:left w:val="outset" w:color="auto" w:sz="6" w:space="0"/>
              <w:bottom w:val="outset" w:color="auto" w:sz="6" w:space="0"/>
              <w:right w:val="outset" w:color="auto" w:sz="6" w:space="0"/>
            </w:tcBorders>
            <w:vAlign w:val="center"/>
          </w:tcPr>
          <w:p w14:paraId="7244DDAB"/>
        </w:tc>
        <w:tc>
          <w:tcPr>
            <w:tcW w:w="1411" w:type="pct"/>
            <w:tcBorders>
              <w:top w:val="outset" w:color="auto" w:sz="6" w:space="0"/>
              <w:left w:val="outset" w:color="auto" w:sz="6" w:space="0"/>
              <w:bottom w:val="outset" w:color="auto" w:sz="6" w:space="0"/>
              <w:right w:val="outset" w:color="auto" w:sz="6" w:space="0"/>
            </w:tcBorders>
            <w:vAlign w:val="center"/>
          </w:tcPr>
          <w:p w14:paraId="56F8E5E0">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2597ACDA">
            <w:pPr>
              <w:jc w:val="right"/>
            </w:pPr>
          </w:p>
        </w:tc>
      </w:tr>
      <w:tr w14:paraId="3F1F9B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94BA2C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应付票据</w:t>
            </w:r>
          </w:p>
        </w:tc>
        <w:tc>
          <w:tcPr>
            <w:tcW w:w="627" w:type="pct"/>
            <w:tcBorders>
              <w:top w:val="outset" w:color="auto" w:sz="6" w:space="0"/>
              <w:left w:val="outset" w:color="auto" w:sz="6" w:space="0"/>
              <w:bottom w:val="outset" w:color="auto" w:sz="6" w:space="0"/>
              <w:right w:val="outset" w:color="auto" w:sz="6" w:space="0"/>
            </w:tcBorders>
            <w:vAlign w:val="center"/>
          </w:tcPr>
          <w:p w14:paraId="35B0CDB1"/>
        </w:tc>
        <w:tc>
          <w:tcPr>
            <w:tcW w:w="1411" w:type="pct"/>
            <w:tcBorders>
              <w:top w:val="outset" w:color="auto" w:sz="6" w:space="0"/>
              <w:left w:val="outset" w:color="auto" w:sz="6" w:space="0"/>
              <w:bottom w:val="outset" w:color="auto" w:sz="6" w:space="0"/>
              <w:right w:val="outset" w:color="auto" w:sz="6" w:space="0"/>
            </w:tcBorders>
            <w:vAlign w:val="center"/>
          </w:tcPr>
          <w:p w14:paraId="5ACFBC84">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6E7FFD26">
            <w:pPr>
              <w:jc w:val="right"/>
            </w:pPr>
          </w:p>
        </w:tc>
      </w:tr>
      <w:tr w14:paraId="4C3BE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AACEBEC">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应付账款</w:t>
            </w:r>
          </w:p>
        </w:tc>
        <w:tc>
          <w:tcPr>
            <w:tcW w:w="627" w:type="pct"/>
            <w:tcBorders>
              <w:top w:val="outset" w:color="auto" w:sz="6" w:space="0"/>
              <w:left w:val="outset" w:color="auto" w:sz="6" w:space="0"/>
              <w:bottom w:val="outset" w:color="auto" w:sz="6" w:space="0"/>
              <w:right w:val="outset" w:color="auto" w:sz="6" w:space="0"/>
            </w:tcBorders>
            <w:vAlign w:val="center"/>
          </w:tcPr>
          <w:p w14:paraId="16E39201"/>
        </w:tc>
        <w:tc>
          <w:tcPr>
            <w:tcW w:w="1411" w:type="pct"/>
            <w:tcBorders>
              <w:top w:val="outset" w:color="auto" w:sz="6" w:space="0"/>
              <w:left w:val="outset" w:color="auto" w:sz="6" w:space="0"/>
              <w:bottom w:val="outset" w:color="auto" w:sz="6" w:space="0"/>
              <w:right w:val="outset" w:color="auto" w:sz="6" w:space="0"/>
            </w:tcBorders>
            <w:vAlign w:val="center"/>
          </w:tcPr>
          <w:p w14:paraId="3364FEF7">
            <w:pPr>
              <w:jc w:val="right"/>
            </w:pPr>
            <w:r>
              <w:t>225,325,831.68</w:t>
            </w:r>
          </w:p>
        </w:tc>
        <w:tc>
          <w:tcPr>
            <w:tcW w:w="1333" w:type="pct"/>
            <w:tcBorders>
              <w:top w:val="outset" w:color="auto" w:sz="6" w:space="0"/>
              <w:left w:val="outset" w:color="auto" w:sz="6" w:space="0"/>
              <w:bottom w:val="outset" w:color="auto" w:sz="6" w:space="0"/>
              <w:right w:val="outset" w:color="auto" w:sz="6" w:space="0"/>
            </w:tcBorders>
            <w:vAlign w:val="center"/>
          </w:tcPr>
          <w:p w14:paraId="449611F6">
            <w:pPr>
              <w:jc w:val="right"/>
            </w:pPr>
            <w:r>
              <w:t>128,689,870.35</w:t>
            </w:r>
          </w:p>
        </w:tc>
      </w:tr>
      <w:tr w14:paraId="3230BD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1441034">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预收款项</w:t>
            </w:r>
          </w:p>
        </w:tc>
        <w:tc>
          <w:tcPr>
            <w:tcW w:w="627" w:type="pct"/>
            <w:tcBorders>
              <w:top w:val="outset" w:color="auto" w:sz="6" w:space="0"/>
              <w:left w:val="outset" w:color="auto" w:sz="6" w:space="0"/>
              <w:bottom w:val="outset" w:color="auto" w:sz="6" w:space="0"/>
              <w:right w:val="outset" w:color="auto" w:sz="6" w:space="0"/>
            </w:tcBorders>
            <w:vAlign w:val="center"/>
          </w:tcPr>
          <w:p w14:paraId="1B2E5DCE"/>
        </w:tc>
        <w:tc>
          <w:tcPr>
            <w:tcW w:w="1411" w:type="pct"/>
            <w:tcBorders>
              <w:top w:val="outset" w:color="auto" w:sz="6" w:space="0"/>
              <w:left w:val="outset" w:color="auto" w:sz="6" w:space="0"/>
              <w:bottom w:val="outset" w:color="auto" w:sz="6" w:space="0"/>
              <w:right w:val="outset" w:color="auto" w:sz="6" w:space="0"/>
            </w:tcBorders>
            <w:vAlign w:val="center"/>
          </w:tcPr>
          <w:p w14:paraId="5CD1632D">
            <w:pPr>
              <w:jc w:val="right"/>
            </w:pPr>
            <w:r>
              <w:t>98,412.70</w:t>
            </w:r>
          </w:p>
        </w:tc>
        <w:tc>
          <w:tcPr>
            <w:tcW w:w="1333" w:type="pct"/>
            <w:tcBorders>
              <w:top w:val="outset" w:color="auto" w:sz="6" w:space="0"/>
              <w:left w:val="outset" w:color="auto" w:sz="6" w:space="0"/>
              <w:bottom w:val="outset" w:color="auto" w:sz="6" w:space="0"/>
              <w:right w:val="outset" w:color="auto" w:sz="6" w:space="0"/>
            </w:tcBorders>
            <w:vAlign w:val="center"/>
          </w:tcPr>
          <w:p w14:paraId="67D6B027">
            <w:pPr>
              <w:jc w:val="right"/>
            </w:pPr>
            <w:r>
              <w:t>98,412.70</w:t>
            </w:r>
          </w:p>
        </w:tc>
      </w:tr>
      <w:tr w14:paraId="53BB27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2D7697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合同负债</w:t>
            </w:r>
          </w:p>
        </w:tc>
        <w:tc>
          <w:tcPr>
            <w:tcW w:w="627" w:type="pct"/>
            <w:tcBorders>
              <w:top w:val="outset" w:color="auto" w:sz="6" w:space="0"/>
              <w:left w:val="outset" w:color="auto" w:sz="6" w:space="0"/>
              <w:bottom w:val="outset" w:color="auto" w:sz="6" w:space="0"/>
              <w:right w:val="outset" w:color="auto" w:sz="6" w:space="0"/>
            </w:tcBorders>
            <w:vAlign w:val="center"/>
          </w:tcPr>
          <w:p w14:paraId="6CF560C1"/>
        </w:tc>
        <w:tc>
          <w:tcPr>
            <w:tcW w:w="1411" w:type="pct"/>
            <w:tcBorders>
              <w:top w:val="outset" w:color="auto" w:sz="6" w:space="0"/>
              <w:left w:val="outset" w:color="auto" w:sz="6" w:space="0"/>
              <w:bottom w:val="outset" w:color="auto" w:sz="6" w:space="0"/>
              <w:right w:val="outset" w:color="auto" w:sz="6" w:space="0"/>
            </w:tcBorders>
            <w:vAlign w:val="center"/>
          </w:tcPr>
          <w:p w14:paraId="1C8DAF3F">
            <w:pPr>
              <w:jc w:val="right"/>
            </w:pPr>
            <w:r>
              <w:t>76,125,091.48</w:t>
            </w:r>
          </w:p>
        </w:tc>
        <w:tc>
          <w:tcPr>
            <w:tcW w:w="1333" w:type="pct"/>
            <w:tcBorders>
              <w:top w:val="outset" w:color="auto" w:sz="6" w:space="0"/>
              <w:left w:val="outset" w:color="auto" w:sz="6" w:space="0"/>
              <w:bottom w:val="outset" w:color="auto" w:sz="6" w:space="0"/>
              <w:right w:val="outset" w:color="auto" w:sz="6" w:space="0"/>
            </w:tcBorders>
            <w:vAlign w:val="center"/>
          </w:tcPr>
          <w:p w14:paraId="0288C35B">
            <w:pPr>
              <w:jc w:val="right"/>
            </w:pPr>
            <w:r>
              <w:t>94,726,213.18</w:t>
            </w:r>
          </w:p>
        </w:tc>
      </w:tr>
      <w:tr w14:paraId="40F5C7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DF15C67">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卖出回购金融资产款</w:t>
            </w:r>
          </w:p>
        </w:tc>
        <w:tc>
          <w:tcPr>
            <w:tcW w:w="627" w:type="pct"/>
            <w:tcBorders>
              <w:top w:val="outset" w:color="auto" w:sz="6" w:space="0"/>
              <w:left w:val="outset" w:color="auto" w:sz="6" w:space="0"/>
              <w:bottom w:val="outset" w:color="auto" w:sz="6" w:space="0"/>
              <w:right w:val="outset" w:color="auto" w:sz="6" w:space="0"/>
            </w:tcBorders>
            <w:vAlign w:val="center"/>
          </w:tcPr>
          <w:p w14:paraId="3F72AFDD"/>
        </w:tc>
        <w:tc>
          <w:tcPr>
            <w:tcW w:w="1411" w:type="pct"/>
            <w:tcBorders>
              <w:top w:val="outset" w:color="auto" w:sz="6" w:space="0"/>
              <w:left w:val="outset" w:color="auto" w:sz="6" w:space="0"/>
              <w:bottom w:val="outset" w:color="auto" w:sz="6" w:space="0"/>
              <w:right w:val="outset" w:color="auto" w:sz="6" w:space="0"/>
            </w:tcBorders>
            <w:vAlign w:val="center"/>
          </w:tcPr>
          <w:p w14:paraId="2DD17FF6">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5926CF91">
            <w:pPr>
              <w:jc w:val="right"/>
            </w:pPr>
          </w:p>
        </w:tc>
      </w:tr>
      <w:tr w14:paraId="45F2B1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FEB4504">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吸收存款及同业存放</w:t>
            </w:r>
          </w:p>
        </w:tc>
        <w:tc>
          <w:tcPr>
            <w:tcW w:w="627" w:type="pct"/>
            <w:tcBorders>
              <w:top w:val="outset" w:color="auto" w:sz="6" w:space="0"/>
              <w:left w:val="outset" w:color="auto" w:sz="6" w:space="0"/>
              <w:bottom w:val="outset" w:color="auto" w:sz="6" w:space="0"/>
              <w:right w:val="outset" w:color="auto" w:sz="6" w:space="0"/>
            </w:tcBorders>
            <w:vAlign w:val="center"/>
          </w:tcPr>
          <w:p w14:paraId="6FC369D7"/>
        </w:tc>
        <w:tc>
          <w:tcPr>
            <w:tcW w:w="1411" w:type="pct"/>
            <w:tcBorders>
              <w:top w:val="outset" w:color="auto" w:sz="6" w:space="0"/>
              <w:left w:val="outset" w:color="auto" w:sz="6" w:space="0"/>
              <w:bottom w:val="outset" w:color="auto" w:sz="6" w:space="0"/>
              <w:right w:val="outset" w:color="auto" w:sz="6" w:space="0"/>
            </w:tcBorders>
            <w:vAlign w:val="center"/>
          </w:tcPr>
          <w:p w14:paraId="36C05092">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0ADFC76F">
            <w:pPr>
              <w:jc w:val="right"/>
            </w:pPr>
          </w:p>
        </w:tc>
      </w:tr>
      <w:tr w14:paraId="25AF21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A8AED91">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代理买卖证券款</w:t>
            </w:r>
          </w:p>
        </w:tc>
        <w:tc>
          <w:tcPr>
            <w:tcW w:w="627" w:type="pct"/>
            <w:tcBorders>
              <w:top w:val="outset" w:color="auto" w:sz="6" w:space="0"/>
              <w:left w:val="outset" w:color="auto" w:sz="6" w:space="0"/>
              <w:bottom w:val="outset" w:color="auto" w:sz="6" w:space="0"/>
              <w:right w:val="outset" w:color="auto" w:sz="6" w:space="0"/>
            </w:tcBorders>
            <w:vAlign w:val="center"/>
          </w:tcPr>
          <w:p w14:paraId="0EC890AC"/>
        </w:tc>
        <w:tc>
          <w:tcPr>
            <w:tcW w:w="1411" w:type="pct"/>
            <w:tcBorders>
              <w:top w:val="outset" w:color="auto" w:sz="6" w:space="0"/>
              <w:left w:val="outset" w:color="auto" w:sz="6" w:space="0"/>
              <w:bottom w:val="outset" w:color="auto" w:sz="6" w:space="0"/>
              <w:right w:val="outset" w:color="auto" w:sz="6" w:space="0"/>
            </w:tcBorders>
            <w:vAlign w:val="center"/>
          </w:tcPr>
          <w:p w14:paraId="3F62C46A">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4B15FD9C">
            <w:pPr>
              <w:jc w:val="right"/>
            </w:pPr>
          </w:p>
        </w:tc>
      </w:tr>
      <w:tr w14:paraId="37D5A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A962E6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代理承销证券款</w:t>
            </w:r>
          </w:p>
        </w:tc>
        <w:tc>
          <w:tcPr>
            <w:tcW w:w="627" w:type="pct"/>
            <w:tcBorders>
              <w:top w:val="outset" w:color="auto" w:sz="6" w:space="0"/>
              <w:left w:val="outset" w:color="auto" w:sz="6" w:space="0"/>
              <w:bottom w:val="outset" w:color="auto" w:sz="6" w:space="0"/>
              <w:right w:val="outset" w:color="auto" w:sz="6" w:space="0"/>
            </w:tcBorders>
            <w:vAlign w:val="center"/>
          </w:tcPr>
          <w:p w14:paraId="7E7EE939"/>
        </w:tc>
        <w:tc>
          <w:tcPr>
            <w:tcW w:w="1411" w:type="pct"/>
            <w:tcBorders>
              <w:top w:val="outset" w:color="auto" w:sz="6" w:space="0"/>
              <w:left w:val="outset" w:color="auto" w:sz="6" w:space="0"/>
              <w:bottom w:val="outset" w:color="auto" w:sz="6" w:space="0"/>
              <w:right w:val="outset" w:color="auto" w:sz="6" w:space="0"/>
            </w:tcBorders>
            <w:vAlign w:val="center"/>
          </w:tcPr>
          <w:p w14:paraId="65C63EAB">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015F15D8">
            <w:pPr>
              <w:jc w:val="right"/>
            </w:pPr>
          </w:p>
        </w:tc>
      </w:tr>
      <w:tr w14:paraId="5D2703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B3EEB1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应付职工薪酬</w:t>
            </w:r>
          </w:p>
        </w:tc>
        <w:tc>
          <w:tcPr>
            <w:tcW w:w="627" w:type="pct"/>
            <w:tcBorders>
              <w:top w:val="outset" w:color="auto" w:sz="6" w:space="0"/>
              <w:left w:val="outset" w:color="auto" w:sz="6" w:space="0"/>
              <w:bottom w:val="outset" w:color="auto" w:sz="6" w:space="0"/>
              <w:right w:val="outset" w:color="auto" w:sz="6" w:space="0"/>
            </w:tcBorders>
            <w:vAlign w:val="center"/>
          </w:tcPr>
          <w:p w14:paraId="57CDF213"/>
        </w:tc>
        <w:tc>
          <w:tcPr>
            <w:tcW w:w="1411" w:type="pct"/>
            <w:tcBorders>
              <w:top w:val="outset" w:color="auto" w:sz="6" w:space="0"/>
              <w:left w:val="outset" w:color="auto" w:sz="6" w:space="0"/>
              <w:bottom w:val="outset" w:color="auto" w:sz="6" w:space="0"/>
              <w:right w:val="outset" w:color="auto" w:sz="6" w:space="0"/>
            </w:tcBorders>
            <w:vAlign w:val="center"/>
          </w:tcPr>
          <w:p w14:paraId="12CCB47F">
            <w:pPr>
              <w:jc w:val="right"/>
            </w:pPr>
            <w:r>
              <w:t>85,200,811.16</w:t>
            </w:r>
          </w:p>
        </w:tc>
        <w:tc>
          <w:tcPr>
            <w:tcW w:w="1333" w:type="pct"/>
            <w:tcBorders>
              <w:top w:val="outset" w:color="auto" w:sz="6" w:space="0"/>
              <w:left w:val="outset" w:color="auto" w:sz="6" w:space="0"/>
              <w:bottom w:val="outset" w:color="auto" w:sz="6" w:space="0"/>
              <w:right w:val="outset" w:color="auto" w:sz="6" w:space="0"/>
            </w:tcBorders>
            <w:vAlign w:val="center"/>
          </w:tcPr>
          <w:p w14:paraId="52352DB3">
            <w:pPr>
              <w:jc w:val="right"/>
            </w:pPr>
            <w:r>
              <w:t>93,584,202.70</w:t>
            </w:r>
          </w:p>
        </w:tc>
      </w:tr>
      <w:tr w14:paraId="4880CB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CBA0B97">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应交税费</w:t>
            </w:r>
          </w:p>
        </w:tc>
        <w:tc>
          <w:tcPr>
            <w:tcW w:w="627" w:type="pct"/>
            <w:tcBorders>
              <w:top w:val="outset" w:color="auto" w:sz="6" w:space="0"/>
              <w:left w:val="outset" w:color="auto" w:sz="6" w:space="0"/>
              <w:bottom w:val="outset" w:color="auto" w:sz="6" w:space="0"/>
              <w:right w:val="outset" w:color="auto" w:sz="6" w:space="0"/>
            </w:tcBorders>
            <w:vAlign w:val="center"/>
          </w:tcPr>
          <w:p w14:paraId="485B67C9"/>
        </w:tc>
        <w:tc>
          <w:tcPr>
            <w:tcW w:w="1411" w:type="pct"/>
            <w:tcBorders>
              <w:top w:val="outset" w:color="auto" w:sz="6" w:space="0"/>
              <w:left w:val="outset" w:color="auto" w:sz="6" w:space="0"/>
              <w:bottom w:val="outset" w:color="auto" w:sz="6" w:space="0"/>
              <w:right w:val="outset" w:color="auto" w:sz="6" w:space="0"/>
            </w:tcBorders>
            <w:vAlign w:val="center"/>
          </w:tcPr>
          <w:p w14:paraId="75A9723E">
            <w:pPr>
              <w:jc w:val="right"/>
            </w:pPr>
            <w:r>
              <w:t>27,760,252.43</w:t>
            </w:r>
          </w:p>
        </w:tc>
        <w:tc>
          <w:tcPr>
            <w:tcW w:w="1333" w:type="pct"/>
            <w:tcBorders>
              <w:top w:val="outset" w:color="auto" w:sz="6" w:space="0"/>
              <w:left w:val="outset" w:color="auto" w:sz="6" w:space="0"/>
              <w:bottom w:val="outset" w:color="auto" w:sz="6" w:space="0"/>
              <w:right w:val="outset" w:color="auto" w:sz="6" w:space="0"/>
            </w:tcBorders>
            <w:vAlign w:val="center"/>
          </w:tcPr>
          <w:p w14:paraId="0090A7C4">
            <w:pPr>
              <w:jc w:val="right"/>
            </w:pPr>
            <w:r>
              <w:t>28,547,415.04</w:t>
            </w:r>
          </w:p>
        </w:tc>
      </w:tr>
      <w:tr w14:paraId="45D068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015F59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其他应付款</w:t>
            </w:r>
          </w:p>
        </w:tc>
        <w:tc>
          <w:tcPr>
            <w:tcW w:w="627" w:type="pct"/>
            <w:tcBorders>
              <w:top w:val="outset" w:color="auto" w:sz="6" w:space="0"/>
              <w:left w:val="outset" w:color="auto" w:sz="6" w:space="0"/>
              <w:bottom w:val="outset" w:color="auto" w:sz="6" w:space="0"/>
              <w:right w:val="outset" w:color="auto" w:sz="6" w:space="0"/>
            </w:tcBorders>
            <w:vAlign w:val="center"/>
          </w:tcPr>
          <w:p w14:paraId="357ABF67"/>
        </w:tc>
        <w:tc>
          <w:tcPr>
            <w:tcW w:w="1411" w:type="pct"/>
            <w:tcBorders>
              <w:top w:val="outset" w:color="auto" w:sz="6" w:space="0"/>
              <w:left w:val="outset" w:color="auto" w:sz="6" w:space="0"/>
              <w:bottom w:val="outset" w:color="auto" w:sz="6" w:space="0"/>
              <w:right w:val="outset" w:color="auto" w:sz="6" w:space="0"/>
            </w:tcBorders>
            <w:vAlign w:val="center"/>
          </w:tcPr>
          <w:p w14:paraId="410D9255">
            <w:pPr>
              <w:jc w:val="right"/>
            </w:pPr>
            <w:r>
              <w:t>35,801,409.91</w:t>
            </w:r>
          </w:p>
        </w:tc>
        <w:tc>
          <w:tcPr>
            <w:tcW w:w="1333" w:type="pct"/>
            <w:tcBorders>
              <w:top w:val="outset" w:color="auto" w:sz="6" w:space="0"/>
              <w:left w:val="outset" w:color="auto" w:sz="6" w:space="0"/>
              <w:bottom w:val="outset" w:color="auto" w:sz="6" w:space="0"/>
              <w:right w:val="outset" w:color="auto" w:sz="6" w:space="0"/>
            </w:tcBorders>
            <w:vAlign w:val="center"/>
          </w:tcPr>
          <w:p w14:paraId="40B39E65">
            <w:pPr>
              <w:jc w:val="right"/>
            </w:pPr>
            <w:r>
              <w:t>28,613,860.71</w:t>
            </w:r>
          </w:p>
        </w:tc>
      </w:tr>
      <w:tr w14:paraId="2807F5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746C2BB">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其中：应付利息</w:t>
            </w:r>
          </w:p>
        </w:tc>
        <w:tc>
          <w:tcPr>
            <w:tcW w:w="627" w:type="pct"/>
            <w:tcBorders>
              <w:top w:val="outset" w:color="auto" w:sz="6" w:space="0"/>
              <w:left w:val="outset" w:color="auto" w:sz="6" w:space="0"/>
              <w:bottom w:val="outset" w:color="auto" w:sz="6" w:space="0"/>
              <w:right w:val="outset" w:color="auto" w:sz="6" w:space="0"/>
            </w:tcBorders>
            <w:vAlign w:val="center"/>
          </w:tcPr>
          <w:p w14:paraId="20A968E9"/>
        </w:tc>
        <w:tc>
          <w:tcPr>
            <w:tcW w:w="1411" w:type="pct"/>
            <w:tcBorders>
              <w:top w:val="outset" w:color="auto" w:sz="6" w:space="0"/>
              <w:left w:val="outset" w:color="auto" w:sz="6" w:space="0"/>
              <w:bottom w:val="outset" w:color="auto" w:sz="6" w:space="0"/>
              <w:right w:val="outset" w:color="auto" w:sz="6" w:space="0"/>
            </w:tcBorders>
            <w:vAlign w:val="center"/>
          </w:tcPr>
          <w:p w14:paraId="1E2A787B">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5E5CC53F">
            <w:pPr>
              <w:jc w:val="right"/>
            </w:pPr>
          </w:p>
        </w:tc>
      </w:tr>
      <w:tr w14:paraId="456E9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545F33E2">
            <w:pPr>
              <w:ind w:firstLine="840" w:firstLineChars="400"/>
              <w:rPr>
                <w:color w:val="000000" w:themeColor="text1"/>
                <w14:textFill>
                  <w14:solidFill>
                    <w14:schemeClr w14:val="tx1"/>
                  </w14:solidFill>
                </w14:textFill>
              </w:rPr>
            </w:pPr>
            <w:r>
              <w:rPr>
                <w:rFonts w:hint="eastAsia"/>
                <w:color w:val="000000" w:themeColor="text1"/>
                <w14:textFill>
                  <w14:solidFill>
                    <w14:schemeClr w14:val="tx1"/>
                  </w14:solidFill>
                </w14:textFill>
              </w:rPr>
              <w:t>应付股利</w:t>
            </w:r>
          </w:p>
        </w:tc>
        <w:tc>
          <w:tcPr>
            <w:tcW w:w="627" w:type="pct"/>
            <w:tcBorders>
              <w:top w:val="outset" w:color="auto" w:sz="6" w:space="0"/>
              <w:left w:val="outset" w:color="auto" w:sz="6" w:space="0"/>
              <w:bottom w:val="outset" w:color="auto" w:sz="6" w:space="0"/>
              <w:right w:val="outset" w:color="auto" w:sz="6" w:space="0"/>
            </w:tcBorders>
            <w:vAlign w:val="center"/>
          </w:tcPr>
          <w:p w14:paraId="63564469"/>
        </w:tc>
        <w:tc>
          <w:tcPr>
            <w:tcW w:w="1411" w:type="pct"/>
            <w:tcBorders>
              <w:top w:val="outset" w:color="auto" w:sz="6" w:space="0"/>
              <w:left w:val="outset" w:color="auto" w:sz="6" w:space="0"/>
              <w:bottom w:val="outset" w:color="auto" w:sz="6" w:space="0"/>
              <w:right w:val="outset" w:color="auto" w:sz="6" w:space="0"/>
            </w:tcBorders>
            <w:vAlign w:val="center"/>
          </w:tcPr>
          <w:p w14:paraId="7F8B4BC7">
            <w:pPr>
              <w:jc w:val="right"/>
            </w:pPr>
            <w:r>
              <w:t>12,685,993.28</w:t>
            </w:r>
          </w:p>
        </w:tc>
        <w:tc>
          <w:tcPr>
            <w:tcW w:w="1333" w:type="pct"/>
            <w:tcBorders>
              <w:top w:val="outset" w:color="auto" w:sz="6" w:space="0"/>
              <w:left w:val="outset" w:color="auto" w:sz="6" w:space="0"/>
              <w:bottom w:val="outset" w:color="auto" w:sz="6" w:space="0"/>
              <w:right w:val="outset" w:color="auto" w:sz="6" w:space="0"/>
            </w:tcBorders>
            <w:vAlign w:val="center"/>
          </w:tcPr>
          <w:p w14:paraId="1DE7171E">
            <w:pPr>
              <w:jc w:val="right"/>
            </w:pPr>
            <w:r>
              <w:t>3,783,174.25</w:t>
            </w:r>
          </w:p>
        </w:tc>
      </w:tr>
      <w:tr w14:paraId="4076BF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F93D221">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应付手续费及佣金</w:t>
            </w:r>
          </w:p>
        </w:tc>
        <w:tc>
          <w:tcPr>
            <w:tcW w:w="627" w:type="pct"/>
            <w:tcBorders>
              <w:top w:val="outset" w:color="auto" w:sz="6" w:space="0"/>
              <w:left w:val="outset" w:color="auto" w:sz="6" w:space="0"/>
              <w:bottom w:val="outset" w:color="auto" w:sz="6" w:space="0"/>
              <w:right w:val="outset" w:color="auto" w:sz="6" w:space="0"/>
            </w:tcBorders>
            <w:vAlign w:val="center"/>
          </w:tcPr>
          <w:p w14:paraId="24F11E12"/>
        </w:tc>
        <w:tc>
          <w:tcPr>
            <w:tcW w:w="1411" w:type="pct"/>
            <w:tcBorders>
              <w:top w:val="outset" w:color="auto" w:sz="6" w:space="0"/>
              <w:left w:val="outset" w:color="auto" w:sz="6" w:space="0"/>
              <w:bottom w:val="outset" w:color="auto" w:sz="6" w:space="0"/>
              <w:right w:val="outset" w:color="auto" w:sz="6" w:space="0"/>
            </w:tcBorders>
            <w:vAlign w:val="center"/>
          </w:tcPr>
          <w:p w14:paraId="511B6976">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23A9B44D">
            <w:pPr>
              <w:jc w:val="right"/>
            </w:pPr>
          </w:p>
        </w:tc>
      </w:tr>
      <w:tr w14:paraId="4EB31C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68BF75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应付分保账款</w:t>
            </w:r>
          </w:p>
        </w:tc>
        <w:tc>
          <w:tcPr>
            <w:tcW w:w="627" w:type="pct"/>
            <w:tcBorders>
              <w:top w:val="outset" w:color="auto" w:sz="6" w:space="0"/>
              <w:left w:val="outset" w:color="auto" w:sz="6" w:space="0"/>
              <w:bottom w:val="outset" w:color="auto" w:sz="6" w:space="0"/>
              <w:right w:val="outset" w:color="auto" w:sz="6" w:space="0"/>
            </w:tcBorders>
            <w:vAlign w:val="center"/>
          </w:tcPr>
          <w:p w14:paraId="629D99FA"/>
        </w:tc>
        <w:tc>
          <w:tcPr>
            <w:tcW w:w="1411" w:type="pct"/>
            <w:tcBorders>
              <w:top w:val="outset" w:color="auto" w:sz="6" w:space="0"/>
              <w:left w:val="outset" w:color="auto" w:sz="6" w:space="0"/>
              <w:bottom w:val="outset" w:color="auto" w:sz="6" w:space="0"/>
              <w:right w:val="outset" w:color="auto" w:sz="6" w:space="0"/>
            </w:tcBorders>
            <w:vAlign w:val="center"/>
          </w:tcPr>
          <w:p w14:paraId="5328FAF0">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662FB156">
            <w:pPr>
              <w:jc w:val="right"/>
            </w:pPr>
          </w:p>
        </w:tc>
      </w:tr>
      <w:tr w14:paraId="760E0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859B97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持有待售负债</w:t>
            </w:r>
          </w:p>
        </w:tc>
        <w:tc>
          <w:tcPr>
            <w:tcW w:w="627" w:type="pct"/>
            <w:tcBorders>
              <w:top w:val="outset" w:color="auto" w:sz="6" w:space="0"/>
              <w:left w:val="outset" w:color="auto" w:sz="6" w:space="0"/>
              <w:bottom w:val="outset" w:color="auto" w:sz="6" w:space="0"/>
              <w:right w:val="outset" w:color="auto" w:sz="6" w:space="0"/>
            </w:tcBorders>
            <w:vAlign w:val="center"/>
          </w:tcPr>
          <w:p w14:paraId="352DB977"/>
        </w:tc>
        <w:tc>
          <w:tcPr>
            <w:tcW w:w="1411" w:type="pct"/>
            <w:tcBorders>
              <w:top w:val="outset" w:color="auto" w:sz="6" w:space="0"/>
              <w:left w:val="outset" w:color="auto" w:sz="6" w:space="0"/>
              <w:bottom w:val="outset" w:color="auto" w:sz="6" w:space="0"/>
              <w:right w:val="outset" w:color="auto" w:sz="6" w:space="0"/>
            </w:tcBorders>
            <w:vAlign w:val="center"/>
          </w:tcPr>
          <w:p w14:paraId="3630E7E4">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0D3CF19E">
            <w:pPr>
              <w:jc w:val="right"/>
            </w:pPr>
          </w:p>
        </w:tc>
      </w:tr>
      <w:tr w14:paraId="44C034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259BA4C">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一年内到期的非流动负债</w:t>
            </w:r>
          </w:p>
        </w:tc>
        <w:tc>
          <w:tcPr>
            <w:tcW w:w="627" w:type="pct"/>
            <w:tcBorders>
              <w:top w:val="outset" w:color="auto" w:sz="6" w:space="0"/>
              <w:left w:val="outset" w:color="auto" w:sz="6" w:space="0"/>
              <w:bottom w:val="outset" w:color="auto" w:sz="6" w:space="0"/>
              <w:right w:val="outset" w:color="auto" w:sz="6" w:space="0"/>
            </w:tcBorders>
            <w:vAlign w:val="center"/>
          </w:tcPr>
          <w:p w14:paraId="174CA74A"/>
        </w:tc>
        <w:tc>
          <w:tcPr>
            <w:tcW w:w="1411" w:type="pct"/>
            <w:tcBorders>
              <w:top w:val="outset" w:color="auto" w:sz="6" w:space="0"/>
              <w:left w:val="outset" w:color="auto" w:sz="6" w:space="0"/>
              <w:bottom w:val="outset" w:color="auto" w:sz="6" w:space="0"/>
              <w:right w:val="outset" w:color="auto" w:sz="6" w:space="0"/>
            </w:tcBorders>
            <w:vAlign w:val="center"/>
          </w:tcPr>
          <w:p w14:paraId="72BA85C4">
            <w:pPr>
              <w:jc w:val="right"/>
            </w:pPr>
            <w:r>
              <w:t>69,658,013.34</w:t>
            </w:r>
          </w:p>
        </w:tc>
        <w:tc>
          <w:tcPr>
            <w:tcW w:w="1333" w:type="pct"/>
            <w:tcBorders>
              <w:top w:val="outset" w:color="auto" w:sz="6" w:space="0"/>
              <w:left w:val="outset" w:color="auto" w:sz="6" w:space="0"/>
              <w:bottom w:val="outset" w:color="auto" w:sz="6" w:space="0"/>
              <w:right w:val="outset" w:color="auto" w:sz="6" w:space="0"/>
            </w:tcBorders>
            <w:vAlign w:val="center"/>
          </w:tcPr>
          <w:p w14:paraId="78AA9FC5">
            <w:pPr>
              <w:jc w:val="right"/>
            </w:pPr>
            <w:r>
              <w:t>176,049,773.07</w:t>
            </w:r>
          </w:p>
        </w:tc>
      </w:tr>
      <w:tr w14:paraId="3CE33A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CA0E2C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其他流动负债</w:t>
            </w:r>
          </w:p>
        </w:tc>
        <w:tc>
          <w:tcPr>
            <w:tcW w:w="627" w:type="pct"/>
            <w:tcBorders>
              <w:top w:val="outset" w:color="auto" w:sz="6" w:space="0"/>
              <w:left w:val="outset" w:color="auto" w:sz="6" w:space="0"/>
              <w:bottom w:val="outset" w:color="auto" w:sz="6" w:space="0"/>
              <w:right w:val="outset" w:color="auto" w:sz="6" w:space="0"/>
            </w:tcBorders>
            <w:vAlign w:val="center"/>
          </w:tcPr>
          <w:p w14:paraId="6327AA60"/>
        </w:tc>
        <w:tc>
          <w:tcPr>
            <w:tcW w:w="1411" w:type="pct"/>
            <w:tcBorders>
              <w:top w:val="outset" w:color="auto" w:sz="6" w:space="0"/>
              <w:left w:val="outset" w:color="auto" w:sz="6" w:space="0"/>
              <w:bottom w:val="outset" w:color="auto" w:sz="6" w:space="0"/>
              <w:right w:val="outset" w:color="auto" w:sz="6" w:space="0"/>
            </w:tcBorders>
            <w:vAlign w:val="center"/>
          </w:tcPr>
          <w:p w14:paraId="03C021C9">
            <w:pPr>
              <w:jc w:val="right"/>
            </w:pPr>
            <w:r>
              <w:t>4,311,745</w:t>
            </w:r>
            <w:r>
              <w:rPr>
                <w:rFonts w:hint="eastAsia"/>
              </w:rPr>
              <w:t>.07</w:t>
            </w:r>
          </w:p>
        </w:tc>
        <w:tc>
          <w:tcPr>
            <w:tcW w:w="1333" w:type="pct"/>
            <w:tcBorders>
              <w:top w:val="outset" w:color="auto" w:sz="6" w:space="0"/>
              <w:left w:val="outset" w:color="auto" w:sz="6" w:space="0"/>
              <w:bottom w:val="outset" w:color="auto" w:sz="6" w:space="0"/>
              <w:right w:val="outset" w:color="auto" w:sz="6" w:space="0"/>
            </w:tcBorders>
            <w:vAlign w:val="center"/>
          </w:tcPr>
          <w:p w14:paraId="7CDCC7A0">
            <w:pPr>
              <w:jc w:val="right"/>
            </w:pPr>
            <w:r>
              <w:t>5,089,321.16</w:t>
            </w:r>
          </w:p>
        </w:tc>
      </w:tr>
      <w:tr w14:paraId="521382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443CC24">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流动负债合计</w:t>
            </w:r>
          </w:p>
        </w:tc>
        <w:tc>
          <w:tcPr>
            <w:tcW w:w="627" w:type="pct"/>
            <w:tcBorders>
              <w:top w:val="outset" w:color="auto" w:sz="6" w:space="0"/>
              <w:left w:val="outset" w:color="auto" w:sz="6" w:space="0"/>
              <w:bottom w:val="outset" w:color="auto" w:sz="6" w:space="0"/>
              <w:right w:val="outset" w:color="auto" w:sz="6" w:space="0"/>
            </w:tcBorders>
            <w:vAlign w:val="center"/>
          </w:tcPr>
          <w:p w14:paraId="67FB7BA9"/>
        </w:tc>
        <w:tc>
          <w:tcPr>
            <w:tcW w:w="1411" w:type="pct"/>
            <w:tcBorders>
              <w:top w:val="outset" w:color="auto" w:sz="6" w:space="0"/>
              <w:left w:val="outset" w:color="auto" w:sz="6" w:space="0"/>
              <w:bottom w:val="outset" w:color="auto" w:sz="6" w:space="0"/>
              <w:right w:val="outset" w:color="auto" w:sz="6" w:space="0"/>
            </w:tcBorders>
            <w:vAlign w:val="center"/>
          </w:tcPr>
          <w:p w14:paraId="35C3E287">
            <w:pPr>
              <w:jc w:val="right"/>
            </w:pPr>
            <w:r>
              <w:t>2,834,922,276.20</w:t>
            </w:r>
          </w:p>
        </w:tc>
        <w:tc>
          <w:tcPr>
            <w:tcW w:w="1333" w:type="pct"/>
            <w:tcBorders>
              <w:top w:val="outset" w:color="auto" w:sz="6" w:space="0"/>
              <w:left w:val="outset" w:color="auto" w:sz="6" w:space="0"/>
              <w:bottom w:val="outset" w:color="auto" w:sz="6" w:space="0"/>
              <w:right w:val="outset" w:color="auto" w:sz="6" w:space="0"/>
            </w:tcBorders>
            <w:vAlign w:val="center"/>
          </w:tcPr>
          <w:p w14:paraId="36D6309B">
            <w:pPr>
              <w:jc w:val="right"/>
            </w:pPr>
            <w:r>
              <w:t>2,784,773,468.91</w:t>
            </w:r>
          </w:p>
        </w:tc>
      </w:tr>
      <w:tr w14:paraId="451DEA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e92d79badc1945afbed8782cdacf599f"/>
            <w:id w:val="455451293"/>
          </w:sdtPr>
          <w:sdtContent>
            <w:tc>
              <w:tcPr>
                <w:tcW w:w="5000" w:type="pct"/>
                <w:gridSpan w:val="4"/>
                <w:tcBorders>
                  <w:top w:val="outset" w:color="auto" w:sz="6" w:space="0"/>
                  <w:left w:val="outset" w:color="auto" w:sz="6" w:space="0"/>
                  <w:bottom w:val="outset" w:color="auto" w:sz="6" w:space="0"/>
                  <w:right w:val="outset" w:color="auto" w:sz="6" w:space="0"/>
                </w:tcBorders>
                <w:vAlign w:val="center"/>
              </w:tcPr>
              <w:p w14:paraId="518DB9CE">
                <w:pPr>
                  <w:rPr>
                    <w:color w:val="000000" w:themeColor="text1"/>
                    <w14:textFill>
                      <w14:solidFill>
                        <w14:schemeClr w14:val="tx1"/>
                      </w14:solidFill>
                    </w14:textFill>
                  </w:rPr>
                </w:pPr>
                <w:r>
                  <w:rPr>
                    <w:rFonts w:hint="eastAsia"/>
                    <w:b/>
                    <w:color w:val="000000" w:themeColor="text1"/>
                    <w14:textFill>
                      <w14:solidFill>
                        <w14:schemeClr w14:val="tx1"/>
                      </w14:solidFill>
                    </w14:textFill>
                  </w:rPr>
                  <w:t>非流动负债：</w:t>
                </w:r>
              </w:p>
            </w:tc>
          </w:sdtContent>
        </w:sdt>
      </w:tr>
      <w:tr w14:paraId="7D3795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7C0DCB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保险合同准备金</w:t>
            </w:r>
          </w:p>
        </w:tc>
        <w:tc>
          <w:tcPr>
            <w:tcW w:w="627" w:type="pct"/>
            <w:tcBorders>
              <w:top w:val="outset" w:color="auto" w:sz="6" w:space="0"/>
              <w:left w:val="outset" w:color="auto" w:sz="6" w:space="0"/>
              <w:bottom w:val="outset" w:color="auto" w:sz="6" w:space="0"/>
              <w:right w:val="outset" w:color="auto" w:sz="6" w:space="0"/>
            </w:tcBorders>
            <w:vAlign w:val="center"/>
          </w:tcPr>
          <w:p w14:paraId="2CDF5715"/>
        </w:tc>
        <w:tc>
          <w:tcPr>
            <w:tcW w:w="1411" w:type="pct"/>
            <w:tcBorders>
              <w:top w:val="outset" w:color="auto" w:sz="6" w:space="0"/>
              <w:left w:val="outset" w:color="auto" w:sz="6" w:space="0"/>
              <w:bottom w:val="outset" w:color="auto" w:sz="6" w:space="0"/>
              <w:right w:val="outset" w:color="auto" w:sz="6" w:space="0"/>
            </w:tcBorders>
            <w:vAlign w:val="center"/>
          </w:tcPr>
          <w:p w14:paraId="0F1C7FDF">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53624D2D">
            <w:pPr>
              <w:jc w:val="right"/>
            </w:pPr>
          </w:p>
        </w:tc>
      </w:tr>
      <w:tr w14:paraId="4B8365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587EC7F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长期借款</w:t>
            </w:r>
          </w:p>
        </w:tc>
        <w:tc>
          <w:tcPr>
            <w:tcW w:w="627" w:type="pct"/>
            <w:tcBorders>
              <w:top w:val="outset" w:color="auto" w:sz="6" w:space="0"/>
              <w:left w:val="outset" w:color="auto" w:sz="6" w:space="0"/>
              <w:bottom w:val="outset" w:color="auto" w:sz="6" w:space="0"/>
              <w:right w:val="outset" w:color="auto" w:sz="6" w:space="0"/>
            </w:tcBorders>
            <w:vAlign w:val="center"/>
          </w:tcPr>
          <w:p w14:paraId="12CA0AC0"/>
        </w:tc>
        <w:tc>
          <w:tcPr>
            <w:tcW w:w="1411" w:type="pct"/>
            <w:tcBorders>
              <w:top w:val="outset" w:color="auto" w:sz="6" w:space="0"/>
              <w:left w:val="outset" w:color="auto" w:sz="6" w:space="0"/>
              <w:bottom w:val="outset" w:color="auto" w:sz="6" w:space="0"/>
              <w:right w:val="outset" w:color="auto" w:sz="6" w:space="0"/>
            </w:tcBorders>
            <w:vAlign w:val="center"/>
          </w:tcPr>
          <w:p w14:paraId="6C0B2E2E">
            <w:pPr>
              <w:jc w:val="right"/>
            </w:pPr>
            <w:r>
              <w:t>327,348,366.82</w:t>
            </w:r>
          </w:p>
        </w:tc>
        <w:tc>
          <w:tcPr>
            <w:tcW w:w="1333" w:type="pct"/>
            <w:tcBorders>
              <w:top w:val="outset" w:color="auto" w:sz="6" w:space="0"/>
              <w:left w:val="outset" w:color="auto" w:sz="6" w:space="0"/>
              <w:bottom w:val="outset" w:color="auto" w:sz="6" w:space="0"/>
              <w:right w:val="outset" w:color="auto" w:sz="6" w:space="0"/>
            </w:tcBorders>
            <w:vAlign w:val="center"/>
          </w:tcPr>
          <w:p w14:paraId="03F79107">
            <w:pPr>
              <w:jc w:val="right"/>
            </w:pPr>
            <w:r>
              <w:t>302,848,366.82</w:t>
            </w:r>
          </w:p>
        </w:tc>
      </w:tr>
      <w:tr w14:paraId="022477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AE636E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应付债券</w:t>
            </w:r>
          </w:p>
        </w:tc>
        <w:tc>
          <w:tcPr>
            <w:tcW w:w="627" w:type="pct"/>
            <w:tcBorders>
              <w:top w:val="outset" w:color="auto" w:sz="6" w:space="0"/>
              <w:left w:val="outset" w:color="auto" w:sz="6" w:space="0"/>
              <w:bottom w:val="outset" w:color="auto" w:sz="6" w:space="0"/>
              <w:right w:val="outset" w:color="auto" w:sz="6" w:space="0"/>
            </w:tcBorders>
            <w:vAlign w:val="center"/>
          </w:tcPr>
          <w:p w14:paraId="3CD5214C"/>
        </w:tc>
        <w:tc>
          <w:tcPr>
            <w:tcW w:w="1411" w:type="pct"/>
            <w:tcBorders>
              <w:top w:val="outset" w:color="auto" w:sz="6" w:space="0"/>
              <w:left w:val="outset" w:color="auto" w:sz="6" w:space="0"/>
              <w:bottom w:val="outset" w:color="auto" w:sz="6" w:space="0"/>
              <w:right w:val="outset" w:color="auto" w:sz="6" w:space="0"/>
            </w:tcBorders>
            <w:vAlign w:val="center"/>
          </w:tcPr>
          <w:p w14:paraId="576B313B">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464C8F5B">
            <w:pPr>
              <w:jc w:val="right"/>
            </w:pPr>
          </w:p>
        </w:tc>
      </w:tr>
      <w:tr w14:paraId="6F2E5C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C0DAEE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其中：优先股</w:t>
            </w:r>
          </w:p>
        </w:tc>
        <w:tc>
          <w:tcPr>
            <w:tcW w:w="627" w:type="pct"/>
            <w:tcBorders>
              <w:top w:val="outset" w:color="auto" w:sz="6" w:space="0"/>
              <w:left w:val="outset" w:color="auto" w:sz="6" w:space="0"/>
              <w:bottom w:val="outset" w:color="auto" w:sz="6" w:space="0"/>
              <w:right w:val="outset" w:color="auto" w:sz="6" w:space="0"/>
            </w:tcBorders>
            <w:vAlign w:val="center"/>
          </w:tcPr>
          <w:p w14:paraId="43FBD133"/>
        </w:tc>
        <w:tc>
          <w:tcPr>
            <w:tcW w:w="1411" w:type="pct"/>
            <w:tcBorders>
              <w:top w:val="outset" w:color="auto" w:sz="6" w:space="0"/>
              <w:left w:val="outset" w:color="auto" w:sz="6" w:space="0"/>
              <w:bottom w:val="outset" w:color="auto" w:sz="6" w:space="0"/>
              <w:right w:val="outset" w:color="auto" w:sz="6" w:space="0"/>
            </w:tcBorders>
            <w:vAlign w:val="center"/>
          </w:tcPr>
          <w:p w14:paraId="2E9576FB">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370252C7">
            <w:pPr>
              <w:jc w:val="right"/>
            </w:pPr>
          </w:p>
        </w:tc>
      </w:tr>
      <w:tr w14:paraId="7B1E01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0A853DD">
            <w:pPr>
              <w:ind w:firstLine="840" w:firstLineChars="400"/>
              <w:rPr>
                <w:color w:val="000000" w:themeColor="text1"/>
                <w14:textFill>
                  <w14:solidFill>
                    <w14:schemeClr w14:val="tx1"/>
                  </w14:solidFill>
                </w14:textFill>
              </w:rPr>
            </w:pPr>
            <w:r>
              <w:rPr>
                <w:rFonts w:hint="eastAsia"/>
                <w:color w:val="000000" w:themeColor="text1"/>
                <w14:textFill>
                  <w14:solidFill>
                    <w14:schemeClr w14:val="tx1"/>
                  </w14:solidFill>
                </w14:textFill>
              </w:rPr>
              <w:t>永续债</w:t>
            </w:r>
          </w:p>
        </w:tc>
        <w:tc>
          <w:tcPr>
            <w:tcW w:w="627" w:type="pct"/>
            <w:tcBorders>
              <w:top w:val="outset" w:color="auto" w:sz="6" w:space="0"/>
              <w:left w:val="outset" w:color="auto" w:sz="6" w:space="0"/>
              <w:bottom w:val="outset" w:color="auto" w:sz="6" w:space="0"/>
              <w:right w:val="outset" w:color="auto" w:sz="6" w:space="0"/>
            </w:tcBorders>
            <w:vAlign w:val="center"/>
          </w:tcPr>
          <w:p w14:paraId="34A62EB6"/>
        </w:tc>
        <w:tc>
          <w:tcPr>
            <w:tcW w:w="1411" w:type="pct"/>
            <w:tcBorders>
              <w:top w:val="outset" w:color="auto" w:sz="6" w:space="0"/>
              <w:left w:val="outset" w:color="auto" w:sz="6" w:space="0"/>
              <w:bottom w:val="outset" w:color="auto" w:sz="6" w:space="0"/>
              <w:right w:val="outset" w:color="auto" w:sz="6" w:space="0"/>
            </w:tcBorders>
            <w:vAlign w:val="center"/>
          </w:tcPr>
          <w:p w14:paraId="665AC565">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4353A642">
            <w:pPr>
              <w:jc w:val="right"/>
            </w:pPr>
          </w:p>
        </w:tc>
      </w:tr>
      <w:tr w14:paraId="35AE5D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928949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租赁负债</w:t>
            </w:r>
          </w:p>
        </w:tc>
        <w:tc>
          <w:tcPr>
            <w:tcW w:w="627" w:type="pct"/>
            <w:tcBorders>
              <w:top w:val="outset" w:color="auto" w:sz="6" w:space="0"/>
              <w:left w:val="outset" w:color="auto" w:sz="6" w:space="0"/>
              <w:bottom w:val="outset" w:color="auto" w:sz="6" w:space="0"/>
              <w:right w:val="outset" w:color="auto" w:sz="6" w:space="0"/>
            </w:tcBorders>
            <w:vAlign w:val="center"/>
          </w:tcPr>
          <w:p w14:paraId="34D8A23F"/>
        </w:tc>
        <w:tc>
          <w:tcPr>
            <w:tcW w:w="1411" w:type="pct"/>
            <w:tcBorders>
              <w:top w:val="outset" w:color="auto" w:sz="6" w:space="0"/>
              <w:left w:val="outset" w:color="auto" w:sz="6" w:space="0"/>
              <w:bottom w:val="outset" w:color="auto" w:sz="6" w:space="0"/>
              <w:right w:val="outset" w:color="auto" w:sz="6" w:space="0"/>
            </w:tcBorders>
            <w:vAlign w:val="center"/>
          </w:tcPr>
          <w:p w14:paraId="75D5125E">
            <w:pPr>
              <w:jc w:val="right"/>
            </w:pPr>
            <w:r>
              <w:t>1,680,178.18</w:t>
            </w:r>
          </w:p>
        </w:tc>
        <w:tc>
          <w:tcPr>
            <w:tcW w:w="1333" w:type="pct"/>
            <w:tcBorders>
              <w:top w:val="outset" w:color="auto" w:sz="6" w:space="0"/>
              <w:left w:val="outset" w:color="auto" w:sz="6" w:space="0"/>
              <w:bottom w:val="outset" w:color="auto" w:sz="6" w:space="0"/>
              <w:right w:val="outset" w:color="auto" w:sz="6" w:space="0"/>
            </w:tcBorders>
            <w:vAlign w:val="center"/>
          </w:tcPr>
          <w:p w14:paraId="0A2E84EE">
            <w:pPr>
              <w:jc w:val="right"/>
            </w:pPr>
            <w:r>
              <w:t>2,114,700.16</w:t>
            </w:r>
          </w:p>
        </w:tc>
      </w:tr>
      <w:tr w14:paraId="526DC5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D50616C">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长期应付款</w:t>
            </w:r>
          </w:p>
        </w:tc>
        <w:tc>
          <w:tcPr>
            <w:tcW w:w="627" w:type="pct"/>
            <w:tcBorders>
              <w:top w:val="outset" w:color="auto" w:sz="6" w:space="0"/>
              <w:left w:val="outset" w:color="auto" w:sz="6" w:space="0"/>
              <w:bottom w:val="outset" w:color="auto" w:sz="6" w:space="0"/>
              <w:right w:val="outset" w:color="auto" w:sz="6" w:space="0"/>
            </w:tcBorders>
            <w:vAlign w:val="center"/>
          </w:tcPr>
          <w:p w14:paraId="0FB66D0A"/>
        </w:tc>
        <w:tc>
          <w:tcPr>
            <w:tcW w:w="1411" w:type="pct"/>
            <w:tcBorders>
              <w:top w:val="outset" w:color="auto" w:sz="6" w:space="0"/>
              <w:left w:val="outset" w:color="auto" w:sz="6" w:space="0"/>
              <w:bottom w:val="outset" w:color="auto" w:sz="6" w:space="0"/>
              <w:right w:val="outset" w:color="auto" w:sz="6" w:space="0"/>
            </w:tcBorders>
            <w:vAlign w:val="center"/>
          </w:tcPr>
          <w:p w14:paraId="6481D566">
            <w:pPr>
              <w:jc w:val="right"/>
            </w:pPr>
            <w:r>
              <w:t>51,928,716.39</w:t>
            </w:r>
          </w:p>
        </w:tc>
        <w:tc>
          <w:tcPr>
            <w:tcW w:w="1333" w:type="pct"/>
            <w:tcBorders>
              <w:top w:val="outset" w:color="auto" w:sz="6" w:space="0"/>
              <w:left w:val="outset" w:color="auto" w:sz="6" w:space="0"/>
              <w:bottom w:val="outset" w:color="auto" w:sz="6" w:space="0"/>
              <w:right w:val="outset" w:color="auto" w:sz="6" w:space="0"/>
            </w:tcBorders>
            <w:vAlign w:val="center"/>
          </w:tcPr>
          <w:p w14:paraId="63E48FCE">
            <w:pPr>
              <w:jc w:val="right"/>
            </w:pPr>
            <w:r>
              <w:t>21,462,317.06</w:t>
            </w:r>
          </w:p>
        </w:tc>
      </w:tr>
      <w:tr w14:paraId="0C2A52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5836F14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长期应付职工薪酬</w:t>
            </w:r>
          </w:p>
        </w:tc>
        <w:tc>
          <w:tcPr>
            <w:tcW w:w="627" w:type="pct"/>
            <w:tcBorders>
              <w:top w:val="outset" w:color="auto" w:sz="6" w:space="0"/>
              <w:left w:val="outset" w:color="auto" w:sz="6" w:space="0"/>
              <w:bottom w:val="outset" w:color="auto" w:sz="6" w:space="0"/>
              <w:right w:val="outset" w:color="auto" w:sz="6" w:space="0"/>
            </w:tcBorders>
            <w:vAlign w:val="center"/>
          </w:tcPr>
          <w:p w14:paraId="4ED38750"/>
        </w:tc>
        <w:tc>
          <w:tcPr>
            <w:tcW w:w="1411" w:type="pct"/>
            <w:tcBorders>
              <w:top w:val="outset" w:color="auto" w:sz="6" w:space="0"/>
              <w:left w:val="outset" w:color="auto" w:sz="6" w:space="0"/>
              <w:bottom w:val="outset" w:color="auto" w:sz="6" w:space="0"/>
              <w:right w:val="outset" w:color="auto" w:sz="6" w:space="0"/>
            </w:tcBorders>
            <w:vAlign w:val="center"/>
          </w:tcPr>
          <w:p w14:paraId="23FAE354">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6AEFCA21">
            <w:pPr>
              <w:jc w:val="right"/>
            </w:pPr>
          </w:p>
        </w:tc>
      </w:tr>
      <w:tr w14:paraId="3DE4D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E9F10F7">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预计负债</w:t>
            </w:r>
          </w:p>
        </w:tc>
        <w:tc>
          <w:tcPr>
            <w:tcW w:w="627" w:type="pct"/>
            <w:tcBorders>
              <w:top w:val="outset" w:color="auto" w:sz="6" w:space="0"/>
              <w:left w:val="outset" w:color="auto" w:sz="6" w:space="0"/>
              <w:bottom w:val="outset" w:color="auto" w:sz="6" w:space="0"/>
              <w:right w:val="outset" w:color="auto" w:sz="6" w:space="0"/>
            </w:tcBorders>
            <w:vAlign w:val="center"/>
          </w:tcPr>
          <w:p w14:paraId="475AA94C"/>
        </w:tc>
        <w:tc>
          <w:tcPr>
            <w:tcW w:w="1411" w:type="pct"/>
            <w:tcBorders>
              <w:top w:val="outset" w:color="auto" w:sz="6" w:space="0"/>
              <w:left w:val="outset" w:color="auto" w:sz="6" w:space="0"/>
              <w:bottom w:val="outset" w:color="auto" w:sz="6" w:space="0"/>
              <w:right w:val="outset" w:color="auto" w:sz="6" w:space="0"/>
            </w:tcBorders>
            <w:vAlign w:val="center"/>
          </w:tcPr>
          <w:p w14:paraId="7C1DB314">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1A6C0ABE">
            <w:pPr>
              <w:jc w:val="right"/>
            </w:pPr>
          </w:p>
        </w:tc>
      </w:tr>
      <w:tr w14:paraId="6997F2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EA1CCD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递延收益</w:t>
            </w:r>
          </w:p>
        </w:tc>
        <w:tc>
          <w:tcPr>
            <w:tcW w:w="627" w:type="pct"/>
            <w:tcBorders>
              <w:top w:val="outset" w:color="auto" w:sz="6" w:space="0"/>
              <w:left w:val="outset" w:color="auto" w:sz="6" w:space="0"/>
              <w:bottom w:val="outset" w:color="auto" w:sz="6" w:space="0"/>
              <w:right w:val="outset" w:color="auto" w:sz="6" w:space="0"/>
            </w:tcBorders>
            <w:vAlign w:val="center"/>
          </w:tcPr>
          <w:p w14:paraId="703CF780"/>
        </w:tc>
        <w:tc>
          <w:tcPr>
            <w:tcW w:w="1411" w:type="pct"/>
            <w:tcBorders>
              <w:top w:val="outset" w:color="auto" w:sz="6" w:space="0"/>
              <w:left w:val="outset" w:color="auto" w:sz="6" w:space="0"/>
              <w:bottom w:val="outset" w:color="auto" w:sz="6" w:space="0"/>
              <w:right w:val="outset" w:color="auto" w:sz="6" w:space="0"/>
            </w:tcBorders>
            <w:vAlign w:val="center"/>
          </w:tcPr>
          <w:p w14:paraId="6DEFD2B2">
            <w:pPr>
              <w:jc w:val="right"/>
            </w:pPr>
            <w:r>
              <w:t>92,369,329.19</w:t>
            </w:r>
          </w:p>
        </w:tc>
        <w:tc>
          <w:tcPr>
            <w:tcW w:w="1333" w:type="pct"/>
            <w:tcBorders>
              <w:top w:val="outset" w:color="auto" w:sz="6" w:space="0"/>
              <w:left w:val="outset" w:color="auto" w:sz="6" w:space="0"/>
              <w:bottom w:val="outset" w:color="auto" w:sz="6" w:space="0"/>
              <w:right w:val="outset" w:color="auto" w:sz="6" w:space="0"/>
            </w:tcBorders>
            <w:vAlign w:val="center"/>
          </w:tcPr>
          <w:p w14:paraId="2472F7C4">
            <w:pPr>
              <w:jc w:val="right"/>
            </w:pPr>
            <w:r>
              <w:t>94,135,366.21</w:t>
            </w:r>
          </w:p>
        </w:tc>
      </w:tr>
      <w:tr w14:paraId="5A56C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54C1DB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递延所得税负债</w:t>
            </w:r>
          </w:p>
        </w:tc>
        <w:tc>
          <w:tcPr>
            <w:tcW w:w="627" w:type="pct"/>
            <w:tcBorders>
              <w:top w:val="outset" w:color="auto" w:sz="6" w:space="0"/>
              <w:left w:val="outset" w:color="auto" w:sz="6" w:space="0"/>
              <w:bottom w:val="outset" w:color="auto" w:sz="6" w:space="0"/>
              <w:right w:val="outset" w:color="auto" w:sz="6" w:space="0"/>
            </w:tcBorders>
            <w:vAlign w:val="center"/>
          </w:tcPr>
          <w:p w14:paraId="541DAA42"/>
        </w:tc>
        <w:tc>
          <w:tcPr>
            <w:tcW w:w="1411" w:type="pct"/>
            <w:tcBorders>
              <w:top w:val="outset" w:color="auto" w:sz="6" w:space="0"/>
              <w:left w:val="outset" w:color="auto" w:sz="6" w:space="0"/>
              <w:bottom w:val="outset" w:color="auto" w:sz="6" w:space="0"/>
              <w:right w:val="outset" w:color="auto" w:sz="6" w:space="0"/>
            </w:tcBorders>
            <w:vAlign w:val="center"/>
          </w:tcPr>
          <w:p w14:paraId="11199493">
            <w:pPr>
              <w:jc w:val="right"/>
            </w:pPr>
            <w:r>
              <w:t>30,926,367.18</w:t>
            </w:r>
          </w:p>
        </w:tc>
        <w:tc>
          <w:tcPr>
            <w:tcW w:w="1333" w:type="pct"/>
            <w:tcBorders>
              <w:top w:val="outset" w:color="auto" w:sz="6" w:space="0"/>
              <w:left w:val="outset" w:color="auto" w:sz="6" w:space="0"/>
              <w:bottom w:val="outset" w:color="auto" w:sz="6" w:space="0"/>
              <w:right w:val="outset" w:color="auto" w:sz="6" w:space="0"/>
            </w:tcBorders>
            <w:vAlign w:val="center"/>
          </w:tcPr>
          <w:p w14:paraId="1D6582C7">
            <w:pPr>
              <w:jc w:val="right"/>
            </w:pPr>
            <w:r>
              <w:t>30,926,367.18</w:t>
            </w:r>
          </w:p>
        </w:tc>
      </w:tr>
      <w:tr w14:paraId="38F22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E5DCAD9">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其他非流动负债</w:t>
            </w:r>
          </w:p>
        </w:tc>
        <w:tc>
          <w:tcPr>
            <w:tcW w:w="627" w:type="pct"/>
            <w:tcBorders>
              <w:top w:val="outset" w:color="auto" w:sz="6" w:space="0"/>
              <w:left w:val="outset" w:color="auto" w:sz="6" w:space="0"/>
              <w:bottom w:val="outset" w:color="auto" w:sz="6" w:space="0"/>
              <w:right w:val="outset" w:color="auto" w:sz="6" w:space="0"/>
            </w:tcBorders>
            <w:vAlign w:val="center"/>
          </w:tcPr>
          <w:p w14:paraId="7F3BC889"/>
        </w:tc>
        <w:tc>
          <w:tcPr>
            <w:tcW w:w="1411" w:type="pct"/>
            <w:tcBorders>
              <w:top w:val="outset" w:color="auto" w:sz="6" w:space="0"/>
              <w:left w:val="outset" w:color="auto" w:sz="6" w:space="0"/>
              <w:bottom w:val="outset" w:color="auto" w:sz="6" w:space="0"/>
              <w:right w:val="outset" w:color="auto" w:sz="6" w:space="0"/>
            </w:tcBorders>
            <w:vAlign w:val="center"/>
          </w:tcPr>
          <w:p w14:paraId="33892A94">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30333E84">
            <w:pPr>
              <w:jc w:val="right"/>
            </w:pPr>
          </w:p>
        </w:tc>
      </w:tr>
      <w:tr w14:paraId="262B11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C608EC1">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非流动负债合计</w:t>
            </w:r>
          </w:p>
        </w:tc>
        <w:tc>
          <w:tcPr>
            <w:tcW w:w="627" w:type="pct"/>
            <w:tcBorders>
              <w:top w:val="outset" w:color="auto" w:sz="6" w:space="0"/>
              <w:left w:val="outset" w:color="auto" w:sz="6" w:space="0"/>
              <w:bottom w:val="outset" w:color="auto" w:sz="6" w:space="0"/>
              <w:right w:val="outset" w:color="auto" w:sz="6" w:space="0"/>
            </w:tcBorders>
            <w:vAlign w:val="center"/>
          </w:tcPr>
          <w:p w14:paraId="5F51659E"/>
        </w:tc>
        <w:tc>
          <w:tcPr>
            <w:tcW w:w="1411" w:type="pct"/>
            <w:tcBorders>
              <w:top w:val="outset" w:color="auto" w:sz="6" w:space="0"/>
              <w:left w:val="outset" w:color="auto" w:sz="6" w:space="0"/>
              <w:bottom w:val="outset" w:color="auto" w:sz="6" w:space="0"/>
              <w:right w:val="outset" w:color="auto" w:sz="6" w:space="0"/>
            </w:tcBorders>
            <w:vAlign w:val="center"/>
          </w:tcPr>
          <w:p w14:paraId="50B440A1">
            <w:pPr>
              <w:jc w:val="right"/>
            </w:pPr>
            <w:r>
              <w:t>504,252,957.76</w:t>
            </w:r>
          </w:p>
        </w:tc>
        <w:tc>
          <w:tcPr>
            <w:tcW w:w="1333" w:type="pct"/>
            <w:tcBorders>
              <w:top w:val="outset" w:color="auto" w:sz="6" w:space="0"/>
              <w:left w:val="outset" w:color="auto" w:sz="6" w:space="0"/>
              <w:bottom w:val="outset" w:color="auto" w:sz="6" w:space="0"/>
              <w:right w:val="outset" w:color="auto" w:sz="6" w:space="0"/>
            </w:tcBorders>
            <w:vAlign w:val="center"/>
          </w:tcPr>
          <w:p w14:paraId="2E203F59">
            <w:pPr>
              <w:jc w:val="right"/>
            </w:pPr>
            <w:r>
              <w:t>451,487,117.43</w:t>
            </w:r>
          </w:p>
        </w:tc>
      </w:tr>
      <w:tr w14:paraId="506F44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5D4C1380">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负债合计</w:t>
            </w:r>
          </w:p>
        </w:tc>
        <w:tc>
          <w:tcPr>
            <w:tcW w:w="627" w:type="pct"/>
            <w:tcBorders>
              <w:top w:val="outset" w:color="auto" w:sz="6" w:space="0"/>
              <w:left w:val="outset" w:color="auto" w:sz="6" w:space="0"/>
              <w:bottom w:val="outset" w:color="auto" w:sz="6" w:space="0"/>
              <w:right w:val="outset" w:color="auto" w:sz="6" w:space="0"/>
            </w:tcBorders>
            <w:vAlign w:val="center"/>
          </w:tcPr>
          <w:p w14:paraId="4A94FCD3"/>
        </w:tc>
        <w:tc>
          <w:tcPr>
            <w:tcW w:w="1411" w:type="pct"/>
            <w:tcBorders>
              <w:top w:val="outset" w:color="auto" w:sz="6" w:space="0"/>
              <w:left w:val="outset" w:color="auto" w:sz="6" w:space="0"/>
              <w:bottom w:val="outset" w:color="auto" w:sz="6" w:space="0"/>
              <w:right w:val="outset" w:color="auto" w:sz="6" w:space="0"/>
            </w:tcBorders>
            <w:vAlign w:val="center"/>
          </w:tcPr>
          <w:p w14:paraId="50B416FF">
            <w:pPr>
              <w:jc w:val="right"/>
            </w:pPr>
            <w:r>
              <w:t>3,339,175,233.96</w:t>
            </w:r>
          </w:p>
        </w:tc>
        <w:tc>
          <w:tcPr>
            <w:tcW w:w="1333" w:type="pct"/>
            <w:tcBorders>
              <w:top w:val="outset" w:color="auto" w:sz="6" w:space="0"/>
              <w:left w:val="outset" w:color="auto" w:sz="6" w:space="0"/>
              <w:bottom w:val="outset" w:color="auto" w:sz="6" w:space="0"/>
              <w:right w:val="outset" w:color="auto" w:sz="6" w:space="0"/>
            </w:tcBorders>
            <w:vAlign w:val="center"/>
          </w:tcPr>
          <w:p w14:paraId="27E32781">
            <w:pPr>
              <w:jc w:val="right"/>
            </w:pPr>
            <w:r>
              <w:t>3,236,260,586.34</w:t>
            </w:r>
          </w:p>
        </w:tc>
      </w:tr>
      <w:tr w14:paraId="750A7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4fe68479676b4c8c840de2211f0c67b8"/>
            <w:id w:val="-1028410002"/>
          </w:sdtPr>
          <w:sdtContent>
            <w:tc>
              <w:tcPr>
                <w:tcW w:w="5000" w:type="pct"/>
                <w:gridSpan w:val="4"/>
                <w:tcBorders>
                  <w:top w:val="outset" w:color="auto" w:sz="6" w:space="0"/>
                  <w:left w:val="outset" w:color="auto" w:sz="6" w:space="0"/>
                  <w:bottom w:val="outset" w:color="auto" w:sz="6" w:space="0"/>
                  <w:right w:val="outset" w:color="auto" w:sz="6" w:space="0"/>
                </w:tcBorders>
                <w:vAlign w:val="center"/>
              </w:tcPr>
              <w:p w14:paraId="57AF2425">
                <w:pPr>
                  <w:rPr>
                    <w:color w:val="000000" w:themeColor="text1"/>
                    <w14:textFill>
                      <w14:solidFill>
                        <w14:schemeClr w14:val="tx1"/>
                      </w14:solidFill>
                    </w14:textFill>
                  </w:rPr>
                </w:pPr>
                <w:r>
                  <w:rPr>
                    <w:rFonts w:hint="eastAsia"/>
                    <w:b/>
                    <w:color w:val="000000" w:themeColor="text1"/>
                    <w14:textFill>
                      <w14:solidFill>
                        <w14:schemeClr w14:val="tx1"/>
                      </w14:solidFill>
                    </w14:textFill>
                  </w:rPr>
                  <w:t>所有者权益（或股东权益）：</w:t>
                </w:r>
              </w:p>
            </w:tc>
          </w:sdtContent>
        </w:sdt>
      </w:tr>
      <w:tr w14:paraId="32F7EF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D9F338C">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实收资本（或股本）</w:t>
            </w:r>
          </w:p>
        </w:tc>
        <w:tc>
          <w:tcPr>
            <w:tcW w:w="627" w:type="pct"/>
            <w:tcBorders>
              <w:top w:val="outset" w:color="auto" w:sz="6" w:space="0"/>
              <w:left w:val="outset" w:color="auto" w:sz="6" w:space="0"/>
              <w:bottom w:val="outset" w:color="auto" w:sz="6" w:space="0"/>
              <w:right w:val="outset" w:color="auto" w:sz="6" w:space="0"/>
            </w:tcBorders>
            <w:vAlign w:val="center"/>
          </w:tcPr>
          <w:p w14:paraId="4F893EC7"/>
        </w:tc>
        <w:tc>
          <w:tcPr>
            <w:tcW w:w="1411" w:type="pct"/>
            <w:tcBorders>
              <w:top w:val="outset" w:color="auto" w:sz="6" w:space="0"/>
              <w:left w:val="outset" w:color="auto" w:sz="6" w:space="0"/>
              <w:bottom w:val="outset" w:color="auto" w:sz="6" w:space="0"/>
              <w:right w:val="outset" w:color="auto" w:sz="6" w:space="0"/>
            </w:tcBorders>
            <w:vAlign w:val="center"/>
          </w:tcPr>
          <w:p w14:paraId="5F3A259E">
            <w:pPr>
              <w:jc w:val="right"/>
            </w:pPr>
            <w:r>
              <w:t>1,460,994,304.00</w:t>
            </w:r>
          </w:p>
        </w:tc>
        <w:tc>
          <w:tcPr>
            <w:tcW w:w="1333" w:type="pct"/>
            <w:tcBorders>
              <w:top w:val="outset" w:color="auto" w:sz="6" w:space="0"/>
              <w:left w:val="outset" w:color="auto" w:sz="6" w:space="0"/>
              <w:bottom w:val="outset" w:color="auto" w:sz="6" w:space="0"/>
              <w:right w:val="outset" w:color="auto" w:sz="6" w:space="0"/>
            </w:tcBorders>
            <w:vAlign w:val="center"/>
          </w:tcPr>
          <w:p w14:paraId="54C2099F">
            <w:pPr>
              <w:jc w:val="right"/>
            </w:pPr>
            <w:r>
              <w:t>1,460,994,304.00</w:t>
            </w:r>
          </w:p>
        </w:tc>
      </w:tr>
      <w:tr w14:paraId="2AF7D9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CB8746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其他权益工具</w:t>
            </w:r>
          </w:p>
        </w:tc>
        <w:tc>
          <w:tcPr>
            <w:tcW w:w="627" w:type="pct"/>
            <w:tcBorders>
              <w:top w:val="outset" w:color="auto" w:sz="6" w:space="0"/>
              <w:left w:val="outset" w:color="auto" w:sz="6" w:space="0"/>
              <w:bottom w:val="outset" w:color="auto" w:sz="6" w:space="0"/>
              <w:right w:val="outset" w:color="auto" w:sz="6" w:space="0"/>
            </w:tcBorders>
            <w:vAlign w:val="center"/>
          </w:tcPr>
          <w:p w14:paraId="7B566BD4"/>
        </w:tc>
        <w:tc>
          <w:tcPr>
            <w:tcW w:w="1411" w:type="pct"/>
            <w:tcBorders>
              <w:top w:val="outset" w:color="auto" w:sz="6" w:space="0"/>
              <w:left w:val="outset" w:color="auto" w:sz="6" w:space="0"/>
              <w:bottom w:val="outset" w:color="auto" w:sz="6" w:space="0"/>
              <w:right w:val="outset" w:color="auto" w:sz="6" w:space="0"/>
            </w:tcBorders>
            <w:vAlign w:val="center"/>
          </w:tcPr>
          <w:p w14:paraId="3D73B11B">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1A5E33D9">
            <w:pPr>
              <w:jc w:val="right"/>
            </w:pPr>
          </w:p>
        </w:tc>
      </w:tr>
      <w:tr w14:paraId="137019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16F7D77">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其中：优先股</w:t>
            </w:r>
          </w:p>
        </w:tc>
        <w:tc>
          <w:tcPr>
            <w:tcW w:w="627" w:type="pct"/>
            <w:tcBorders>
              <w:top w:val="outset" w:color="auto" w:sz="6" w:space="0"/>
              <w:left w:val="outset" w:color="auto" w:sz="6" w:space="0"/>
              <w:bottom w:val="outset" w:color="auto" w:sz="6" w:space="0"/>
              <w:right w:val="outset" w:color="auto" w:sz="6" w:space="0"/>
            </w:tcBorders>
            <w:vAlign w:val="center"/>
          </w:tcPr>
          <w:p w14:paraId="2D2CEC17"/>
        </w:tc>
        <w:tc>
          <w:tcPr>
            <w:tcW w:w="1411" w:type="pct"/>
            <w:tcBorders>
              <w:top w:val="outset" w:color="auto" w:sz="6" w:space="0"/>
              <w:left w:val="outset" w:color="auto" w:sz="6" w:space="0"/>
              <w:bottom w:val="outset" w:color="auto" w:sz="6" w:space="0"/>
              <w:right w:val="outset" w:color="auto" w:sz="6" w:space="0"/>
            </w:tcBorders>
            <w:vAlign w:val="center"/>
          </w:tcPr>
          <w:p w14:paraId="2F69E821">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0CFAFAB1">
            <w:pPr>
              <w:jc w:val="right"/>
            </w:pPr>
          </w:p>
        </w:tc>
      </w:tr>
      <w:tr w14:paraId="170999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E7EDC02">
            <w:pPr>
              <w:ind w:firstLine="840" w:firstLineChars="400"/>
              <w:rPr>
                <w:color w:val="000000" w:themeColor="text1"/>
                <w14:textFill>
                  <w14:solidFill>
                    <w14:schemeClr w14:val="tx1"/>
                  </w14:solidFill>
                </w14:textFill>
              </w:rPr>
            </w:pPr>
            <w:r>
              <w:rPr>
                <w:rFonts w:hint="eastAsia"/>
                <w:color w:val="000000" w:themeColor="text1"/>
                <w14:textFill>
                  <w14:solidFill>
                    <w14:schemeClr w14:val="tx1"/>
                  </w14:solidFill>
                </w14:textFill>
              </w:rPr>
              <w:t>永续债</w:t>
            </w:r>
          </w:p>
        </w:tc>
        <w:tc>
          <w:tcPr>
            <w:tcW w:w="627" w:type="pct"/>
            <w:tcBorders>
              <w:top w:val="outset" w:color="auto" w:sz="6" w:space="0"/>
              <w:left w:val="outset" w:color="auto" w:sz="6" w:space="0"/>
              <w:bottom w:val="outset" w:color="auto" w:sz="6" w:space="0"/>
              <w:right w:val="outset" w:color="auto" w:sz="6" w:space="0"/>
            </w:tcBorders>
            <w:vAlign w:val="center"/>
          </w:tcPr>
          <w:p w14:paraId="73CB22B6"/>
        </w:tc>
        <w:tc>
          <w:tcPr>
            <w:tcW w:w="1411" w:type="pct"/>
            <w:tcBorders>
              <w:top w:val="outset" w:color="auto" w:sz="6" w:space="0"/>
              <w:left w:val="outset" w:color="auto" w:sz="6" w:space="0"/>
              <w:bottom w:val="outset" w:color="auto" w:sz="6" w:space="0"/>
              <w:right w:val="outset" w:color="auto" w:sz="6" w:space="0"/>
            </w:tcBorders>
            <w:vAlign w:val="center"/>
          </w:tcPr>
          <w:p w14:paraId="52FF8A84">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3071C119">
            <w:pPr>
              <w:jc w:val="right"/>
            </w:pPr>
          </w:p>
        </w:tc>
      </w:tr>
      <w:tr w14:paraId="03901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642423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资本公积</w:t>
            </w:r>
          </w:p>
        </w:tc>
        <w:tc>
          <w:tcPr>
            <w:tcW w:w="627" w:type="pct"/>
            <w:tcBorders>
              <w:top w:val="outset" w:color="auto" w:sz="6" w:space="0"/>
              <w:left w:val="outset" w:color="auto" w:sz="6" w:space="0"/>
              <w:bottom w:val="outset" w:color="auto" w:sz="6" w:space="0"/>
              <w:right w:val="outset" w:color="auto" w:sz="6" w:space="0"/>
            </w:tcBorders>
            <w:vAlign w:val="center"/>
          </w:tcPr>
          <w:p w14:paraId="16F25F45"/>
        </w:tc>
        <w:tc>
          <w:tcPr>
            <w:tcW w:w="1411" w:type="pct"/>
            <w:tcBorders>
              <w:top w:val="outset" w:color="auto" w:sz="6" w:space="0"/>
              <w:left w:val="outset" w:color="auto" w:sz="6" w:space="0"/>
              <w:bottom w:val="outset" w:color="auto" w:sz="6" w:space="0"/>
              <w:right w:val="outset" w:color="auto" w:sz="6" w:space="0"/>
            </w:tcBorders>
            <w:vAlign w:val="center"/>
          </w:tcPr>
          <w:p w14:paraId="6B3D8B24">
            <w:pPr>
              <w:jc w:val="right"/>
            </w:pPr>
            <w:r>
              <w:t>394,938,785.79</w:t>
            </w:r>
          </w:p>
        </w:tc>
        <w:tc>
          <w:tcPr>
            <w:tcW w:w="1333" w:type="pct"/>
            <w:tcBorders>
              <w:top w:val="outset" w:color="auto" w:sz="6" w:space="0"/>
              <w:left w:val="outset" w:color="auto" w:sz="6" w:space="0"/>
              <w:bottom w:val="outset" w:color="auto" w:sz="6" w:space="0"/>
              <w:right w:val="outset" w:color="auto" w:sz="6" w:space="0"/>
            </w:tcBorders>
            <w:vAlign w:val="center"/>
          </w:tcPr>
          <w:p w14:paraId="330FE34F">
            <w:pPr>
              <w:jc w:val="right"/>
            </w:pPr>
            <w:r>
              <w:t>394,938,785.79</w:t>
            </w:r>
          </w:p>
        </w:tc>
      </w:tr>
      <w:tr w14:paraId="5C0197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9025091">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减：库存股</w:t>
            </w:r>
          </w:p>
        </w:tc>
        <w:tc>
          <w:tcPr>
            <w:tcW w:w="627" w:type="pct"/>
            <w:tcBorders>
              <w:top w:val="outset" w:color="auto" w:sz="6" w:space="0"/>
              <w:left w:val="outset" w:color="auto" w:sz="6" w:space="0"/>
              <w:bottom w:val="outset" w:color="auto" w:sz="6" w:space="0"/>
              <w:right w:val="outset" w:color="auto" w:sz="6" w:space="0"/>
            </w:tcBorders>
            <w:vAlign w:val="center"/>
          </w:tcPr>
          <w:p w14:paraId="78D9B226"/>
        </w:tc>
        <w:tc>
          <w:tcPr>
            <w:tcW w:w="1411" w:type="pct"/>
            <w:tcBorders>
              <w:top w:val="outset" w:color="auto" w:sz="6" w:space="0"/>
              <w:left w:val="outset" w:color="auto" w:sz="6" w:space="0"/>
              <w:bottom w:val="outset" w:color="auto" w:sz="6" w:space="0"/>
              <w:right w:val="outset" w:color="auto" w:sz="6" w:space="0"/>
            </w:tcBorders>
            <w:vAlign w:val="center"/>
          </w:tcPr>
          <w:p w14:paraId="52945616">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1FB7749E">
            <w:pPr>
              <w:jc w:val="right"/>
            </w:pPr>
          </w:p>
        </w:tc>
      </w:tr>
      <w:tr w14:paraId="11A9FA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40DD79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其他综合收益</w:t>
            </w:r>
          </w:p>
        </w:tc>
        <w:tc>
          <w:tcPr>
            <w:tcW w:w="627" w:type="pct"/>
            <w:tcBorders>
              <w:top w:val="outset" w:color="auto" w:sz="6" w:space="0"/>
              <w:left w:val="outset" w:color="auto" w:sz="6" w:space="0"/>
              <w:bottom w:val="outset" w:color="auto" w:sz="6" w:space="0"/>
              <w:right w:val="outset" w:color="auto" w:sz="6" w:space="0"/>
            </w:tcBorders>
            <w:vAlign w:val="center"/>
          </w:tcPr>
          <w:p w14:paraId="6215C42E"/>
        </w:tc>
        <w:tc>
          <w:tcPr>
            <w:tcW w:w="1411" w:type="pct"/>
            <w:tcBorders>
              <w:top w:val="outset" w:color="auto" w:sz="6" w:space="0"/>
              <w:left w:val="outset" w:color="auto" w:sz="6" w:space="0"/>
              <w:bottom w:val="outset" w:color="auto" w:sz="6" w:space="0"/>
              <w:right w:val="outset" w:color="auto" w:sz="6" w:space="0"/>
            </w:tcBorders>
            <w:vAlign w:val="center"/>
          </w:tcPr>
          <w:p w14:paraId="7813F53F">
            <w:pPr>
              <w:jc w:val="right"/>
            </w:pPr>
            <w:r>
              <w:t>92,779,101.53</w:t>
            </w:r>
          </w:p>
        </w:tc>
        <w:tc>
          <w:tcPr>
            <w:tcW w:w="1333" w:type="pct"/>
            <w:tcBorders>
              <w:top w:val="outset" w:color="auto" w:sz="6" w:space="0"/>
              <w:left w:val="outset" w:color="auto" w:sz="6" w:space="0"/>
              <w:bottom w:val="outset" w:color="auto" w:sz="6" w:space="0"/>
              <w:right w:val="outset" w:color="auto" w:sz="6" w:space="0"/>
            </w:tcBorders>
            <w:vAlign w:val="center"/>
          </w:tcPr>
          <w:p w14:paraId="30B4583D">
            <w:pPr>
              <w:jc w:val="right"/>
            </w:pPr>
            <w:r>
              <w:t>92,779,101.53</w:t>
            </w:r>
          </w:p>
        </w:tc>
      </w:tr>
      <w:tr w14:paraId="55ED6D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107276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专项储备</w:t>
            </w:r>
          </w:p>
        </w:tc>
        <w:tc>
          <w:tcPr>
            <w:tcW w:w="627" w:type="pct"/>
            <w:tcBorders>
              <w:top w:val="outset" w:color="auto" w:sz="6" w:space="0"/>
              <w:left w:val="outset" w:color="auto" w:sz="6" w:space="0"/>
              <w:bottom w:val="outset" w:color="auto" w:sz="6" w:space="0"/>
              <w:right w:val="outset" w:color="auto" w:sz="6" w:space="0"/>
            </w:tcBorders>
            <w:vAlign w:val="center"/>
          </w:tcPr>
          <w:p w14:paraId="4A7F2BE0"/>
        </w:tc>
        <w:tc>
          <w:tcPr>
            <w:tcW w:w="1411" w:type="pct"/>
            <w:tcBorders>
              <w:top w:val="outset" w:color="auto" w:sz="6" w:space="0"/>
              <w:left w:val="outset" w:color="auto" w:sz="6" w:space="0"/>
              <w:bottom w:val="outset" w:color="auto" w:sz="6" w:space="0"/>
              <w:right w:val="outset" w:color="auto" w:sz="6" w:space="0"/>
            </w:tcBorders>
            <w:vAlign w:val="center"/>
          </w:tcPr>
          <w:p w14:paraId="0BC31695">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5645FC50">
            <w:pPr>
              <w:jc w:val="right"/>
            </w:pPr>
          </w:p>
        </w:tc>
      </w:tr>
      <w:tr w14:paraId="4CB171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07C182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盈余公积</w:t>
            </w:r>
          </w:p>
        </w:tc>
        <w:tc>
          <w:tcPr>
            <w:tcW w:w="627" w:type="pct"/>
            <w:tcBorders>
              <w:top w:val="outset" w:color="auto" w:sz="6" w:space="0"/>
              <w:left w:val="outset" w:color="auto" w:sz="6" w:space="0"/>
              <w:bottom w:val="outset" w:color="auto" w:sz="6" w:space="0"/>
              <w:right w:val="outset" w:color="auto" w:sz="6" w:space="0"/>
            </w:tcBorders>
            <w:vAlign w:val="center"/>
          </w:tcPr>
          <w:p w14:paraId="03B6967D"/>
        </w:tc>
        <w:tc>
          <w:tcPr>
            <w:tcW w:w="1411" w:type="pct"/>
            <w:tcBorders>
              <w:top w:val="outset" w:color="auto" w:sz="6" w:space="0"/>
              <w:left w:val="outset" w:color="auto" w:sz="6" w:space="0"/>
              <w:bottom w:val="outset" w:color="auto" w:sz="6" w:space="0"/>
              <w:right w:val="outset" w:color="auto" w:sz="6" w:space="0"/>
            </w:tcBorders>
            <w:vAlign w:val="center"/>
          </w:tcPr>
          <w:p w14:paraId="0EB7ED7D">
            <w:pPr>
              <w:jc w:val="right"/>
            </w:pPr>
            <w:r>
              <w:t>275,429,601.44</w:t>
            </w:r>
          </w:p>
        </w:tc>
        <w:tc>
          <w:tcPr>
            <w:tcW w:w="1333" w:type="pct"/>
            <w:tcBorders>
              <w:top w:val="outset" w:color="auto" w:sz="6" w:space="0"/>
              <w:left w:val="outset" w:color="auto" w:sz="6" w:space="0"/>
              <w:bottom w:val="outset" w:color="auto" w:sz="6" w:space="0"/>
              <w:right w:val="outset" w:color="auto" w:sz="6" w:space="0"/>
            </w:tcBorders>
            <w:vAlign w:val="center"/>
          </w:tcPr>
          <w:p w14:paraId="411E911A">
            <w:pPr>
              <w:jc w:val="right"/>
            </w:pPr>
            <w:r>
              <w:t>275,429,601.44</w:t>
            </w:r>
          </w:p>
        </w:tc>
      </w:tr>
      <w:tr w14:paraId="761E1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E51B5A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一般风险准备</w:t>
            </w:r>
          </w:p>
        </w:tc>
        <w:tc>
          <w:tcPr>
            <w:tcW w:w="627" w:type="pct"/>
            <w:tcBorders>
              <w:top w:val="outset" w:color="auto" w:sz="6" w:space="0"/>
              <w:left w:val="outset" w:color="auto" w:sz="6" w:space="0"/>
              <w:bottom w:val="outset" w:color="auto" w:sz="6" w:space="0"/>
              <w:right w:val="outset" w:color="auto" w:sz="6" w:space="0"/>
            </w:tcBorders>
            <w:vAlign w:val="center"/>
          </w:tcPr>
          <w:p w14:paraId="2FB2C3FA"/>
        </w:tc>
        <w:tc>
          <w:tcPr>
            <w:tcW w:w="1411" w:type="pct"/>
            <w:tcBorders>
              <w:top w:val="outset" w:color="auto" w:sz="6" w:space="0"/>
              <w:left w:val="outset" w:color="auto" w:sz="6" w:space="0"/>
              <w:bottom w:val="outset" w:color="auto" w:sz="6" w:space="0"/>
              <w:right w:val="outset" w:color="auto" w:sz="6" w:space="0"/>
            </w:tcBorders>
            <w:vAlign w:val="center"/>
          </w:tcPr>
          <w:p w14:paraId="78150E68">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5AD69BA6">
            <w:pPr>
              <w:jc w:val="right"/>
            </w:pPr>
          </w:p>
        </w:tc>
      </w:tr>
      <w:tr w14:paraId="0773B5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A6B557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未分配利润</w:t>
            </w:r>
          </w:p>
        </w:tc>
        <w:tc>
          <w:tcPr>
            <w:tcW w:w="627" w:type="pct"/>
            <w:tcBorders>
              <w:top w:val="outset" w:color="auto" w:sz="6" w:space="0"/>
              <w:left w:val="outset" w:color="auto" w:sz="6" w:space="0"/>
              <w:bottom w:val="outset" w:color="auto" w:sz="6" w:space="0"/>
              <w:right w:val="outset" w:color="auto" w:sz="6" w:space="0"/>
            </w:tcBorders>
            <w:vAlign w:val="center"/>
          </w:tcPr>
          <w:p w14:paraId="02B99537"/>
        </w:tc>
        <w:tc>
          <w:tcPr>
            <w:tcW w:w="1411" w:type="pct"/>
            <w:tcBorders>
              <w:top w:val="outset" w:color="auto" w:sz="6" w:space="0"/>
              <w:left w:val="outset" w:color="auto" w:sz="6" w:space="0"/>
              <w:bottom w:val="outset" w:color="auto" w:sz="6" w:space="0"/>
              <w:right w:val="outset" w:color="auto" w:sz="6" w:space="0"/>
            </w:tcBorders>
            <w:vAlign w:val="center"/>
          </w:tcPr>
          <w:p w14:paraId="249E0545">
            <w:pPr>
              <w:jc w:val="right"/>
            </w:pPr>
            <w:r>
              <w:t>1,216,118,945.87</w:t>
            </w:r>
          </w:p>
        </w:tc>
        <w:tc>
          <w:tcPr>
            <w:tcW w:w="1333" w:type="pct"/>
            <w:tcBorders>
              <w:top w:val="outset" w:color="auto" w:sz="6" w:space="0"/>
              <w:left w:val="outset" w:color="auto" w:sz="6" w:space="0"/>
              <w:bottom w:val="outset" w:color="auto" w:sz="6" w:space="0"/>
              <w:right w:val="outset" w:color="auto" w:sz="6" w:space="0"/>
            </w:tcBorders>
            <w:vAlign w:val="center"/>
          </w:tcPr>
          <w:p w14:paraId="5D3CFAF0">
            <w:pPr>
              <w:jc w:val="right"/>
            </w:pPr>
            <w:r>
              <w:t>1,195,110,646.29</w:t>
            </w:r>
          </w:p>
        </w:tc>
      </w:tr>
      <w:tr w14:paraId="2E81F9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D19547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归属于母公司所有者权益（或股东权益）合计</w:t>
            </w:r>
          </w:p>
        </w:tc>
        <w:tc>
          <w:tcPr>
            <w:tcW w:w="627" w:type="pct"/>
            <w:tcBorders>
              <w:top w:val="outset" w:color="auto" w:sz="6" w:space="0"/>
              <w:left w:val="outset" w:color="auto" w:sz="6" w:space="0"/>
              <w:bottom w:val="outset" w:color="auto" w:sz="6" w:space="0"/>
              <w:right w:val="outset" w:color="auto" w:sz="6" w:space="0"/>
            </w:tcBorders>
            <w:vAlign w:val="center"/>
          </w:tcPr>
          <w:p w14:paraId="4FCB5EB5"/>
        </w:tc>
        <w:tc>
          <w:tcPr>
            <w:tcW w:w="1411" w:type="pct"/>
            <w:tcBorders>
              <w:top w:val="outset" w:color="auto" w:sz="6" w:space="0"/>
              <w:left w:val="outset" w:color="auto" w:sz="6" w:space="0"/>
              <w:bottom w:val="outset" w:color="auto" w:sz="6" w:space="0"/>
              <w:right w:val="outset" w:color="auto" w:sz="6" w:space="0"/>
            </w:tcBorders>
            <w:vAlign w:val="center"/>
          </w:tcPr>
          <w:p w14:paraId="47FD2630">
            <w:pPr>
              <w:jc w:val="right"/>
            </w:pPr>
            <w:r>
              <w:t>3,440,260,738.63</w:t>
            </w:r>
          </w:p>
        </w:tc>
        <w:tc>
          <w:tcPr>
            <w:tcW w:w="1333" w:type="pct"/>
            <w:tcBorders>
              <w:top w:val="outset" w:color="auto" w:sz="6" w:space="0"/>
              <w:left w:val="outset" w:color="auto" w:sz="6" w:space="0"/>
              <w:bottom w:val="outset" w:color="auto" w:sz="6" w:space="0"/>
              <w:right w:val="outset" w:color="auto" w:sz="6" w:space="0"/>
            </w:tcBorders>
            <w:vAlign w:val="center"/>
          </w:tcPr>
          <w:p w14:paraId="55AED082">
            <w:pPr>
              <w:jc w:val="right"/>
            </w:pPr>
            <w:r>
              <w:t>3,419,252,439.05</w:t>
            </w:r>
          </w:p>
        </w:tc>
      </w:tr>
      <w:tr w14:paraId="4FD71E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B512B69">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少数股东权益</w:t>
            </w:r>
          </w:p>
        </w:tc>
        <w:tc>
          <w:tcPr>
            <w:tcW w:w="627" w:type="pct"/>
            <w:tcBorders>
              <w:top w:val="outset" w:color="auto" w:sz="6" w:space="0"/>
              <w:left w:val="outset" w:color="auto" w:sz="6" w:space="0"/>
              <w:bottom w:val="outset" w:color="auto" w:sz="6" w:space="0"/>
              <w:right w:val="outset" w:color="auto" w:sz="6" w:space="0"/>
            </w:tcBorders>
            <w:vAlign w:val="center"/>
          </w:tcPr>
          <w:p w14:paraId="03FB4A44"/>
        </w:tc>
        <w:tc>
          <w:tcPr>
            <w:tcW w:w="1411" w:type="pct"/>
            <w:tcBorders>
              <w:top w:val="outset" w:color="auto" w:sz="6" w:space="0"/>
              <w:left w:val="outset" w:color="auto" w:sz="6" w:space="0"/>
              <w:bottom w:val="outset" w:color="auto" w:sz="6" w:space="0"/>
              <w:right w:val="outset" w:color="auto" w:sz="6" w:space="0"/>
            </w:tcBorders>
            <w:vAlign w:val="center"/>
          </w:tcPr>
          <w:p w14:paraId="5A5CD47D">
            <w:pPr>
              <w:jc w:val="right"/>
            </w:pPr>
            <w:r>
              <w:t>16,926,748.46</w:t>
            </w:r>
          </w:p>
        </w:tc>
        <w:tc>
          <w:tcPr>
            <w:tcW w:w="1333" w:type="pct"/>
            <w:tcBorders>
              <w:top w:val="outset" w:color="auto" w:sz="6" w:space="0"/>
              <w:left w:val="outset" w:color="auto" w:sz="6" w:space="0"/>
              <w:bottom w:val="outset" w:color="auto" w:sz="6" w:space="0"/>
              <w:right w:val="outset" w:color="auto" w:sz="6" w:space="0"/>
            </w:tcBorders>
            <w:vAlign w:val="center"/>
          </w:tcPr>
          <w:p w14:paraId="3650ABAF">
            <w:pPr>
              <w:jc w:val="right"/>
            </w:pPr>
            <w:r>
              <w:t>16,227,505.12</w:t>
            </w:r>
          </w:p>
        </w:tc>
      </w:tr>
      <w:tr w14:paraId="5A66A5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AAAE13B">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所有者权益（或股东权益）合计</w:t>
            </w:r>
          </w:p>
        </w:tc>
        <w:tc>
          <w:tcPr>
            <w:tcW w:w="627" w:type="pct"/>
            <w:tcBorders>
              <w:top w:val="outset" w:color="auto" w:sz="6" w:space="0"/>
              <w:left w:val="outset" w:color="auto" w:sz="6" w:space="0"/>
              <w:bottom w:val="outset" w:color="auto" w:sz="6" w:space="0"/>
              <w:right w:val="outset" w:color="auto" w:sz="6" w:space="0"/>
            </w:tcBorders>
            <w:vAlign w:val="center"/>
          </w:tcPr>
          <w:p w14:paraId="588F4BBB"/>
        </w:tc>
        <w:tc>
          <w:tcPr>
            <w:tcW w:w="1411" w:type="pct"/>
            <w:tcBorders>
              <w:top w:val="outset" w:color="auto" w:sz="6" w:space="0"/>
              <w:left w:val="outset" w:color="auto" w:sz="6" w:space="0"/>
              <w:bottom w:val="outset" w:color="auto" w:sz="6" w:space="0"/>
              <w:right w:val="outset" w:color="auto" w:sz="6" w:space="0"/>
            </w:tcBorders>
            <w:vAlign w:val="center"/>
          </w:tcPr>
          <w:p w14:paraId="0C5920B9">
            <w:pPr>
              <w:jc w:val="right"/>
            </w:pPr>
            <w:r>
              <w:t>3,457,187,487.09</w:t>
            </w:r>
          </w:p>
        </w:tc>
        <w:tc>
          <w:tcPr>
            <w:tcW w:w="1333" w:type="pct"/>
            <w:tcBorders>
              <w:top w:val="outset" w:color="auto" w:sz="6" w:space="0"/>
              <w:left w:val="outset" w:color="auto" w:sz="6" w:space="0"/>
              <w:bottom w:val="outset" w:color="auto" w:sz="6" w:space="0"/>
              <w:right w:val="outset" w:color="auto" w:sz="6" w:space="0"/>
            </w:tcBorders>
            <w:vAlign w:val="center"/>
          </w:tcPr>
          <w:p w14:paraId="5249203D">
            <w:pPr>
              <w:jc w:val="right"/>
            </w:pPr>
            <w:r>
              <w:t>3,435,479,944.17</w:t>
            </w:r>
          </w:p>
        </w:tc>
      </w:tr>
      <w:tr w14:paraId="16565D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EE7AABE">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负债和所有者权益（或股东权益）总计</w:t>
            </w:r>
          </w:p>
        </w:tc>
        <w:tc>
          <w:tcPr>
            <w:tcW w:w="627" w:type="pct"/>
            <w:tcBorders>
              <w:top w:val="outset" w:color="auto" w:sz="6" w:space="0"/>
              <w:left w:val="outset" w:color="auto" w:sz="6" w:space="0"/>
              <w:bottom w:val="outset" w:color="auto" w:sz="6" w:space="0"/>
              <w:right w:val="outset" w:color="auto" w:sz="6" w:space="0"/>
            </w:tcBorders>
            <w:vAlign w:val="center"/>
          </w:tcPr>
          <w:p w14:paraId="088DF7F2"/>
        </w:tc>
        <w:tc>
          <w:tcPr>
            <w:tcW w:w="1411" w:type="pct"/>
            <w:tcBorders>
              <w:top w:val="outset" w:color="auto" w:sz="6" w:space="0"/>
              <w:left w:val="outset" w:color="auto" w:sz="6" w:space="0"/>
              <w:bottom w:val="outset" w:color="auto" w:sz="6" w:space="0"/>
              <w:right w:val="outset" w:color="auto" w:sz="6" w:space="0"/>
            </w:tcBorders>
            <w:vAlign w:val="center"/>
          </w:tcPr>
          <w:p w14:paraId="496DA5E0">
            <w:pPr>
              <w:jc w:val="right"/>
            </w:pPr>
            <w:r>
              <w:t>6,796,362,721.05</w:t>
            </w:r>
          </w:p>
        </w:tc>
        <w:tc>
          <w:tcPr>
            <w:tcW w:w="1333" w:type="pct"/>
            <w:tcBorders>
              <w:top w:val="outset" w:color="auto" w:sz="6" w:space="0"/>
              <w:left w:val="outset" w:color="auto" w:sz="6" w:space="0"/>
              <w:bottom w:val="outset" w:color="auto" w:sz="6" w:space="0"/>
              <w:right w:val="outset" w:color="auto" w:sz="6" w:space="0"/>
            </w:tcBorders>
            <w:vAlign w:val="center"/>
          </w:tcPr>
          <w:p w14:paraId="0E816D9A">
            <w:pPr>
              <w:jc w:val="right"/>
            </w:pPr>
            <w:r>
              <w:t>6,671,740,530.51</w:t>
            </w:r>
          </w:p>
        </w:tc>
      </w:tr>
      <w:bookmarkEnd w:id="117"/>
    </w:tbl>
    <w:p w14:paraId="0A5385B2">
      <w:pPr>
        <w:rPr>
          <w:color w:val="000000" w:themeColor="text1"/>
          <w14:textFill>
            <w14:solidFill>
              <w14:schemeClr w14:val="tx1"/>
            </w14:solidFill>
          </w14:textFill>
        </w:rPr>
      </w:pPr>
    </w:p>
    <w:p w14:paraId="413CAFB7">
      <w:pPr>
        <w:ind w:right="-153" w:rightChars="-73"/>
        <w:rPr>
          <w:color w:val="000000" w:themeColor="text1"/>
          <w:u w:val="single"/>
          <w14:textFill>
            <w14:solidFill>
              <w14:schemeClr w14:val="tx1"/>
            </w14:solidFill>
          </w14:textFill>
        </w:rPr>
      </w:pPr>
      <w:r>
        <w:rPr>
          <w:color w:val="000000" w:themeColor="text1"/>
          <w14:textFill>
            <w14:solidFill>
              <w14:schemeClr w14:val="tx1"/>
            </w14:solidFill>
          </w14:textFill>
        </w:rPr>
        <w:t>公司负责人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公司负责人"/>
          <w:tag w:val="_GBC_82350876809b4479afe9f3c55db147dd"/>
          <w:id w:val="-1455323989"/>
          <w:placeholder>
            <w:docPart w:val="GBC22222222222222222222222222222"/>
          </w:placeholder>
          <w:dataBinding w:prefixMappings="xmlns:clcid-mr='clcid-mr'" w:xpath="/*/clcid-mr:GongSi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唐传勤</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主管会计工作负责人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主管会计工作负责人姓名"/>
          <w:tag w:val="_GBC_9caf2fff268b41a7b3fe74fc4a3d6533"/>
          <w:id w:val="-409846808"/>
          <w:placeholder>
            <w:docPart w:val="GBC22222222222222222222222222222"/>
          </w:placeholder>
          <w:dataBinding w:prefixMappings="xmlns:clcid-mr='clcid-mr'" w:xpath="/*/clcid-mr:ZhuGuanKuaiJiGongZuo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宋荣超</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会计机构负责人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会计机构负责人姓名"/>
          <w:tag w:val="_GBC_8cacbe4a6fcc41699e67ce809516ec50"/>
          <w:id w:val="-1900193452"/>
          <w:placeholder>
            <w:docPart w:val="GBC22222222222222222222222222222"/>
          </w:placeholder>
          <w:dataBinding w:prefixMappings="xmlns:clcid-mr='clcid-mr'" w:xpath="/*/clcid-mr:KuaiJiJiGou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张小嫘</w:t>
          </w:r>
        </w:sdtContent>
      </w:sdt>
    </w:p>
    <w:p w14:paraId="502DE635">
      <w:pPr>
        <w:ind w:right="-153" w:rightChars="-73"/>
        <w:rPr>
          <w:b/>
          <w:bCs w:val="0"/>
          <w:color w:val="000000" w:themeColor="text1"/>
          <w:u w:val="single"/>
          <w14:textFill>
            <w14:solidFill>
              <w14:schemeClr w14:val="tx1"/>
            </w14:solidFill>
          </w14:textFill>
        </w:rPr>
      </w:pPr>
    </w:p>
    <w:p w14:paraId="0BE55A38">
      <w:pPr>
        <w:snapToGrid w:val="0"/>
        <w:spacing w:line="240" w:lineRule="atLeast"/>
        <w:ind w:right="-1594" w:rightChars="-759"/>
        <w:rPr>
          <w:color w:val="000000" w:themeColor="text1"/>
          <w14:textFill>
            <w14:solidFill>
              <w14:schemeClr w14:val="tx1"/>
            </w14:solidFill>
          </w14:textFill>
        </w:rPr>
      </w:pPr>
    </w:p>
    <w:p w14:paraId="78C2DD73">
      <w:pPr>
        <w:pStyle w:val="4"/>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母公司</w:t>
      </w:r>
      <w:r>
        <w:rPr>
          <w:rFonts w:ascii="宋体" w:hAnsi="宋体"/>
          <w:color w:val="000000" w:themeColor="text1"/>
          <w14:textFill>
            <w14:solidFill>
              <w14:schemeClr w14:val="tx1"/>
            </w14:solidFill>
          </w14:textFill>
        </w:rPr>
        <w:t>资产负债表</w:t>
      </w:r>
    </w:p>
    <w:p w14:paraId="66B66D13">
      <w:pPr>
        <w:snapToGrid w:val="0"/>
        <w:spacing w:line="240" w:lineRule="atLeast"/>
        <w:jc w:val="center"/>
        <w:rPr>
          <w:b/>
          <w:color w:val="000000" w:themeColor="text1"/>
          <w14:textFill>
            <w14:solidFill>
              <w14:schemeClr w14:val="tx1"/>
            </w14:solidFill>
          </w14:textFill>
        </w:rPr>
      </w:pPr>
      <w:r>
        <w:rPr>
          <w:color w:val="000000" w:themeColor="text1"/>
          <w14:textFill>
            <w14:solidFill>
              <w14:schemeClr w14:val="tx1"/>
            </w14:solidFill>
          </w14:textFill>
        </w:rPr>
        <w:t>2026年6月30日</w:t>
      </w:r>
    </w:p>
    <w:p w14:paraId="7F836C1B">
      <w:pPr>
        <w:rPr>
          <w:color w:val="000000" w:themeColor="text1"/>
          <w14:textFill>
            <w14:solidFill>
              <w14:schemeClr w14:val="tx1"/>
            </w14:solidFill>
          </w14:textFill>
        </w:rPr>
      </w:pPr>
      <w:r>
        <w:rPr>
          <w:color w:val="000000" w:themeColor="text1"/>
          <w14:textFill>
            <w14:solidFill>
              <w14:schemeClr w14:val="tx1"/>
            </w14:solidFill>
          </w14:textFill>
        </w:rPr>
        <w:t>编制单位：</w:t>
      </w:r>
      <w:sdt>
        <w:sdtPr>
          <w:rPr>
            <w:color w:val="000000" w:themeColor="text1"/>
            <w14:textFill>
              <w14:solidFill>
                <w14:schemeClr w14:val="tx1"/>
              </w14:solidFill>
            </w14:textFill>
          </w:rPr>
          <w:alias w:val="公司法定中文名称"/>
          <w:tag w:val="_GBC_824a3e7402834e78aa66a9ee77d287bc"/>
          <w:id w:val="1141619068"/>
          <w:placeholder>
            <w:docPart w:val="GBC22222222222222222222222222222"/>
          </w:placeholder>
          <w:dataBinding w:prefixMappings="xmlns:clcid-cgi='clcid-cgi'" w:xpath="/*/clcid-cgi:GongSiFaDingZhongWenMingCheng[not(@periodRef)]" w:storeItemID="{89EBAB94-44A0-46A2-B712-30D997D04A6D}"/>
          <w:text/>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山东好当家海洋发展股份有限公司</w:t>
          </w:r>
        </w:sdtContent>
      </w:sdt>
      <w:r>
        <w:rPr>
          <w:color w:val="000000" w:themeColor="text1"/>
          <w14:textFill>
            <w14:solidFill>
              <w14:schemeClr w14:val="tx1"/>
            </w14:solidFill>
          </w14:textFill>
        </w:rPr>
        <w:t> </w:t>
      </w:r>
    </w:p>
    <w:p w14:paraId="6FD751D3">
      <w:pPr>
        <w:jc w:val="right"/>
        <w:rPr>
          <w:color w:val="000000" w:themeColor="text1"/>
          <w14:textFill>
            <w14:solidFill>
              <w14:schemeClr w14:val="tx1"/>
            </w14:solidFill>
          </w14:textFill>
        </w:rPr>
      </w:pPr>
      <w:r>
        <w:rPr>
          <w:color w:val="000000" w:themeColor="text1"/>
          <w14:textFill>
            <w14:solidFill>
              <w14:schemeClr w14:val="tx1"/>
            </w14:solidFill>
          </w14:textFill>
        </w:rPr>
        <w:t>单位：</w:t>
      </w:r>
      <w:sdt>
        <w:sdtPr>
          <w:rPr>
            <w:color w:val="000000" w:themeColor="text1"/>
            <w14:textFill>
              <w14:solidFill>
                <w14:schemeClr w14:val="tx1"/>
              </w14:solidFill>
            </w14:textFill>
          </w:rPr>
          <w:alias w:val="单位：母公司资产负债表"/>
          <w:tag w:val="_GBC_7be010b1a07f4048a3805d40208ccda4"/>
          <w:id w:val="107524487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元</w:t>
          </w:r>
        </w:sdtContent>
      </w:sdt>
      <w:r>
        <w:rPr>
          <w:color w:val="000000" w:themeColor="text1"/>
          <w14:textFill>
            <w14:solidFill>
              <w14:schemeClr w14:val="tx1"/>
            </w14:solidFill>
          </w14:textFill>
        </w:rPr>
        <w:t xml:space="preserve"> 币种：</w:t>
      </w:r>
      <w:sdt>
        <w:sdtPr>
          <w:rPr>
            <w:color w:val="000000" w:themeColor="text1"/>
            <w14:textFill>
              <w14:solidFill>
                <w14:schemeClr w14:val="tx1"/>
              </w14:solidFill>
            </w14:textFill>
          </w:rPr>
          <w:alias w:val="币种：母公司资产负债表"/>
          <w:tag w:val="_GBC_ecd35f8ce6f84d6f8ad30e1e244c15ff"/>
          <w:id w:val="-47576589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人民币</w:t>
          </w:r>
        </w:sdtContent>
      </w:sdt>
    </w:p>
    <w:tbl>
      <w:tblPr>
        <w:tblStyle w:val="37"/>
        <w:tblW w:w="4994"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871"/>
        <w:gridCol w:w="1105"/>
        <w:gridCol w:w="2487"/>
        <w:gridCol w:w="2349"/>
      </w:tblGrid>
      <w:tr w14:paraId="52780F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7b231a79acb54050b640bf23dd34ab8c"/>
            <w:id w:val="-1998416267"/>
          </w:sdtPr>
          <w:sdtContent>
            <w:tc>
              <w:tcPr>
                <w:tcW w:w="1629" w:type="pct"/>
                <w:tcBorders>
                  <w:top w:val="outset" w:color="auto" w:sz="6" w:space="0"/>
                  <w:left w:val="outset" w:color="auto" w:sz="6" w:space="0"/>
                  <w:bottom w:val="outset" w:color="auto" w:sz="6" w:space="0"/>
                  <w:right w:val="outset" w:color="auto" w:sz="6" w:space="0"/>
                </w:tcBorders>
                <w:vAlign w:val="center"/>
              </w:tcPr>
              <w:p w14:paraId="326AFBF9">
                <w:pPr>
                  <w:jc w:val="center"/>
                  <w:rPr>
                    <w:b/>
                    <w:bCs w:val="0"/>
                    <w:color w:val="000000" w:themeColor="text1"/>
                    <w14:textFill>
                      <w14:solidFill>
                        <w14:schemeClr w14:val="tx1"/>
                      </w14:solidFill>
                    </w14:textFill>
                  </w:rPr>
                </w:pPr>
                <w:bookmarkStart w:id="118" w:name="_Hlk105686791"/>
                <w:r>
                  <w:rPr>
                    <w:b/>
                    <w:bCs w:val="0"/>
                    <w:color w:val="000000" w:themeColor="text1"/>
                    <w14:textFill>
                      <w14:solidFill>
                        <w14:schemeClr w14:val="tx1"/>
                      </w14:solidFill>
                    </w14:textFill>
                  </w:rPr>
                  <w:t>项目</w:t>
                </w:r>
              </w:p>
            </w:tc>
          </w:sdtContent>
        </w:sdt>
        <w:sdt>
          <w:sdtPr>
            <w:tag w:val="_PLD_5e370aa08a144a709185abd9b2f11c20"/>
            <w:id w:val="1425998472"/>
          </w:sdtPr>
          <w:sdtContent>
            <w:tc>
              <w:tcPr>
                <w:tcW w:w="627" w:type="pct"/>
                <w:tcBorders>
                  <w:top w:val="outset" w:color="auto" w:sz="6" w:space="0"/>
                  <w:left w:val="outset" w:color="auto" w:sz="6" w:space="0"/>
                  <w:bottom w:val="outset" w:color="auto" w:sz="6" w:space="0"/>
                  <w:right w:val="outset" w:color="auto" w:sz="6" w:space="0"/>
                </w:tcBorders>
                <w:vAlign w:val="center"/>
              </w:tcPr>
              <w:p w14:paraId="4D513DB9">
                <w:pPr>
                  <w:jc w:val="center"/>
                  <w:rPr>
                    <w:b/>
                    <w:bCs w:val="0"/>
                    <w:color w:val="000000" w:themeColor="text1"/>
                    <w14:textFill>
                      <w14:solidFill>
                        <w14:schemeClr w14:val="tx1"/>
                      </w14:solidFill>
                    </w14:textFill>
                  </w:rPr>
                </w:pPr>
                <w:r>
                  <w:rPr>
                    <w:rFonts w:hint="eastAsia"/>
                    <w:b/>
                    <w:bCs w:val="0"/>
                    <w:color w:val="000000" w:themeColor="text1"/>
                    <w14:textFill>
                      <w14:solidFill>
                        <w14:schemeClr w14:val="tx1"/>
                      </w14:solidFill>
                    </w14:textFill>
                  </w:rPr>
                  <w:t>附注</w:t>
                </w:r>
              </w:p>
            </w:tc>
          </w:sdtContent>
        </w:sdt>
        <w:sdt>
          <w:sdtPr>
            <w:tag w:val="_PLD_0aa0a7a0cd4c45afa7cfb1bcfbba36c3"/>
            <w:id w:val="1567230252"/>
          </w:sdtPr>
          <w:sdtContent>
            <w:tc>
              <w:tcPr>
                <w:tcW w:w="1411" w:type="pct"/>
                <w:tcBorders>
                  <w:top w:val="outset" w:color="auto" w:sz="6" w:space="0"/>
                  <w:left w:val="outset" w:color="auto" w:sz="6" w:space="0"/>
                  <w:bottom w:val="outset" w:color="auto" w:sz="6" w:space="0"/>
                  <w:right w:val="outset" w:color="auto" w:sz="6" w:space="0"/>
                </w:tcBorders>
                <w:vAlign w:val="center"/>
              </w:tcPr>
              <w:p w14:paraId="40B9B9E0">
                <w:pPr>
                  <w:jc w:val="center"/>
                  <w:rPr>
                    <w:b/>
                    <w:bCs w:val="0"/>
                    <w:color w:val="000000" w:themeColor="text1"/>
                    <w14:textFill>
                      <w14:solidFill>
                        <w14:schemeClr w14:val="tx1"/>
                      </w14:solidFill>
                    </w14:textFill>
                  </w:rPr>
                </w:pPr>
                <w:r>
                  <w:rPr>
                    <w:rFonts w:hint="eastAsia"/>
                    <w:b/>
                    <w:bCs w:val="0"/>
                    <w:color w:val="000000" w:themeColor="text1"/>
                    <w14:textFill>
                      <w14:solidFill>
                        <w14:schemeClr w14:val="tx1"/>
                      </w14:solidFill>
                    </w14:textFill>
                  </w:rPr>
                  <w:t>2026年6月</w:t>
                </w:r>
                <w:r>
                  <w:rPr>
                    <w:b/>
                    <w:bCs w:val="0"/>
                    <w:color w:val="000000" w:themeColor="text1"/>
                    <w14:textFill>
                      <w14:solidFill>
                        <w14:schemeClr w14:val="tx1"/>
                      </w14:solidFill>
                    </w14:textFill>
                  </w:rPr>
                  <w:t>3</w:t>
                </w:r>
                <w:r>
                  <w:rPr>
                    <w:rFonts w:hint="eastAsia"/>
                    <w:b/>
                    <w:bCs w:val="0"/>
                    <w:color w:val="000000" w:themeColor="text1"/>
                    <w14:textFill>
                      <w14:solidFill>
                        <w14:schemeClr w14:val="tx1"/>
                      </w14:solidFill>
                    </w14:textFill>
                  </w:rPr>
                  <w:t>0日</w:t>
                </w:r>
              </w:p>
            </w:tc>
          </w:sdtContent>
        </w:sdt>
        <w:sdt>
          <w:sdtPr>
            <w:tag w:val="_PLD_e986dda0dbc74346a9296e5a4646b696"/>
            <w:id w:val="392324798"/>
          </w:sdtPr>
          <w:sdtContent>
            <w:tc>
              <w:tcPr>
                <w:tcW w:w="1333" w:type="pct"/>
                <w:tcBorders>
                  <w:top w:val="outset" w:color="auto" w:sz="6" w:space="0"/>
                  <w:left w:val="outset" w:color="auto" w:sz="6" w:space="0"/>
                  <w:bottom w:val="outset" w:color="auto" w:sz="6" w:space="0"/>
                  <w:right w:val="outset" w:color="auto" w:sz="6" w:space="0"/>
                </w:tcBorders>
                <w:vAlign w:val="center"/>
              </w:tcPr>
              <w:p w14:paraId="301C8DC8">
                <w:pPr>
                  <w:jc w:val="center"/>
                  <w:rPr>
                    <w:b/>
                    <w:bCs w:val="0"/>
                    <w:color w:val="000000" w:themeColor="text1"/>
                    <w14:textFill>
                      <w14:solidFill>
                        <w14:schemeClr w14:val="tx1"/>
                      </w14:solidFill>
                    </w14:textFill>
                  </w:rPr>
                </w:pPr>
                <w:r>
                  <w:rPr>
                    <w:b/>
                    <w:bCs w:val="0"/>
                    <w:color w:val="000000" w:themeColor="text1"/>
                    <w14:textFill>
                      <w14:solidFill>
                        <w14:schemeClr w14:val="tx1"/>
                      </w14:solidFill>
                    </w14:textFill>
                  </w:rPr>
                  <w:t>2025年12月31日</w:t>
                </w:r>
              </w:p>
            </w:tc>
          </w:sdtContent>
        </w:sdt>
      </w:tr>
      <w:tr w14:paraId="19E742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64ae72669eea4837a1a220d585585bdf"/>
            <w:id w:val="-771559407"/>
          </w:sdtPr>
          <w:sdtContent>
            <w:tc>
              <w:tcPr>
                <w:tcW w:w="5000" w:type="pct"/>
                <w:gridSpan w:val="4"/>
                <w:tcBorders>
                  <w:top w:val="outset" w:color="auto" w:sz="6" w:space="0"/>
                  <w:left w:val="outset" w:color="auto" w:sz="6" w:space="0"/>
                  <w:bottom w:val="outset" w:color="auto" w:sz="6" w:space="0"/>
                  <w:right w:val="outset" w:color="auto" w:sz="6" w:space="0"/>
                </w:tcBorders>
                <w:vAlign w:val="center"/>
              </w:tcPr>
              <w:p w14:paraId="62F631F4">
                <w:pPr>
                  <w:rPr>
                    <w:b/>
                    <w:color w:val="000000" w:themeColor="text1"/>
                    <w14:textFill>
                      <w14:solidFill>
                        <w14:schemeClr w14:val="tx1"/>
                      </w14:solidFill>
                    </w14:textFill>
                  </w:rPr>
                </w:pPr>
                <w:r>
                  <w:rPr>
                    <w:rFonts w:hint="eastAsia"/>
                    <w:b/>
                    <w:color w:val="000000" w:themeColor="text1"/>
                    <w14:textFill>
                      <w14:solidFill>
                        <w14:schemeClr w14:val="tx1"/>
                      </w14:solidFill>
                    </w14:textFill>
                  </w:rPr>
                  <w:t>流动资产：</w:t>
                </w:r>
              </w:p>
            </w:tc>
          </w:sdtContent>
        </w:sdt>
      </w:tr>
      <w:tr w14:paraId="4A141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57FA47D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货币资金</w:t>
            </w:r>
          </w:p>
        </w:tc>
        <w:tc>
          <w:tcPr>
            <w:tcW w:w="627" w:type="pct"/>
            <w:tcBorders>
              <w:top w:val="outset" w:color="auto" w:sz="6" w:space="0"/>
              <w:left w:val="outset" w:color="auto" w:sz="6" w:space="0"/>
              <w:bottom w:val="outset" w:color="auto" w:sz="6" w:space="0"/>
              <w:right w:val="outset" w:color="auto" w:sz="6" w:space="0"/>
            </w:tcBorders>
            <w:vAlign w:val="center"/>
          </w:tcPr>
          <w:p w14:paraId="37A260F0"/>
        </w:tc>
        <w:tc>
          <w:tcPr>
            <w:tcW w:w="1411" w:type="pct"/>
            <w:tcBorders>
              <w:top w:val="outset" w:color="auto" w:sz="6" w:space="0"/>
              <w:left w:val="outset" w:color="auto" w:sz="6" w:space="0"/>
              <w:bottom w:val="outset" w:color="auto" w:sz="6" w:space="0"/>
              <w:right w:val="outset" w:color="auto" w:sz="6" w:space="0"/>
            </w:tcBorders>
            <w:vAlign w:val="center"/>
          </w:tcPr>
          <w:p w14:paraId="6B6DB79E">
            <w:pPr>
              <w:jc w:val="right"/>
            </w:pPr>
            <w:r>
              <w:t>544,922,081.30</w:t>
            </w:r>
          </w:p>
        </w:tc>
        <w:tc>
          <w:tcPr>
            <w:tcW w:w="1333" w:type="pct"/>
            <w:tcBorders>
              <w:top w:val="outset" w:color="auto" w:sz="6" w:space="0"/>
              <w:left w:val="outset" w:color="auto" w:sz="6" w:space="0"/>
              <w:bottom w:val="outset" w:color="auto" w:sz="6" w:space="0"/>
              <w:right w:val="outset" w:color="auto" w:sz="6" w:space="0"/>
            </w:tcBorders>
            <w:vAlign w:val="center"/>
          </w:tcPr>
          <w:p w14:paraId="6B2A1FD5">
            <w:pPr>
              <w:jc w:val="right"/>
            </w:pPr>
            <w:r>
              <w:t>433,074,083.63</w:t>
            </w:r>
          </w:p>
        </w:tc>
      </w:tr>
      <w:tr w14:paraId="0C9976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0A57A67">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交易性金融资产</w:t>
            </w:r>
          </w:p>
        </w:tc>
        <w:tc>
          <w:tcPr>
            <w:tcW w:w="627" w:type="pct"/>
            <w:tcBorders>
              <w:top w:val="outset" w:color="auto" w:sz="6" w:space="0"/>
              <w:left w:val="outset" w:color="auto" w:sz="6" w:space="0"/>
              <w:bottom w:val="outset" w:color="auto" w:sz="6" w:space="0"/>
              <w:right w:val="outset" w:color="auto" w:sz="6" w:space="0"/>
            </w:tcBorders>
            <w:vAlign w:val="center"/>
          </w:tcPr>
          <w:p w14:paraId="67556289"/>
        </w:tc>
        <w:tc>
          <w:tcPr>
            <w:tcW w:w="1411" w:type="pct"/>
            <w:tcBorders>
              <w:top w:val="outset" w:color="auto" w:sz="6" w:space="0"/>
              <w:left w:val="outset" w:color="auto" w:sz="6" w:space="0"/>
              <w:bottom w:val="outset" w:color="auto" w:sz="6" w:space="0"/>
              <w:right w:val="outset" w:color="auto" w:sz="6" w:space="0"/>
            </w:tcBorders>
            <w:vAlign w:val="center"/>
          </w:tcPr>
          <w:p w14:paraId="51B2068C">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35B219ED">
            <w:pPr>
              <w:jc w:val="right"/>
            </w:pPr>
          </w:p>
        </w:tc>
      </w:tr>
      <w:tr w14:paraId="7F133F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6680C8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衍生金融资产</w:t>
            </w:r>
          </w:p>
        </w:tc>
        <w:tc>
          <w:tcPr>
            <w:tcW w:w="627" w:type="pct"/>
            <w:tcBorders>
              <w:top w:val="outset" w:color="auto" w:sz="6" w:space="0"/>
              <w:left w:val="outset" w:color="auto" w:sz="6" w:space="0"/>
              <w:bottom w:val="outset" w:color="auto" w:sz="6" w:space="0"/>
              <w:right w:val="outset" w:color="auto" w:sz="6" w:space="0"/>
            </w:tcBorders>
            <w:vAlign w:val="center"/>
          </w:tcPr>
          <w:p w14:paraId="10B53FF5"/>
        </w:tc>
        <w:tc>
          <w:tcPr>
            <w:tcW w:w="1411" w:type="pct"/>
            <w:tcBorders>
              <w:top w:val="outset" w:color="auto" w:sz="6" w:space="0"/>
              <w:left w:val="outset" w:color="auto" w:sz="6" w:space="0"/>
              <w:bottom w:val="outset" w:color="auto" w:sz="6" w:space="0"/>
              <w:right w:val="outset" w:color="auto" w:sz="6" w:space="0"/>
            </w:tcBorders>
            <w:vAlign w:val="center"/>
          </w:tcPr>
          <w:p w14:paraId="14635460">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41A8AD75">
            <w:pPr>
              <w:jc w:val="right"/>
            </w:pPr>
          </w:p>
        </w:tc>
      </w:tr>
      <w:tr w14:paraId="1520A2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073A9A9">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w:t>
            </w:r>
          </w:p>
        </w:tc>
        <w:tc>
          <w:tcPr>
            <w:tcW w:w="627" w:type="pct"/>
            <w:tcBorders>
              <w:top w:val="outset" w:color="auto" w:sz="6" w:space="0"/>
              <w:left w:val="outset" w:color="auto" w:sz="6" w:space="0"/>
              <w:bottom w:val="outset" w:color="auto" w:sz="6" w:space="0"/>
              <w:right w:val="outset" w:color="auto" w:sz="6" w:space="0"/>
            </w:tcBorders>
            <w:vAlign w:val="center"/>
          </w:tcPr>
          <w:p w14:paraId="10407311"/>
        </w:tc>
        <w:tc>
          <w:tcPr>
            <w:tcW w:w="1411" w:type="pct"/>
            <w:tcBorders>
              <w:top w:val="outset" w:color="auto" w:sz="6" w:space="0"/>
              <w:left w:val="outset" w:color="auto" w:sz="6" w:space="0"/>
              <w:bottom w:val="outset" w:color="auto" w:sz="6" w:space="0"/>
              <w:right w:val="outset" w:color="auto" w:sz="6" w:space="0"/>
            </w:tcBorders>
            <w:vAlign w:val="center"/>
          </w:tcPr>
          <w:p w14:paraId="138B0F45">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58D59777">
            <w:pPr>
              <w:jc w:val="right"/>
            </w:pPr>
            <w:r>
              <w:t>10,000,000.00</w:t>
            </w:r>
          </w:p>
        </w:tc>
      </w:tr>
      <w:tr w14:paraId="25EFF0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003DC2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w:t>
            </w:r>
          </w:p>
        </w:tc>
        <w:tc>
          <w:tcPr>
            <w:tcW w:w="627" w:type="pct"/>
            <w:tcBorders>
              <w:top w:val="outset" w:color="auto" w:sz="6" w:space="0"/>
              <w:left w:val="outset" w:color="auto" w:sz="6" w:space="0"/>
              <w:bottom w:val="outset" w:color="auto" w:sz="6" w:space="0"/>
              <w:right w:val="outset" w:color="auto" w:sz="6" w:space="0"/>
            </w:tcBorders>
            <w:vAlign w:val="center"/>
          </w:tcPr>
          <w:p w14:paraId="4F22AD79"/>
        </w:tc>
        <w:tc>
          <w:tcPr>
            <w:tcW w:w="1411" w:type="pct"/>
            <w:tcBorders>
              <w:top w:val="outset" w:color="auto" w:sz="6" w:space="0"/>
              <w:left w:val="outset" w:color="auto" w:sz="6" w:space="0"/>
              <w:bottom w:val="outset" w:color="auto" w:sz="6" w:space="0"/>
              <w:right w:val="outset" w:color="auto" w:sz="6" w:space="0"/>
            </w:tcBorders>
            <w:vAlign w:val="center"/>
          </w:tcPr>
          <w:p w14:paraId="0065CFDB">
            <w:pPr>
              <w:jc w:val="right"/>
            </w:pPr>
            <w:r>
              <w:t>17,842,379.52</w:t>
            </w:r>
          </w:p>
        </w:tc>
        <w:tc>
          <w:tcPr>
            <w:tcW w:w="1333" w:type="pct"/>
            <w:tcBorders>
              <w:top w:val="outset" w:color="auto" w:sz="6" w:space="0"/>
              <w:left w:val="outset" w:color="auto" w:sz="6" w:space="0"/>
              <w:bottom w:val="outset" w:color="auto" w:sz="6" w:space="0"/>
              <w:right w:val="outset" w:color="auto" w:sz="6" w:space="0"/>
            </w:tcBorders>
            <w:vAlign w:val="center"/>
          </w:tcPr>
          <w:p w14:paraId="5CE3B051">
            <w:pPr>
              <w:jc w:val="right"/>
            </w:pPr>
            <w:r>
              <w:t>24,391,850.06</w:t>
            </w:r>
          </w:p>
        </w:tc>
      </w:tr>
      <w:tr w14:paraId="014454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0E1249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应收款项融资</w:t>
            </w:r>
          </w:p>
        </w:tc>
        <w:tc>
          <w:tcPr>
            <w:tcW w:w="627" w:type="pct"/>
            <w:tcBorders>
              <w:top w:val="outset" w:color="auto" w:sz="6" w:space="0"/>
              <w:left w:val="outset" w:color="auto" w:sz="6" w:space="0"/>
              <w:bottom w:val="outset" w:color="auto" w:sz="6" w:space="0"/>
              <w:right w:val="outset" w:color="auto" w:sz="6" w:space="0"/>
            </w:tcBorders>
            <w:vAlign w:val="center"/>
          </w:tcPr>
          <w:p w14:paraId="58457E0F"/>
        </w:tc>
        <w:tc>
          <w:tcPr>
            <w:tcW w:w="1411" w:type="pct"/>
            <w:tcBorders>
              <w:top w:val="outset" w:color="auto" w:sz="6" w:space="0"/>
              <w:left w:val="outset" w:color="auto" w:sz="6" w:space="0"/>
              <w:bottom w:val="outset" w:color="auto" w:sz="6" w:space="0"/>
              <w:right w:val="outset" w:color="auto" w:sz="6" w:space="0"/>
            </w:tcBorders>
            <w:vAlign w:val="center"/>
          </w:tcPr>
          <w:p w14:paraId="7D01F10B">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4E89385E">
            <w:pPr>
              <w:jc w:val="right"/>
            </w:pPr>
          </w:p>
        </w:tc>
      </w:tr>
      <w:tr w14:paraId="1144F6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561F16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预付款项</w:t>
            </w:r>
          </w:p>
        </w:tc>
        <w:tc>
          <w:tcPr>
            <w:tcW w:w="627" w:type="pct"/>
            <w:tcBorders>
              <w:top w:val="outset" w:color="auto" w:sz="6" w:space="0"/>
              <w:left w:val="outset" w:color="auto" w:sz="6" w:space="0"/>
              <w:bottom w:val="outset" w:color="auto" w:sz="6" w:space="0"/>
              <w:right w:val="outset" w:color="auto" w:sz="6" w:space="0"/>
            </w:tcBorders>
            <w:vAlign w:val="center"/>
          </w:tcPr>
          <w:p w14:paraId="0975B198"/>
        </w:tc>
        <w:tc>
          <w:tcPr>
            <w:tcW w:w="1411" w:type="pct"/>
            <w:tcBorders>
              <w:top w:val="outset" w:color="auto" w:sz="6" w:space="0"/>
              <w:left w:val="outset" w:color="auto" w:sz="6" w:space="0"/>
              <w:bottom w:val="outset" w:color="auto" w:sz="6" w:space="0"/>
              <w:right w:val="outset" w:color="auto" w:sz="6" w:space="0"/>
            </w:tcBorders>
            <w:vAlign w:val="center"/>
          </w:tcPr>
          <w:p w14:paraId="032AB857">
            <w:pPr>
              <w:jc w:val="right"/>
            </w:pPr>
            <w:r>
              <w:t>9,111,615.23</w:t>
            </w:r>
          </w:p>
        </w:tc>
        <w:tc>
          <w:tcPr>
            <w:tcW w:w="1333" w:type="pct"/>
            <w:tcBorders>
              <w:top w:val="outset" w:color="auto" w:sz="6" w:space="0"/>
              <w:left w:val="outset" w:color="auto" w:sz="6" w:space="0"/>
              <w:bottom w:val="outset" w:color="auto" w:sz="6" w:space="0"/>
              <w:right w:val="outset" w:color="auto" w:sz="6" w:space="0"/>
            </w:tcBorders>
            <w:vAlign w:val="center"/>
          </w:tcPr>
          <w:p w14:paraId="18EE83DA">
            <w:pPr>
              <w:jc w:val="right"/>
            </w:pPr>
            <w:r>
              <w:t>8,034,873.94</w:t>
            </w:r>
          </w:p>
        </w:tc>
      </w:tr>
      <w:tr w14:paraId="02674A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DA00F84">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w:t>
            </w:r>
          </w:p>
        </w:tc>
        <w:tc>
          <w:tcPr>
            <w:tcW w:w="627" w:type="pct"/>
            <w:tcBorders>
              <w:top w:val="outset" w:color="auto" w:sz="6" w:space="0"/>
              <w:left w:val="outset" w:color="auto" w:sz="6" w:space="0"/>
              <w:bottom w:val="outset" w:color="auto" w:sz="6" w:space="0"/>
              <w:right w:val="outset" w:color="auto" w:sz="6" w:space="0"/>
            </w:tcBorders>
            <w:vAlign w:val="center"/>
          </w:tcPr>
          <w:p w14:paraId="207FF6AC"/>
        </w:tc>
        <w:tc>
          <w:tcPr>
            <w:tcW w:w="1411" w:type="pct"/>
            <w:tcBorders>
              <w:top w:val="outset" w:color="auto" w:sz="6" w:space="0"/>
              <w:left w:val="outset" w:color="auto" w:sz="6" w:space="0"/>
              <w:bottom w:val="outset" w:color="auto" w:sz="6" w:space="0"/>
              <w:right w:val="outset" w:color="auto" w:sz="6" w:space="0"/>
            </w:tcBorders>
            <w:vAlign w:val="center"/>
          </w:tcPr>
          <w:p w14:paraId="6826F568">
            <w:pPr>
              <w:jc w:val="right"/>
            </w:pPr>
            <w:r>
              <w:t>443,570,887.76</w:t>
            </w:r>
          </w:p>
        </w:tc>
        <w:tc>
          <w:tcPr>
            <w:tcW w:w="1333" w:type="pct"/>
            <w:tcBorders>
              <w:top w:val="outset" w:color="auto" w:sz="6" w:space="0"/>
              <w:left w:val="outset" w:color="auto" w:sz="6" w:space="0"/>
              <w:bottom w:val="outset" w:color="auto" w:sz="6" w:space="0"/>
              <w:right w:val="outset" w:color="auto" w:sz="6" w:space="0"/>
            </w:tcBorders>
            <w:vAlign w:val="center"/>
          </w:tcPr>
          <w:p w14:paraId="39A17737">
            <w:pPr>
              <w:jc w:val="right"/>
            </w:pPr>
            <w:r>
              <w:t>450,682,596.93</w:t>
            </w:r>
          </w:p>
        </w:tc>
      </w:tr>
      <w:tr w14:paraId="3C4C01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F90C317">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其中：应收利息</w:t>
            </w:r>
          </w:p>
        </w:tc>
        <w:tc>
          <w:tcPr>
            <w:tcW w:w="627" w:type="pct"/>
            <w:tcBorders>
              <w:top w:val="outset" w:color="auto" w:sz="6" w:space="0"/>
              <w:left w:val="outset" w:color="auto" w:sz="6" w:space="0"/>
              <w:bottom w:val="outset" w:color="auto" w:sz="6" w:space="0"/>
              <w:right w:val="outset" w:color="auto" w:sz="6" w:space="0"/>
            </w:tcBorders>
            <w:vAlign w:val="center"/>
          </w:tcPr>
          <w:p w14:paraId="7F99388C"/>
        </w:tc>
        <w:tc>
          <w:tcPr>
            <w:tcW w:w="1411" w:type="pct"/>
            <w:tcBorders>
              <w:top w:val="outset" w:color="auto" w:sz="6" w:space="0"/>
              <w:left w:val="outset" w:color="auto" w:sz="6" w:space="0"/>
              <w:bottom w:val="outset" w:color="auto" w:sz="6" w:space="0"/>
              <w:right w:val="outset" w:color="auto" w:sz="6" w:space="0"/>
            </w:tcBorders>
            <w:vAlign w:val="center"/>
          </w:tcPr>
          <w:p w14:paraId="341B58FB">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1831746C">
            <w:pPr>
              <w:jc w:val="right"/>
            </w:pPr>
          </w:p>
        </w:tc>
      </w:tr>
      <w:tr w14:paraId="46CFCA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AE3EEB6">
            <w:pPr>
              <w:ind w:firstLine="840" w:firstLineChars="400"/>
              <w:rPr>
                <w:color w:val="000000" w:themeColor="text1"/>
                <w14:textFill>
                  <w14:solidFill>
                    <w14:schemeClr w14:val="tx1"/>
                  </w14:solidFill>
                </w14:textFill>
              </w:rPr>
            </w:pPr>
            <w:r>
              <w:rPr>
                <w:rFonts w:hint="eastAsia"/>
                <w:color w:val="000000" w:themeColor="text1"/>
                <w14:textFill>
                  <w14:solidFill>
                    <w14:schemeClr w14:val="tx1"/>
                  </w14:solidFill>
                </w14:textFill>
              </w:rPr>
              <w:t>应收股利</w:t>
            </w:r>
          </w:p>
        </w:tc>
        <w:tc>
          <w:tcPr>
            <w:tcW w:w="627" w:type="pct"/>
            <w:tcBorders>
              <w:top w:val="outset" w:color="auto" w:sz="6" w:space="0"/>
              <w:left w:val="outset" w:color="auto" w:sz="6" w:space="0"/>
              <w:bottom w:val="outset" w:color="auto" w:sz="6" w:space="0"/>
              <w:right w:val="outset" w:color="auto" w:sz="6" w:space="0"/>
            </w:tcBorders>
            <w:vAlign w:val="center"/>
          </w:tcPr>
          <w:p w14:paraId="2549A552"/>
        </w:tc>
        <w:tc>
          <w:tcPr>
            <w:tcW w:w="1411" w:type="pct"/>
            <w:tcBorders>
              <w:top w:val="outset" w:color="auto" w:sz="6" w:space="0"/>
              <w:left w:val="outset" w:color="auto" w:sz="6" w:space="0"/>
              <w:bottom w:val="outset" w:color="auto" w:sz="6" w:space="0"/>
              <w:right w:val="outset" w:color="auto" w:sz="6" w:space="0"/>
            </w:tcBorders>
            <w:vAlign w:val="center"/>
          </w:tcPr>
          <w:p w14:paraId="1557EF2B">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697EF6D2">
            <w:pPr>
              <w:jc w:val="right"/>
            </w:pPr>
          </w:p>
        </w:tc>
      </w:tr>
      <w:tr w14:paraId="4769D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CA9C55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存货</w:t>
            </w:r>
          </w:p>
        </w:tc>
        <w:tc>
          <w:tcPr>
            <w:tcW w:w="627" w:type="pct"/>
            <w:tcBorders>
              <w:top w:val="outset" w:color="auto" w:sz="6" w:space="0"/>
              <w:left w:val="outset" w:color="auto" w:sz="6" w:space="0"/>
              <w:bottom w:val="outset" w:color="auto" w:sz="6" w:space="0"/>
              <w:right w:val="outset" w:color="auto" w:sz="6" w:space="0"/>
            </w:tcBorders>
            <w:vAlign w:val="center"/>
          </w:tcPr>
          <w:p w14:paraId="080548A5"/>
        </w:tc>
        <w:tc>
          <w:tcPr>
            <w:tcW w:w="1411" w:type="pct"/>
            <w:tcBorders>
              <w:top w:val="outset" w:color="auto" w:sz="6" w:space="0"/>
              <w:left w:val="outset" w:color="auto" w:sz="6" w:space="0"/>
              <w:bottom w:val="outset" w:color="auto" w:sz="6" w:space="0"/>
              <w:right w:val="outset" w:color="auto" w:sz="6" w:space="0"/>
            </w:tcBorders>
            <w:vAlign w:val="center"/>
          </w:tcPr>
          <w:p w14:paraId="4DC09CD6">
            <w:pPr>
              <w:jc w:val="right"/>
            </w:pPr>
            <w:r>
              <w:t>683,800,629.42</w:t>
            </w:r>
          </w:p>
        </w:tc>
        <w:tc>
          <w:tcPr>
            <w:tcW w:w="1333" w:type="pct"/>
            <w:tcBorders>
              <w:top w:val="outset" w:color="auto" w:sz="6" w:space="0"/>
              <w:left w:val="outset" w:color="auto" w:sz="6" w:space="0"/>
              <w:bottom w:val="outset" w:color="auto" w:sz="6" w:space="0"/>
              <w:right w:val="outset" w:color="auto" w:sz="6" w:space="0"/>
            </w:tcBorders>
            <w:vAlign w:val="center"/>
          </w:tcPr>
          <w:p w14:paraId="714D8EBD">
            <w:pPr>
              <w:jc w:val="right"/>
            </w:pPr>
            <w:r>
              <w:t>759,807,289.96</w:t>
            </w:r>
          </w:p>
        </w:tc>
      </w:tr>
      <w:tr w14:paraId="086853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15FC2C4">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其中：数据资源</w:t>
            </w:r>
          </w:p>
        </w:tc>
        <w:tc>
          <w:tcPr>
            <w:tcW w:w="627" w:type="pct"/>
            <w:tcBorders>
              <w:top w:val="outset" w:color="auto" w:sz="6" w:space="0"/>
              <w:left w:val="outset" w:color="auto" w:sz="6" w:space="0"/>
              <w:bottom w:val="outset" w:color="auto" w:sz="6" w:space="0"/>
              <w:right w:val="outset" w:color="auto" w:sz="6" w:space="0"/>
            </w:tcBorders>
            <w:vAlign w:val="center"/>
          </w:tcPr>
          <w:p w14:paraId="11BFA196"/>
        </w:tc>
        <w:tc>
          <w:tcPr>
            <w:tcW w:w="1411" w:type="pct"/>
            <w:tcBorders>
              <w:top w:val="outset" w:color="auto" w:sz="6" w:space="0"/>
              <w:left w:val="outset" w:color="auto" w:sz="6" w:space="0"/>
              <w:bottom w:val="outset" w:color="auto" w:sz="6" w:space="0"/>
              <w:right w:val="outset" w:color="auto" w:sz="6" w:space="0"/>
            </w:tcBorders>
            <w:vAlign w:val="center"/>
          </w:tcPr>
          <w:p w14:paraId="7FA6BCCC">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3AA5DEFD">
            <w:pPr>
              <w:jc w:val="right"/>
            </w:pPr>
          </w:p>
        </w:tc>
      </w:tr>
      <w:tr w14:paraId="3DF17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55AE2B4">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合同资产</w:t>
            </w:r>
          </w:p>
        </w:tc>
        <w:tc>
          <w:tcPr>
            <w:tcW w:w="627" w:type="pct"/>
            <w:tcBorders>
              <w:top w:val="outset" w:color="auto" w:sz="6" w:space="0"/>
              <w:left w:val="outset" w:color="auto" w:sz="6" w:space="0"/>
              <w:bottom w:val="outset" w:color="auto" w:sz="6" w:space="0"/>
              <w:right w:val="outset" w:color="auto" w:sz="6" w:space="0"/>
            </w:tcBorders>
            <w:vAlign w:val="center"/>
          </w:tcPr>
          <w:p w14:paraId="2AB7E4FD"/>
        </w:tc>
        <w:tc>
          <w:tcPr>
            <w:tcW w:w="1411" w:type="pct"/>
            <w:tcBorders>
              <w:top w:val="outset" w:color="auto" w:sz="6" w:space="0"/>
              <w:left w:val="outset" w:color="auto" w:sz="6" w:space="0"/>
              <w:bottom w:val="outset" w:color="auto" w:sz="6" w:space="0"/>
              <w:right w:val="outset" w:color="auto" w:sz="6" w:space="0"/>
            </w:tcBorders>
            <w:vAlign w:val="center"/>
          </w:tcPr>
          <w:p w14:paraId="6BD89054">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6E25DF39">
            <w:pPr>
              <w:jc w:val="right"/>
            </w:pPr>
          </w:p>
        </w:tc>
      </w:tr>
      <w:tr w14:paraId="4E0CEE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4B60E3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持有待售资产</w:t>
            </w:r>
          </w:p>
        </w:tc>
        <w:tc>
          <w:tcPr>
            <w:tcW w:w="627" w:type="pct"/>
            <w:tcBorders>
              <w:top w:val="outset" w:color="auto" w:sz="6" w:space="0"/>
              <w:left w:val="outset" w:color="auto" w:sz="6" w:space="0"/>
              <w:bottom w:val="outset" w:color="auto" w:sz="6" w:space="0"/>
              <w:right w:val="outset" w:color="auto" w:sz="6" w:space="0"/>
            </w:tcBorders>
            <w:vAlign w:val="center"/>
          </w:tcPr>
          <w:p w14:paraId="074C72AF"/>
        </w:tc>
        <w:tc>
          <w:tcPr>
            <w:tcW w:w="1411" w:type="pct"/>
            <w:tcBorders>
              <w:top w:val="outset" w:color="auto" w:sz="6" w:space="0"/>
              <w:left w:val="outset" w:color="auto" w:sz="6" w:space="0"/>
              <w:bottom w:val="outset" w:color="auto" w:sz="6" w:space="0"/>
              <w:right w:val="outset" w:color="auto" w:sz="6" w:space="0"/>
            </w:tcBorders>
            <w:vAlign w:val="center"/>
          </w:tcPr>
          <w:p w14:paraId="1AD84C43">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76F27204">
            <w:pPr>
              <w:jc w:val="right"/>
            </w:pPr>
          </w:p>
        </w:tc>
      </w:tr>
      <w:tr w14:paraId="39DEC6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132F9BB">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一年内到期的非流动资产</w:t>
            </w:r>
          </w:p>
        </w:tc>
        <w:tc>
          <w:tcPr>
            <w:tcW w:w="627" w:type="pct"/>
            <w:tcBorders>
              <w:top w:val="outset" w:color="auto" w:sz="6" w:space="0"/>
              <w:left w:val="outset" w:color="auto" w:sz="6" w:space="0"/>
              <w:bottom w:val="outset" w:color="auto" w:sz="6" w:space="0"/>
              <w:right w:val="outset" w:color="auto" w:sz="6" w:space="0"/>
            </w:tcBorders>
            <w:vAlign w:val="center"/>
          </w:tcPr>
          <w:p w14:paraId="7BA3560B"/>
        </w:tc>
        <w:tc>
          <w:tcPr>
            <w:tcW w:w="1411" w:type="pct"/>
            <w:tcBorders>
              <w:top w:val="outset" w:color="auto" w:sz="6" w:space="0"/>
              <w:left w:val="outset" w:color="auto" w:sz="6" w:space="0"/>
              <w:bottom w:val="outset" w:color="auto" w:sz="6" w:space="0"/>
              <w:right w:val="outset" w:color="auto" w:sz="6" w:space="0"/>
            </w:tcBorders>
            <w:vAlign w:val="center"/>
          </w:tcPr>
          <w:p w14:paraId="4428DF67">
            <w:pPr>
              <w:jc w:val="right"/>
            </w:pPr>
            <w:r>
              <w:t>83,707,335.27</w:t>
            </w:r>
          </w:p>
        </w:tc>
        <w:tc>
          <w:tcPr>
            <w:tcW w:w="1333" w:type="pct"/>
            <w:tcBorders>
              <w:top w:val="outset" w:color="auto" w:sz="6" w:space="0"/>
              <w:left w:val="outset" w:color="auto" w:sz="6" w:space="0"/>
              <w:bottom w:val="outset" w:color="auto" w:sz="6" w:space="0"/>
              <w:right w:val="outset" w:color="auto" w:sz="6" w:space="0"/>
            </w:tcBorders>
            <w:vAlign w:val="center"/>
          </w:tcPr>
          <w:p w14:paraId="6F0F528C">
            <w:pPr>
              <w:jc w:val="right"/>
            </w:pPr>
            <w:r>
              <w:t>37,575,534.25</w:t>
            </w:r>
          </w:p>
        </w:tc>
      </w:tr>
      <w:tr w14:paraId="18A4B6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27CE5A9">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其他流动资产</w:t>
            </w:r>
          </w:p>
        </w:tc>
        <w:tc>
          <w:tcPr>
            <w:tcW w:w="627" w:type="pct"/>
            <w:tcBorders>
              <w:top w:val="outset" w:color="auto" w:sz="6" w:space="0"/>
              <w:left w:val="outset" w:color="auto" w:sz="6" w:space="0"/>
              <w:bottom w:val="outset" w:color="auto" w:sz="6" w:space="0"/>
              <w:right w:val="outset" w:color="auto" w:sz="6" w:space="0"/>
            </w:tcBorders>
            <w:vAlign w:val="center"/>
          </w:tcPr>
          <w:p w14:paraId="7C8359A9"/>
        </w:tc>
        <w:tc>
          <w:tcPr>
            <w:tcW w:w="1411" w:type="pct"/>
            <w:tcBorders>
              <w:top w:val="outset" w:color="auto" w:sz="6" w:space="0"/>
              <w:left w:val="outset" w:color="auto" w:sz="6" w:space="0"/>
              <w:bottom w:val="outset" w:color="auto" w:sz="6" w:space="0"/>
              <w:right w:val="outset" w:color="auto" w:sz="6" w:space="0"/>
            </w:tcBorders>
            <w:vAlign w:val="center"/>
          </w:tcPr>
          <w:p w14:paraId="56139D5B">
            <w:pPr>
              <w:jc w:val="right"/>
            </w:pPr>
            <w:r>
              <w:t>8,430,697.49</w:t>
            </w:r>
          </w:p>
        </w:tc>
        <w:tc>
          <w:tcPr>
            <w:tcW w:w="1333" w:type="pct"/>
            <w:tcBorders>
              <w:top w:val="outset" w:color="auto" w:sz="6" w:space="0"/>
              <w:left w:val="outset" w:color="auto" w:sz="6" w:space="0"/>
              <w:bottom w:val="outset" w:color="auto" w:sz="6" w:space="0"/>
              <w:right w:val="outset" w:color="auto" w:sz="6" w:space="0"/>
            </w:tcBorders>
            <w:vAlign w:val="center"/>
          </w:tcPr>
          <w:p w14:paraId="49889ABA">
            <w:pPr>
              <w:jc w:val="right"/>
            </w:pPr>
            <w:r>
              <w:t>15,688,760.45</w:t>
            </w:r>
          </w:p>
        </w:tc>
      </w:tr>
      <w:tr w14:paraId="4B6C1E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1F17A11">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流动资产合计</w:t>
            </w:r>
          </w:p>
        </w:tc>
        <w:tc>
          <w:tcPr>
            <w:tcW w:w="627" w:type="pct"/>
            <w:tcBorders>
              <w:top w:val="outset" w:color="auto" w:sz="6" w:space="0"/>
              <w:left w:val="outset" w:color="auto" w:sz="6" w:space="0"/>
              <w:bottom w:val="outset" w:color="auto" w:sz="6" w:space="0"/>
              <w:right w:val="outset" w:color="auto" w:sz="6" w:space="0"/>
            </w:tcBorders>
            <w:vAlign w:val="center"/>
          </w:tcPr>
          <w:p w14:paraId="27E4A177"/>
        </w:tc>
        <w:tc>
          <w:tcPr>
            <w:tcW w:w="1411" w:type="pct"/>
            <w:tcBorders>
              <w:top w:val="outset" w:color="auto" w:sz="6" w:space="0"/>
              <w:left w:val="outset" w:color="auto" w:sz="6" w:space="0"/>
              <w:bottom w:val="outset" w:color="auto" w:sz="6" w:space="0"/>
              <w:right w:val="outset" w:color="auto" w:sz="6" w:space="0"/>
            </w:tcBorders>
            <w:vAlign w:val="center"/>
          </w:tcPr>
          <w:p w14:paraId="09130A0F">
            <w:pPr>
              <w:jc w:val="right"/>
            </w:pPr>
            <w:r>
              <w:t>1,791,385,625.99</w:t>
            </w:r>
          </w:p>
        </w:tc>
        <w:tc>
          <w:tcPr>
            <w:tcW w:w="1333" w:type="pct"/>
            <w:tcBorders>
              <w:top w:val="outset" w:color="auto" w:sz="6" w:space="0"/>
              <w:left w:val="outset" w:color="auto" w:sz="6" w:space="0"/>
              <w:bottom w:val="outset" w:color="auto" w:sz="6" w:space="0"/>
              <w:right w:val="outset" w:color="auto" w:sz="6" w:space="0"/>
            </w:tcBorders>
            <w:vAlign w:val="center"/>
          </w:tcPr>
          <w:p w14:paraId="3A7591EE">
            <w:pPr>
              <w:jc w:val="right"/>
            </w:pPr>
            <w:r>
              <w:t>1,739,254,989.22</w:t>
            </w:r>
          </w:p>
        </w:tc>
      </w:tr>
      <w:tr w14:paraId="2E3CC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71f45ac7535d4ffeaa6273d6527bae0d"/>
            <w:id w:val="795799806"/>
          </w:sdtPr>
          <w:sdtContent>
            <w:tc>
              <w:tcPr>
                <w:tcW w:w="5000" w:type="pct"/>
                <w:gridSpan w:val="4"/>
                <w:tcBorders>
                  <w:top w:val="outset" w:color="auto" w:sz="6" w:space="0"/>
                  <w:left w:val="outset" w:color="auto" w:sz="6" w:space="0"/>
                  <w:bottom w:val="outset" w:color="auto" w:sz="6" w:space="0"/>
                  <w:right w:val="outset" w:color="auto" w:sz="6" w:space="0"/>
                </w:tcBorders>
                <w:vAlign w:val="center"/>
              </w:tcPr>
              <w:p w14:paraId="0DEBE855">
                <w:pPr>
                  <w:rPr>
                    <w:color w:val="000000" w:themeColor="text1"/>
                    <w14:textFill>
                      <w14:solidFill>
                        <w14:schemeClr w14:val="tx1"/>
                      </w14:solidFill>
                    </w14:textFill>
                  </w:rPr>
                </w:pPr>
                <w:r>
                  <w:rPr>
                    <w:rFonts w:hint="eastAsia"/>
                    <w:b/>
                    <w:color w:val="000000" w:themeColor="text1"/>
                    <w14:textFill>
                      <w14:solidFill>
                        <w14:schemeClr w14:val="tx1"/>
                      </w14:solidFill>
                    </w14:textFill>
                  </w:rPr>
                  <w:t>非流动资产：</w:t>
                </w:r>
              </w:p>
            </w:tc>
          </w:sdtContent>
        </w:sdt>
      </w:tr>
      <w:tr w14:paraId="6F1631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C3C986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债权投资</w:t>
            </w:r>
          </w:p>
        </w:tc>
        <w:tc>
          <w:tcPr>
            <w:tcW w:w="627" w:type="pct"/>
            <w:tcBorders>
              <w:top w:val="outset" w:color="auto" w:sz="6" w:space="0"/>
              <w:left w:val="outset" w:color="auto" w:sz="6" w:space="0"/>
              <w:bottom w:val="outset" w:color="auto" w:sz="6" w:space="0"/>
              <w:right w:val="outset" w:color="auto" w:sz="6" w:space="0"/>
            </w:tcBorders>
            <w:vAlign w:val="center"/>
          </w:tcPr>
          <w:p w14:paraId="6BB06C28"/>
        </w:tc>
        <w:tc>
          <w:tcPr>
            <w:tcW w:w="1411" w:type="pct"/>
            <w:tcBorders>
              <w:top w:val="outset" w:color="auto" w:sz="6" w:space="0"/>
              <w:left w:val="outset" w:color="auto" w:sz="6" w:space="0"/>
              <w:bottom w:val="outset" w:color="auto" w:sz="6" w:space="0"/>
              <w:right w:val="outset" w:color="auto" w:sz="6" w:space="0"/>
            </w:tcBorders>
            <w:vAlign w:val="center"/>
          </w:tcPr>
          <w:p w14:paraId="6A321D5C">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1F9D42BE">
            <w:pPr>
              <w:jc w:val="right"/>
            </w:pPr>
          </w:p>
        </w:tc>
      </w:tr>
      <w:tr w14:paraId="188F49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16ADBA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其他债权投资</w:t>
            </w:r>
          </w:p>
        </w:tc>
        <w:tc>
          <w:tcPr>
            <w:tcW w:w="627" w:type="pct"/>
            <w:tcBorders>
              <w:top w:val="outset" w:color="auto" w:sz="6" w:space="0"/>
              <w:left w:val="outset" w:color="auto" w:sz="6" w:space="0"/>
              <w:bottom w:val="outset" w:color="auto" w:sz="6" w:space="0"/>
              <w:right w:val="outset" w:color="auto" w:sz="6" w:space="0"/>
            </w:tcBorders>
            <w:vAlign w:val="center"/>
          </w:tcPr>
          <w:p w14:paraId="3B7A6DD0"/>
        </w:tc>
        <w:tc>
          <w:tcPr>
            <w:tcW w:w="1411" w:type="pct"/>
            <w:tcBorders>
              <w:top w:val="outset" w:color="auto" w:sz="6" w:space="0"/>
              <w:left w:val="outset" w:color="auto" w:sz="6" w:space="0"/>
              <w:bottom w:val="outset" w:color="auto" w:sz="6" w:space="0"/>
              <w:right w:val="outset" w:color="auto" w:sz="6" w:space="0"/>
            </w:tcBorders>
            <w:vAlign w:val="center"/>
          </w:tcPr>
          <w:p w14:paraId="62D3A8F7">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6D05F4DA">
            <w:pPr>
              <w:jc w:val="right"/>
            </w:pPr>
          </w:p>
        </w:tc>
      </w:tr>
      <w:tr w14:paraId="5A91E1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BFCF85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w:t>
            </w:r>
          </w:p>
        </w:tc>
        <w:tc>
          <w:tcPr>
            <w:tcW w:w="627" w:type="pct"/>
            <w:tcBorders>
              <w:top w:val="outset" w:color="auto" w:sz="6" w:space="0"/>
              <w:left w:val="outset" w:color="auto" w:sz="6" w:space="0"/>
              <w:bottom w:val="outset" w:color="auto" w:sz="6" w:space="0"/>
              <w:right w:val="outset" w:color="auto" w:sz="6" w:space="0"/>
            </w:tcBorders>
            <w:vAlign w:val="center"/>
          </w:tcPr>
          <w:p w14:paraId="42D0708F"/>
        </w:tc>
        <w:tc>
          <w:tcPr>
            <w:tcW w:w="1411" w:type="pct"/>
            <w:tcBorders>
              <w:top w:val="outset" w:color="auto" w:sz="6" w:space="0"/>
              <w:left w:val="outset" w:color="auto" w:sz="6" w:space="0"/>
              <w:bottom w:val="outset" w:color="auto" w:sz="6" w:space="0"/>
              <w:right w:val="outset" w:color="auto" w:sz="6" w:space="0"/>
            </w:tcBorders>
            <w:vAlign w:val="center"/>
          </w:tcPr>
          <w:p w14:paraId="517AEBF3">
            <w:pPr>
              <w:jc w:val="right"/>
            </w:pPr>
            <w:r>
              <w:t>4,600,000.00</w:t>
            </w:r>
          </w:p>
        </w:tc>
        <w:tc>
          <w:tcPr>
            <w:tcW w:w="1333" w:type="pct"/>
            <w:tcBorders>
              <w:top w:val="outset" w:color="auto" w:sz="6" w:space="0"/>
              <w:left w:val="outset" w:color="auto" w:sz="6" w:space="0"/>
              <w:bottom w:val="outset" w:color="auto" w:sz="6" w:space="0"/>
              <w:right w:val="outset" w:color="auto" w:sz="6" w:space="0"/>
            </w:tcBorders>
            <w:vAlign w:val="center"/>
          </w:tcPr>
          <w:p w14:paraId="73BAA67C">
            <w:pPr>
              <w:jc w:val="right"/>
            </w:pPr>
            <w:r>
              <w:t>3,100,000.00</w:t>
            </w:r>
          </w:p>
        </w:tc>
      </w:tr>
      <w:tr w14:paraId="6D71F4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98E629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长期股权投资</w:t>
            </w:r>
          </w:p>
        </w:tc>
        <w:tc>
          <w:tcPr>
            <w:tcW w:w="627" w:type="pct"/>
            <w:tcBorders>
              <w:top w:val="outset" w:color="auto" w:sz="6" w:space="0"/>
              <w:left w:val="outset" w:color="auto" w:sz="6" w:space="0"/>
              <w:bottom w:val="outset" w:color="auto" w:sz="6" w:space="0"/>
              <w:right w:val="outset" w:color="auto" w:sz="6" w:space="0"/>
            </w:tcBorders>
            <w:vAlign w:val="center"/>
          </w:tcPr>
          <w:p w14:paraId="5668D42E"/>
        </w:tc>
        <w:tc>
          <w:tcPr>
            <w:tcW w:w="1411" w:type="pct"/>
            <w:tcBorders>
              <w:top w:val="outset" w:color="auto" w:sz="6" w:space="0"/>
              <w:left w:val="outset" w:color="auto" w:sz="6" w:space="0"/>
              <w:bottom w:val="outset" w:color="auto" w:sz="6" w:space="0"/>
              <w:right w:val="outset" w:color="auto" w:sz="6" w:space="0"/>
            </w:tcBorders>
            <w:vAlign w:val="center"/>
          </w:tcPr>
          <w:p w14:paraId="0EA0D1B0">
            <w:pPr>
              <w:jc w:val="right"/>
            </w:pPr>
            <w:r>
              <w:t>726,954,471.96</w:t>
            </w:r>
          </w:p>
        </w:tc>
        <w:tc>
          <w:tcPr>
            <w:tcW w:w="1333" w:type="pct"/>
            <w:tcBorders>
              <w:top w:val="outset" w:color="auto" w:sz="6" w:space="0"/>
              <w:left w:val="outset" w:color="auto" w:sz="6" w:space="0"/>
              <w:bottom w:val="outset" w:color="auto" w:sz="6" w:space="0"/>
              <w:right w:val="outset" w:color="auto" w:sz="6" w:space="0"/>
            </w:tcBorders>
            <w:vAlign w:val="center"/>
          </w:tcPr>
          <w:p w14:paraId="4A9912C5">
            <w:pPr>
              <w:jc w:val="right"/>
            </w:pPr>
            <w:r>
              <w:t>711,954,471.96</w:t>
            </w:r>
          </w:p>
        </w:tc>
      </w:tr>
      <w:tr w14:paraId="45A0B8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7BD795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其他权益工具投资</w:t>
            </w:r>
          </w:p>
        </w:tc>
        <w:tc>
          <w:tcPr>
            <w:tcW w:w="627" w:type="pct"/>
            <w:tcBorders>
              <w:top w:val="outset" w:color="auto" w:sz="6" w:space="0"/>
              <w:left w:val="outset" w:color="auto" w:sz="6" w:space="0"/>
              <w:bottom w:val="outset" w:color="auto" w:sz="6" w:space="0"/>
              <w:right w:val="outset" w:color="auto" w:sz="6" w:space="0"/>
            </w:tcBorders>
            <w:vAlign w:val="center"/>
          </w:tcPr>
          <w:p w14:paraId="4AE3CF7F"/>
        </w:tc>
        <w:tc>
          <w:tcPr>
            <w:tcW w:w="1411" w:type="pct"/>
            <w:tcBorders>
              <w:top w:val="outset" w:color="auto" w:sz="6" w:space="0"/>
              <w:left w:val="outset" w:color="auto" w:sz="6" w:space="0"/>
              <w:bottom w:val="outset" w:color="auto" w:sz="6" w:space="0"/>
              <w:right w:val="outset" w:color="auto" w:sz="6" w:space="0"/>
            </w:tcBorders>
            <w:vAlign w:val="center"/>
          </w:tcPr>
          <w:p w14:paraId="209C2862">
            <w:pPr>
              <w:jc w:val="right"/>
            </w:pPr>
            <w:r>
              <w:t>186,947,832.70</w:t>
            </w:r>
          </w:p>
        </w:tc>
        <w:tc>
          <w:tcPr>
            <w:tcW w:w="1333" w:type="pct"/>
            <w:tcBorders>
              <w:top w:val="outset" w:color="auto" w:sz="6" w:space="0"/>
              <w:left w:val="outset" w:color="auto" w:sz="6" w:space="0"/>
              <w:bottom w:val="outset" w:color="auto" w:sz="6" w:space="0"/>
              <w:right w:val="outset" w:color="auto" w:sz="6" w:space="0"/>
            </w:tcBorders>
            <w:vAlign w:val="center"/>
          </w:tcPr>
          <w:p w14:paraId="21C60B00">
            <w:pPr>
              <w:jc w:val="right"/>
            </w:pPr>
            <w:r>
              <w:t>186,947,832.70</w:t>
            </w:r>
          </w:p>
        </w:tc>
      </w:tr>
      <w:tr w14:paraId="2912F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1E0190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其他非流动金融资产</w:t>
            </w:r>
          </w:p>
        </w:tc>
        <w:tc>
          <w:tcPr>
            <w:tcW w:w="627" w:type="pct"/>
            <w:tcBorders>
              <w:top w:val="outset" w:color="auto" w:sz="6" w:space="0"/>
              <w:left w:val="outset" w:color="auto" w:sz="6" w:space="0"/>
              <w:bottom w:val="outset" w:color="auto" w:sz="6" w:space="0"/>
              <w:right w:val="outset" w:color="auto" w:sz="6" w:space="0"/>
            </w:tcBorders>
            <w:vAlign w:val="center"/>
          </w:tcPr>
          <w:p w14:paraId="4D2BE95E"/>
        </w:tc>
        <w:tc>
          <w:tcPr>
            <w:tcW w:w="1411" w:type="pct"/>
            <w:tcBorders>
              <w:top w:val="outset" w:color="auto" w:sz="6" w:space="0"/>
              <w:left w:val="outset" w:color="auto" w:sz="6" w:space="0"/>
              <w:bottom w:val="outset" w:color="auto" w:sz="6" w:space="0"/>
              <w:right w:val="outset" w:color="auto" w:sz="6" w:space="0"/>
            </w:tcBorders>
            <w:vAlign w:val="center"/>
          </w:tcPr>
          <w:p w14:paraId="28A4A938">
            <w:pPr>
              <w:jc w:val="right"/>
            </w:pPr>
            <w:r>
              <w:t>1,188,672.25</w:t>
            </w:r>
          </w:p>
        </w:tc>
        <w:tc>
          <w:tcPr>
            <w:tcW w:w="1333" w:type="pct"/>
            <w:tcBorders>
              <w:top w:val="outset" w:color="auto" w:sz="6" w:space="0"/>
              <w:left w:val="outset" w:color="auto" w:sz="6" w:space="0"/>
              <w:bottom w:val="outset" w:color="auto" w:sz="6" w:space="0"/>
              <w:right w:val="outset" w:color="auto" w:sz="6" w:space="0"/>
            </w:tcBorders>
            <w:vAlign w:val="center"/>
          </w:tcPr>
          <w:p w14:paraId="4FFC9CAA">
            <w:pPr>
              <w:jc w:val="right"/>
            </w:pPr>
            <w:r>
              <w:t>1,906,940.35</w:t>
            </w:r>
          </w:p>
        </w:tc>
      </w:tr>
      <w:tr w14:paraId="2772DA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58CD634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投资性房地产</w:t>
            </w:r>
          </w:p>
        </w:tc>
        <w:tc>
          <w:tcPr>
            <w:tcW w:w="627" w:type="pct"/>
            <w:tcBorders>
              <w:top w:val="outset" w:color="auto" w:sz="6" w:space="0"/>
              <w:left w:val="outset" w:color="auto" w:sz="6" w:space="0"/>
              <w:bottom w:val="outset" w:color="auto" w:sz="6" w:space="0"/>
              <w:right w:val="outset" w:color="auto" w:sz="6" w:space="0"/>
            </w:tcBorders>
            <w:vAlign w:val="center"/>
          </w:tcPr>
          <w:p w14:paraId="5A66E1E0"/>
        </w:tc>
        <w:tc>
          <w:tcPr>
            <w:tcW w:w="1411" w:type="pct"/>
            <w:tcBorders>
              <w:top w:val="outset" w:color="auto" w:sz="6" w:space="0"/>
              <w:left w:val="outset" w:color="auto" w:sz="6" w:space="0"/>
              <w:bottom w:val="outset" w:color="auto" w:sz="6" w:space="0"/>
              <w:right w:val="outset" w:color="auto" w:sz="6" w:space="0"/>
            </w:tcBorders>
            <w:vAlign w:val="center"/>
          </w:tcPr>
          <w:p w14:paraId="37F43FF8">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3046CEA8">
            <w:pPr>
              <w:jc w:val="right"/>
            </w:pPr>
          </w:p>
        </w:tc>
      </w:tr>
      <w:tr w14:paraId="264993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C314CF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固定资产</w:t>
            </w:r>
          </w:p>
        </w:tc>
        <w:tc>
          <w:tcPr>
            <w:tcW w:w="627" w:type="pct"/>
            <w:tcBorders>
              <w:top w:val="outset" w:color="auto" w:sz="6" w:space="0"/>
              <w:left w:val="outset" w:color="auto" w:sz="6" w:space="0"/>
              <w:bottom w:val="outset" w:color="auto" w:sz="6" w:space="0"/>
              <w:right w:val="outset" w:color="auto" w:sz="6" w:space="0"/>
            </w:tcBorders>
            <w:vAlign w:val="center"/>
          </w:tcPr>
          <w:p w14:paraId="0A61F493"/>
        </w:tc>
        <w:tc>
          <w:tcPr>
            <w:tcW w:w="1411" w:type="pct"/>
            <w:tcBorders>
              <w:top w:val="outset" w:color="auto" w:sz="6" w:space="0"/>
              <w:left w:val="outset" w:color="auto" w:sz="6" w:space="0"/>
              <w:bottom w:val="outset" w:color="auto" w:sz="6" w:space="0"/>
              <w:right w:val="outset" w:color="auto" w:sz="6" w:space="0"/>
            </w:tcBorders>
            <w:vAlign w:val="center"/>
          </w:tcPr>
          <w:p w14:paraId="6AF06D43">
            <w:pPr>
              <w:jc w:val="right"/>
            </w:pPr>
            <w:r>
              <w:t>2,469,705,175.50</w:t>
            </w:r>
          </w:p>
        </w:tc>
        <w:tc>
          <w:tcPr>
            <w:tcW w:w="1333" w:type="pct"/>
            <w:tcBorders>
              <w:top w:val="outset" w:color="auto" w:sz="6" w:space="0"/>
              <w:left w:val="outset" w:color="auto" w:sz="6" w:space="0"/>
              <w:bottom w:val="outset" w:color="auto" w:sz="6" w:space="0"/>
              <w:right w:val="outset" w:color="auto" w:sz="6" w:space="0"/>
            </w:tcBorders>
            <w:vAlign w:val="center"/>
          </w:tcPr>
          <w:p w14:paraId="249C9695">
            <w:pPr>
              <w:jc w:val="right"/>
            </w:pPr>
            <w:r>
              <w:t>2,515,263,360.80</w:t>
            </w:r>
          </w:p>
        </w:tc>
      </w:tr>
      <w:tr w14:paraId="114405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FB3C4A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在建工程</w:t>
            </w:r>
          </w:p>
        </w:tc>
        <w:tc>
          <w:tcPr>
            <w:tcW w:w="627" w:type="pct"/>
            <w:tcBorders>
              <w:top w:val="outset" w:color="auto" w:sz="6" w:space="0"/>
              <w:left w:val="outset" w:color="auto" w:sz="6" w:space="0"/>
              <w:bottom w:val="outset" w:color="auto" w:sz="6" w:space="0"/>
              <w:right w:val="outset" w:color="auto" w:sz="6" w:space="0"/>
            </w:tcBorders>
            <w:vAlign w:val="center"/>
          </w:tcPr>
          <w:p w14:paraId="5E8CA604"/>
        </w:tc>
        <w:tc>
          <w:tcPr>
            <w:tcW w:w="1411" w:type="pct"/>
            <w:tcBorders>
              <w:top w:val="outset" w:color="auto" w:sz="6" w:space="0"/>
              <w:left w:val="outset" w:color="auto" w:sz="6" w:space="0"/>
              <w:bottom w:val="outset" w:color="auto" w:sz="6" w:space="0"/>
              <w:right w:val="outset" w:color="auto" w:sz="6" w:space="0"/>
            </w:tcBorders>
            <w:vAlign w:val="center"/>
          </w:tcPr>
          <w:p w14:paraId="54C9D5D2">
            <w:pPr>
              <w:jc w:val="right"/>
            </w:pPr>
            <w:r>
              <w:t>1,752,499.64</w:t>
            </w:r>
          </w:p>
        </w:tc>
        <w:tc>
          <w:tcPr>
            <w:tcW w:w="1333" w:type="pct"/>
            <w:tcBorders>
              <w:top w:val="outset" w:color="auto" w:sz="6" w:space="0"/>
              <w:left w:val="outset" w:color="auto" w:sz="6" w:space="0"/>
              <w:bottom w:val="outset" w:color="auto" w:sz="6" w:space="0"/>
              <w:right w:val="outset" w:color="auto" w:sz="6" w:space="0"/>
            </w:tcBorders>
            <w:vAlign w:val="center"/>
          </w:tcPr>
          <w:p w14:paraId="5E1CC87B">
            <w:pPr>
              <w:jc w:val="right"/>
            </w:pPr>
            <w:r>
              <w:t>888,448.00</w:t>
            </w:r>
          </w:p>
        </w:tc>
      </w:tr>
      <w:tr w14:paraId="7EB38C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99F719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生产性生物资产</w:t>
            </w:r>
          </w:p>
        </w:tc>
        <w:tc>
          <w:tcPr>
            <w:tcW w:w="627" w:type="pct"/>
            <w:tcBorders>
              <w:top w:val="outset" w:color="auto" w:sz="6" w:space="0"/>
              <w:left w:val="outset" w:color="auto" w:sz="6" w:space="0"/>
              <w:bottom w:val="outset" w:color="auto" w:sz="6" w:space="0"/>
              <w:right w:val="outset" w:color="auto" w:sz="6" w:space="0"/>
            </w:tcBorders>
            <w:vAlign w:val="center"/>
          </w:tcPr>
          <w:p w14:paraId="74D6CD08"/>
        </w:tc>
        <w:tc>
          <w:tcPr>
            <w:tcW w:w="1411" w:type="pct"/>
            <w:tcBorders>
              <w:top w:val="outset" w:color="auto" w:sz="6" w:space="0"/>
              <w:left w:val="outset" w:color="auto" w:sz="6" w:space="0"/>
              <w:bottom w:val="outset" w:color="auto" w:sz="6" w:space="0"/>
              <w:right w:val="outset" w:color="auto" w:sz="6" w:space="0"/>
            </w:tcBorders>
            <w:vAlign w:val="center"/>
          </w:tcPr>
          <w:p w14:paraId="6F8497E0">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4CC362D6">
            <w:pPr>
              <w:jc w:val="right"/>
            </w:pPr>
          </w:p>
        </w:tc>
      </w:tr>
      <w:tr w14:paraId="13E191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91B2B29">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油气资产</w:t>
            </w:r>
          </w:p>
        </w:tc>
        <w:tc>
          <w:tcPr>
            <w:tcW w:w="627" w:type="pct"/>
            <w:tcBorders>
              <w:top w:val="outset" w:color="auto" w:sz="6" w:space="0"/>
              <w:left w:val="outset" w:color="auto" w:sz="6" w:space="0"/>
              <w:bottom w:val="outset" w:color="auto" w:sz="6" w:space="0"/>
              <w:right w:val="outset" w:color="auto" w:sz="6" w:space="0"/>
            </w:tcBorders>
            <w:vAlign w:val="center"/>
          </w:tcPr>
          <w:p w14:paraId="3253AA06"/>
        </w:tc>
        <w:tc>
          <w:tcPr>
            <w:tcW w:w="1411" w:type="pct"/>
            <w:tcBorders>
              <w:top w:val="outset" w:color="auto" w:sz="6" w:space="0"/>
              <w:left w:val="outset" w:color="auto" w:sz="6" w:space="0"/>
              <w:bottom w:val="outset" w:color="auto" w:sz="6" w:space="0"/>
              <w:right w:val="outset" w:color="auto" w:sz="6" w:space="0"/>
            </w:tcBorders>
            <w:vAlign w:val="center"/>
          </w:tcPr>
          <w:p w14:paraId="4EAE71C2">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154F078E">
            <w:pPr>
              <w:jc w:val="right"/>
            </w:pPr>
          </w:p>
        </w:tc>
      </w:tr>
      <w:tr w14:paraId="5796CE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F98B1B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使用权资产</w:t>
            </w:r>
          </w:p>
        </w:tc>
        <w:tc>
          <w:tcPr>
            <w:tcW w:w="627" w:type="pct"/>
            <w:tcBorders>
              <w:top w:val="outset" w:color="auto" w:sz="6" w:space="0"/>
              <w:left w:val="outset" w:color="auto" w:sz="6" w:space="0"/>
              <w:bottom w:val="outset" w:color="auto" w:sz="6" w:space="0"/>
              <w:right w:val="outset" w:color="auto" w:sz="6" w:space="0"/>
            </w:tcBorders>
            <w:vAlign w:val="center"/>
          </w:tcPr>
          <w:p w14:paraId="2FE5E8B6"/>
        </w:tc>
        <w:tc>
          <w:tcPr>
            <w:tcW w:w="1411" w:type="pct"/>
            <w:tcBorders>
              <w:top w:val="outset" w:color="auto" w:sz="6" w:space="0"/>
              <w:left w:val="outset" w:color="auto" w:sz="6" w:space="0"/>
              <w:bottom w:val="outset" w:color="auto" w:sz="6" w:space="0"/>
              <w:right w:val="outset" w:color="auto" w:sz="6" w:space="0"/>
            </w:tcBorders>
            <w:vAlign w:val="center"/>
          </w:tcPr>
          <w:p w14:paraId="221D48F0">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5883E937">
            <w:pPr>
              <w:jc w:val="right"/>
            </w:pPr>
          </w:p>
        </w:tc>
      </w:tr>
      <w:tr w14:paraId="0D94A9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F7CF77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无形资产</w:t>
            </w:r>
          </w:p>
        </w:tc>
        <w:tc>
          <w:tcPr>
            <w:tcW w:w="627" w:type="pct"/>
            <w:tcBorders>
              <w:top w:val="outset" w:color="auto" w:sz="6" w:space="0"/>
              <w:left w:val="outset" w:color="auto" w:sz="6" w:space="0"/>
              <w:bottom w:val="outset" w:color="auto" w:sz="6" w:space="0"/>
              <w:right w:val="outset" w:color="auto" w:sz="6" w:space="0"/>
            </w:tcBorders>
            <w:vAlign w:val="center"/>
          </w:tcPr>
          <w:p w14:paraId="082D75F5"/>
        </w:tc>
        <w:tc>
          <w:tcPr>
            <w:tcW w:w="1411" w:type="pct"/>
            <w:tcBorders>
              <w:top w:val="outset" w:color="auto" w:sz="6" w:space="0"/>
              <w:left w:val="outset" w:color="auto" w:sz="6" w:space="0"/>
              <w:bottom w:val="outset" w:color="auto" w:sz="6" w:space="0"/>
              <w:right w:val="outset" w:color="auto" w:sz="6" w:space="0"/>
            </w:tcBorders>
            <w:vAlign w:val="center"/>
          </w:tcPr>
          <w:p w14:paraId="5312EB8E">
            <w:pPr>
              <w:jc w:val="right"/>
            </w:pPr>
            <w:r>
              <w:t>1,300,873,827.64</w:t>
            </w:r>
          </w:p>
        </w:tc>
        <w:tc>
          <w:tcPr>
            <w:tcW w:w="1333" w:type="pct"/>
            <w:tcBorders>
              <w:top w:val="outset" w:color="auto" w:sz="6" w:space="0"/>
              <w:left w:val="outset" w:color="auto" w:sz="6" w:space="0"/>
              <w:bottom w:val="outset" w:color="auto" w:sz="6" w:space="0"/>
              <w:right w:val="outset" w:color="auto" w:sz="6" w:space="0"/>
            </w:tcBorders>
            <w:vAlign w:val="center"/>
          </w:tcPr>
          <w:p w14:paraId="17E37F3B">
            <w:pPr>
              <w:jc w:val="right"/>
            </w:pPr>
            <w:r>
              <w:t>1,114,843,176.01</w:t>
            </w:r>
          </w:p>
        </w:tc>
      </w:tr>
      <w:tr w14:paraId="3CB820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B313D3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其中：数据资源</w:t>
            </w:r>
          </w:p>
        </w:tc>
        <w:tc>
          <w:tcPr>
            <w:tcW w:w="627" w:type="pct"/>
            <w:tcBorders>
              <w:top w:val="outset" w:color="auto" w:sz="6" w:space="0"/>
              <w:left w:val="outset" w:color="auto" w:sz="6" w:space="0"/>
              <w:bottom w:val="outset" w:color="auto" w:sz="6" w:space="0"/>
              <w:right w:val="outset" w:color="auto" w:sz="6" w:space="0"/>
            </w:tcBorders>
            <w:vAlign w:val="center"/>
          </w:tcPr>
          <w:p w14:paraId="4B05E27C"/>
        </w:tc>
        <w:tc>
          <w:tcPr>
            <w:tcW w:w="1411" w:type="pct"/>
            <w:tcBorders>
              <w:top w:val="outset" w:color="auto" w:sz="6" w:space="0"/>
              <w:left w:val="outset" w:color="auto" w:sz="6" w:space="0"/>
              <w:bottom w:val="outset" w:color="auto" w:sz="6" w:space="0"/>
              <w:right w:val="outset" w:color="auto" w:sz="6" w:space="0"/>
            </w:tcBorders>
            <w:vAlign w:val="center"/>
          </w:tcPr>
          <w:p w14:paraId="3BCE8CC8">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7DFBB769">
            <w:pPr>
              <w:jc w:val="right"/>
            </w:pPr>
          </w:p>
        </w:tc>
      </w:tr>
      <w:tr w14:paraId="106F6C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EC08AA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开发支出</w:t>
            </w:r>
          </w:p>
        </w:tc>
        <w:tc>
          <w:tcPr>
            <w:tcW w:w="627" w:type="pct"/>
            <w:tcBorders>
              <w:top w:val="outset" w:color="auto" w:sz="6" w:space="0"/>
              <w:left w:val="outset" w:color="auto" w:sz="6" w:space="0"/>
              <w:bottom w:val="outset" w:color="auto" w:sz="6" w:space="0"/>
              <w:right w:val="outset" w:color="auto" w:sz="6" w:space="0"/>
            </w:tcBorders>
            <w:vAlign w:val="center"/>
          </w:tcPr>
          <w:p w14:paraId="3B940415"/>
        </w:tc>
        <w:tc>
          <w:tcPr>
            <w:tcW w:w="1411" w:type="pct"/>
            <w:tcBorders>
              <w:top w:val="outset" w:color="auto" w:sz="6" w:space="0"/>
              <w:left w:val="outset" w:color="auto" w:sz="6" w:space="0"/>
              <w:bottom w:val="outset" w:color="auto" w:sz="6" w:space="0"/>
              <w:right w:val="outset" w:color="auto" w:sz="6" w:space="0"/>
            </w:tcBorders>
            <w:vAlign w:val="center"/>
          </w:tcPr>
          <w:p w14:paraId="386D642F">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57A92EA6">
            <w:pPr>
              <w:jc w:val="right"/>
            </w:pPr>
          </w:p>
        </w:tc>
      </w:tr>
      <w:tr w14:paraId="650EE1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D9E539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其中：数据资源</w:t>
            </w:r>
          </w:p>
        </w:tc>
        <w:tc>
          <w:tcPr>
            <w:tcW w:w="627" w:type="pct"/>
            <w:tcBorders>
              <w:top w:val="outset" w:color="auto" w:sz="6" w:space="0"/>
              <w:left w:val="outset" w:color="auto" w:sz="6" w:space="0"/>
              <w:bottom w:val="outset" w:color="auto" w:sz="6" w:space="0"/>
              <w:right w:val="outset" w:color="auto" w:sz="6" w:space="0"/>
            </w:tcBorders>
            <w:vAlign w:val="center"/>
          </w:tcPr>
          <w:p w14:paraId="5DF93C64"/>
        </w:tc>
        <w:tc>
          <w:tcPr>
            <w:tcW w:w="1411" w:type="pct"/>
            <w:tcBorders>
              <w:top w:val="outset" w:color="auto" w:sz="6" w:space="0"/>
              <w:left w:val="outset" w:color="auto" w:sz="6" w:space="0"/>
              <w:bottom w:val="outset" w:color="auto" w:sz="6" w:space="0"/>
              <w:right w:val="outset" w:color="auto" w:sz="6" w:space="0"/>
            </w:tcBorders>
            <w:vAlign w:val="center"/>
          </w:tcPr>
          <w:p w14:paraId="3D8EAA2F">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2523AF75">
            <w:pPr>
              <w:jc w:val="right"/>
            </w:pPr>
          </w:p>
        </w:tc>
      </w:tr>
      <w:tr w14:paraId="42BEE6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6FE8424">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商誉</w:t>
            </w:r>
          </w:p>
        </w:tc>
        <w:tc>
          <w:tcPr>
            <w:tcW w:w="627" w:type="pct"/>
            <w:tcBorders>
              <w:top w:val="outset" w:color="auto" w:sz="6" w:space="0"/>
              <w:left w:val="outset" w:color="auto" w:sz="6" w:space="0"/>
              <w:bottom w:val="outset" w:color="auto" w:sz="6" w:space="0"/>
              <w:right w:val="outset" w:color="auto" w:sz="6" w:space="0"/>
            </w:tcBorders>
            <w:vAlign w:val="center"/>
          </w:tcPr>
          <w:p w14:paraId="6D200549"/>
        </w:tc>
        <w:tc>
          <w:tcPr>
            <w:tcW w:w="1411" w:type="pct"/>
            <w:tcBorders>
              <w:top w:val="outset" w:color="auto" w:sz="6" w:space="0"/>
              <w:left w:val="outset" w:color="auto" w:sz="6" w:space="0"/>
              <w:bottom w:val="outset" w:color="auto" w:sz="6" w:space="0"/>
              <w:right w:val="outset" w:color="auto" w:sz="6" w:space="0"/>
            </w:tcBorders>
            <w:vAlign w:val="center"/>
          </w:tcPr>
          <w:p w14:paraId="0077A1CE">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08871F0D">
            <w:pPr>
              <w:jc w:val="right"/>
            </w:pPr>
          </w:p>
        </w:tc>
      </w:tr>
      <w:tr w14:paraId="24217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0A08B3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长期待摊费用</w:t>
            </w:r>
          </w:p>
        </w:tc>
        <w:tc>
          <w:tcPr>
            <w:tcW w:w="627" w:type="pct"/>
            <w:tcBorders>
              <w:top w:val="outset" w:color="auto" w:sz="6" w:space="0"/>
              <w:left w:val="outset" w:color="auto" w:sz="6" w:space="0"/>
              <w:bottom w:val="outset" w:color="auto" w:sz="6" w:space="0"/>
              <w:right w:val="outset" w:color="auto" w:sz="6" w:space="0"/>
            </w:tcBorders>
            <w:vAlign w:val="center"/>
          </w:tcPr>
          <w:p w14:paraId="1A0A0EEF"/>
        </w:tc>
        <w:tc>
          <w:tcPr>
            <w:tcW w:w="1411" w:type="pct"/>
            <w:tcBorders>
              <w:top w:val="outset" w:color="auto" w:sz="6" w:space="0"/>
              <w:left w:val="outset" w:color="auto" w:sz="6" w:space="0"/>
              <w:bottom w:val="outset" w:color="auto" w:sz="6" w:space="0"/>
              <w:right w:val="outset" w:color="auto" w:sz="6" w:space="0"/>
            </w:tcBorders>
            <w:vAlign w:val="center"/>
          </w:tcPr>
          <w:p w14:paraId="0EEB98A8">
            <w:pPr>
              <w:jc w:val="right"/>
            </w:pPr>
            <w:r>
              <w:t>437,024,917.43</w:t>
            </w:r>
          </w:p>
        </w:tc>
        <w:tc>
          <w:tcPr>
            <w:tcW w:w="1333" w:type="pct"/>
            <w:tcBorders>
              <w:top w:val="outset" w:color="auto" w:sz="6" w:space="0"/>
              <w:left w:val="outset" w:color="auto" w:sz="6" w:space="0"/>
              <w:bottom w:val="outset" w:color="auto" w:sz="6" w:space="0"/>
              <w:right w:val="outset" w:color="auto" w:sz="6" w:space="0"/>
            </w:tcBorders>
            <w:vAlign w:val="center"/>
          </w:tcPr>
          <w:p w14:paraId="7F4C107C">
            <w:pPr>
              <w:jc w:val="right"/>
            </w:pPr>
            <w:r>
              <w:t>459,042,427.45</w:t>
            </w:r>
          </w:p>
        </w:tc>
      </w:tr>
      <w:tr w14:paraId="56A993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23B82B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递延所得税资产</w:t>
            </w:r>
          </w:p>
        </w:tc>
        <w:tc>
          <w:tcPr>
            <w:tcW w:w="627" w:type="pct"/>
            <w:tcBorders>
              <w:top w:val="outset" w:color="auto" w:sz="6" w:space="0"/>
              <w:left w:val="outset" w:color="auto" w:sz="6" w:space="0"/>
              <w:bottom w:val="outset" w:color="auto" w:sz="6" w:space="0"/>
              <w:right w:val="outset" w:color="auto" w:sz="6" w:space="0"/>
            </w:tcBorders>
            <w:vAlign w:val="center"/>
          </w:tcPr>
          <w:p w14:paraId="3012A051"/>
        </w:tc>
        <w:tc>
          <w:tcPr>
            <w:tcW w:w="1411" w:type="pct"/>
            <w:tcBorders>
              <w:top w:val="outset" w:color="auto" w:sz="6" w:space="0"/>
              <w:left w:val="outset" w:color="auto" w:sz="6" w:space="0"/>
              <w:bottom w:val="outset" w:color="auto" w:sz="6" w:space="0"/>
              <w:right w:val="outset" w:color="auto" w:sz="6" w:space="0"/>
            </w:tcBorders>
            <w:vAlign w:val="center"/>
          </w:tcPr>
          <w:p w14:paraId="559D043D">
            <w:pPr>
              <w:jc w:val="right"/>
            </w:pPr>
            <w:r>
              <w:t>2,446,045.09</w:t>
            </w:r>
          </w:p>
        </w:tc>
        <w:tc>
          <w:tcPr>
            <w:tcW w:w="1333" w:type="pct"/>
            <w:tcBorders>
              <w:top w:val="outset" w:color="auto" w:sz="6" w:space="0"/>
              <w:left w:val="outset" w:color="auto" w:sz="6" w:space="0"/>
              <w:bottom w:val="outset" w:color="auto" w:sz="6" w:space="0"/>
              <w:right w:val="outset" w:color="auto" w:sz="6" w:space="0"/>
            </w:tcBorders>
            <w:vAlign w:val="center"/>
          </w:tcPr>
          <w:p w14:paraId="03B87693">
            <w:pPr>
              <w:jc w:val="right"/>
            </w:pPr>
            <w:r>
              <w:t>2,446,045.09</w:t>
            </w:r>
          </w:p>
        </w:tc>
      </w:tr>
      <w:tr w14:paraId="7367F3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2974A34">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其他非流动资产</w:t>
            </w:r>
          </w:p>
        </w:tc>
        <w:tc>
          <w:tcPr>
            <w:tcW w:w="627" w:type="pct"/>
            <w:tcBorders>
              <w:top w:val="outset" w:color="auto" w:sz="6" w:space="0"/>
              <w:left w:val="outset" w:color="auto" w:sz="6" w:space="0"/>
              <w:bottom w:val="outset" w:color="auto" w:sz="6" w:space="0"/>
              <w:right w:val="outset" w:color="auto" w:sz="6" w:space="0"/>
            </w:tcBorders>
            <w:vAlign w:val="center"/>
          </w:tcPr>
          <w:p w14:paraId="410691F8"/>
        </w:tc>
        <w:tc>
          <w:tcPr>
            <w:tcW w:w="1411" w:type="pct"/>
            <w:tcBorders>
              <w:top w:val="outset" w:color="auto" w:sz="6" w:space="0"/>
              <w:left w:val="outset" w:color="auto" w:sz="6" w:space="0"/>
              <w:bottom w:val="outset" w:color="auto" w:sz="6" w:space="0"/>
              <w:right w:val="outset" w:color="auto" w:sz="6" w:space="0"/>
            </w:tcBorders>
            <w:vAlign w:val="center"/>
          </w:tcPr>
          <w:p w14:paraId="341AB235">
            <w:pPr>
              <w:jc w:val="right"/>
            </w:pPr>
            <w:r>
              <w:t>1,768,761.35</w:t>
            </w:r>
          </w:p>
        </w:tc>
        <w:tc>
          <w:tcPr>
            <w:tcW w:w="1333" w:type="pct"/>
            <w:tcBorders>
              <w:top w:val="outset" w:color="auto" w:sz="6" w:space="0"/>
              <w:left w:val="outset" w:color="auto" w:sz="6" w:space="0"/>
              <w:bottom w:val="outset" w:color="auto" w:sz="6" w:space="0"/>
              <w:right w:val="outset" w:color="auto" w:sz="6" w:space="0"/>
            </w:tcBorders>
            <w:vAlign w:val="center"/>
          </w:tcPr>
          <w:p w14:paraId="7F33704B">
            <w:pPr>
              <w:jc w:val="right"/>
            </w:pPr>
            <w:r>
              <w:t>67,612,473.69</w:t>
            </w:r>
          </w:p>
        </w:tc>
      </w:tr>
      <w:tr w14:paraId="161956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5FBBBDD">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非流动资产合计</w:t>
            </w:r>
          </w:p>
        </w:tc>
        <w:tc>
          <w:tcPr>
            <w:tcW w:w="627" w:type="pct"/>
            <w:tcBorders>
              <w:top w:val="outset" w:color="auto" w:sz="6" w:space="0"/>
              <w:left w:val="outset" w:color="auto" w:sz="6" w:space="0"/>
              <w:bottom w:val="outset" w:color="auto" w:sz="6" w:space="0"/>
              <w:right w:val="outset" w:color="auto" w:sz="6" w:space="0"/>
            </w:tcBorders>
            <w:vAlign w:val="center"/>
          </w:tcPr>
          <w:p w14:paraId="5562F7E8"/>
        </w:tc>
        <w:tc>
          <w:tcPr>
            <w:tcW w:w="1411" w:type="pct"/>
            <w:tcBorders>
              <w:top w:val="outset" w:color="auto" w:sz="6" w:space="0"/>
              <w:left w:val="outset" w:color="auto" w:sz="6" w:space="0"/>
              <w:bottom w:val="outset" w:color="auto" w:sz="6" w:space="0"/>
              <w:right w:val="outset" w:color="auto" w:sz="6" w:space="0"/>
            </w:tcBorders>
            <w:vAlign w:val="center"/>
          </w:tcPr>
          <w:p w14:paraId="50CD6B67">
            <w:pPr>
              <w:jc w:val="right"/>
            </w:pPr>
            <w:r>
              <w:t>5,133,262,203.56</w:t>
            </w:r>
          </w:p>
        </w:tc>
        <w:tc>
          <w:tcPr>
            <w:tcW w:w="1333" w:type="pct"/>
            <w:tcBorders>
              <w:top w:val="outset" w:color="auto" w:sz="6" w:space="0"/>
              <w:left w:val="outset" w:color="auto" w:sz="6" w:space="0"/>
              <w:bottom w:val="outset" w:color="auto" w:sz="6" w:space="0"/>
              <w:right w:val="outset" w:color="auto" w:sz="6" w:space="0"/>
            </w:tcBorders>
            <w:vAlign w:val="center"/>
          </w:tcPr>
          <w:p w14:paraId="739E2C60">
            <w:pPr>
              <w:jc w:val="right"/>
            </w:pPr>
            <w:r>
              <w:t>5,064,005,176.05</w:t>
            </w:r>
          </w:p>
        </w:tc>
      </w:tr>
      <w:tr w14:paraId="715AB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519A2C1">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资产总计</w:t>
            </w:r>
          </w:p>
        </w:tc>
        <w:tc>
          <w:tcPr>
            <w:tcW w:w="627" w:type="pct"/>
            <w:tcBorders>
              <w:top w:val="outset" w:color="auto" w:sz="6" w:space="0"/>
              <w:left w:val="outset" w:color="auto" w:sz="6" w:space="0"/>
              <w:bottom w:val="outset" w:color="auto" w:sz="6" w:space="0"/>
              <w:right w:val="outset" w:color="auto" w:sz="6" w:space="0"/>
            </w:tcBorders>
            <w:vAlign w:val="center"/>
          </w:tcPr>
          <w:p w14:paraId="2385AFEA"/>
        </w:tc>
        <w:tc>
          <w:tcPr>
            <w:tcW w:w="1411" w:type="pct"/>
            <w:tcBorders>
              <w:top w:val="outset" w:color="auto" w:sz="6" w:space="0"/>
              <w:left w:val="outset" w:color="auto" w:sz="6" w:space="0"/>
              <w:bottom w:val="outset" w:color="auto" w:sz="6" w:space="0"/>
              <w:right w:val="outset" w:color="auto" w:sz="6" w:space="0"/>
            </w:tcBorders>
            <w:vAlign w:val="center"/>
          </w:tcPr>
          <w:p w14:paraId="5ABA69C4">
            <w:pPr>
              <w:jc w:val="right"/>
            </w:pPr>
            <w:r>
              <w:t>6,924,647,829.55</w:t>
            </w:r>
          </w:p>
        </w:tc>
        <w:tc>
          <w:tcPr>
            <w:tcW w:w="1333" w:type="pct"/>
            <w:tcBorders>
              <w:top w:val="outset" w:color="auto" w:sz="6" w:space="0"/>
              <w:left w:val="outset" w:color="auto" w:sz="6" w:space="0"/>
              <w:bottom w:val="outset" w:color="auto" w:sz="6" w:space="0"/>
              <w:right w:val="outset" w:color="auto" w:sz="6" w:space="0"/>
            </w:tcBorders>
            <w:vAlign w:val="center"/>
          </w:tcPr>
          <w:p w14:paraId="3C78622A">
            <w:pPr>
              <w:jc w:val="right"/>
            </w:pPr>
            <w:r>
              <w:t>6,803,260,165.27</w:t>
            </w:r>
          </w:p>
        </w:tc>
      </w:tr>
      <w:tr w14:paraId="4A75E4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sdt>
          <w:sdtPr>
            <w:tag w:val="_PLD_380943e088034c15ad8af33927d58d1b"/>
            <w:id w:val="-1316258116"/>
          </w:sdtPr>
          <w:sdtContent>
            <w:tc>
              <w:tcPr>
                <w:tcW w:w="5000" w:type="pct"/>
                <w:gridSpan w:val="4"/>
                <w:tcBorders>
                  <w:top w:val="outset" w:color="auto" w:sz="6" w:space="0"/>
                  <w:left w:val="outset" w:color="auto" w:sz="6" w:space="0"/>
                  <w:bottom w:val="outset" w:color="auto" w:sz="6" w:space="0"/>
                  <w:right w:val="outset" w:color="auto" w:sz="6" w:space="0"/>
                </w:tcBorders>
                <w:vAlign w:val="center"/>
              </w:tcPr>
              <w:p w14:paraId="401A427F">
                <w:pPr>
                  <w:rPr>
                    <w:color w:val="000000" w:themeColor="text1"/>
                    <w14:textFill>
                      <w14:solidFill>
                        <w14:schemeClr w14:val="tx1"/>
                      </w14:solidFill>
                    </w14:textFill>
                  </w:rPr>
                </w:pPr>
                <w:r>
                  <w:rPr>
                    <w:rFonts w:hint="eastAsia"/>
                    <w:b/>
                    <w:color w:val="000000" w:themeColor="text1"/>
                    <w14:textFill>
                      <w14:solidFill>
                        <w14:schemeClr w14:val="tx1"/>
                      </w14:solidFill>
                    </w14:textFill>
                  </w:rPr>
                  <w:t>流动负债：</w:t>
                </w:r>
              </w:p>
            </w:tc>
          </w:sdtContent>
        </w:sdt>
      </w:tr>
      <w:tr w14:paraId="47DFA7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7DDC7F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短期借款</w:t>
            </w:r>
          </w:p>
        </w:tc>
        <w:tc>
          <w:tcPr>
            <w:tcW w:w="627" w:type="pct"/>
            <w:tcBorders>
              <w:top w:val="outset" w:color="auto" w:sz="6" w:space="0"/>
              <w:left w:val="outset" w:color="auto" w:sz="6" w:space="0"/>
              <w:bottom w:val="outset" w:color="auto" w:sz="6" w:space="0"/>
              <w:right w:val="outset" w:color="auto" w:sz="6" w:space="0"/>
            </w:tcBorders>
            <w:vAlign w:val="center"/>
          </w:tcPr>
          <w:p w14:paraId="024D790C"/>
        </w:tc>
        <w:tc>
          <w:tcPr>
            <w:tcW w:w="1411" w:type="pct"/>
            <w:tcBorders>
              <w:top w:val="outset" w:color="auto" w:sz="6" w:space="0"/>
              <w:left w:val="outset" w:color="auto" w:sz="6" w:space="0"/>
              <w:bottom w:val="outset" w:color="auto" w:sz="6" w:space="0"/>
              <w:right w:val="outset" w:color="auto" w:sz="6" w:space="0"/>
            </w:tcBorders>
            <w:vAlign w:val="center"/>
          </w:tcPr>
          <w:p w14:paraId="71296FD0">
            <w:pPr>
              <w:jc w:val="right"/>
            </w:pPr>
            <w:r>
              <w:t>1,980,843,697.07</w:t>
            </w:r>
          </w:p>
        </w:tc>
        <w:tc>
          <w:tcPr>
            <w:tcW w:w="1333" w:type="pct"/>
            <w:tcBorders>
              <w:top w:val="outset" w:color="auto" w:sz="6" w:space="0"/>
              <w:left w:val="outset" w:color="auto" w:sz="6" w:space="0"/>
              <w:bottom w:val="outset" w:color="auto" w:sz="6" w:space="0"/>
              <w:right w:val="outset" w:color="auto" w:sz="6" w:space="0"/>
            </w:tcBorders>
            <w:vAlign w:val="center"/>
          </w:tcPr>
          <w:p w14:paraId="5DB37014">
            <w:pPr>
              <w:jc w:val="right"/>
            </w:pPr>
            <w:r>
              <w:t>1,948,407,916.42</w:t>
            </w:r>
          </w:p>
        </w:tc>
      </w:tr>
      <w:tr w14:paraId="4BECC7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A1F2E7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交易性金融负债</w:t>
            </w:r>
          </w:p>
        </w:tc>
        <w:tc>
          <w:tcPr>
            <w:tcW w:w="627" w:type="pct"/>
            <w:tcBorders>
              <w:top w:val="outset" w:color="auto" w:sz="6" w:space="0"/>
              <w:left w:val="outset" w:color="auto" w:sz="6" w:space="0"/>
              <w:bottom w:val="outset" w:color="auto" w:sz="6" w:space="0"/>
              <w:right w:val="outset" w:color="auto" w:sz="6" w:space="0"/>
            </w:tcBorders>
            <w:vAlign w:val="center"/>
          </w:tcPr>
          <w:p w14:paraId="49476A1F"/>
        </w:tc>
        <w:tc>
          <w:tcPr>
            <w:tcW w:w="1411" w:type="pct"/>
            <w:tcBorders>
              <w:top w:val="outset" w:color="auto" w:sz="6" w:space="0"/>
              <w:left w:val="outset" w:color="auto" w:sz="6" w:space="0"/>
              <w:bottom w:val="outset" w:color="auto" w:sz="6" w:space="0"/>
              <w:right w:val="outset" w:color="auto" w:sz="6" w:space="0"/>
            </w:tcBorders>
            <w:vAlign w:val="center"/>
          </w:tcPr>
          <w:p w14:paraId="53BEF2A4">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5F6F4D13">
            <w:pPr>
              <w:jc w:val="right"/>
            </w:pPr>
          </w:p>
        </w:tc>
      </w:tr>
      <w:tr w14:paraId="4A23CC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629" w:type="pct"/>
            <w:tcBorders>
              <w:top w:val="outset" w:color="auto" w:sz="6" w:space="0"/>
              <w:left w:val="outset" w:color="auto" w:sz="6" w:space="0"/>
              <w:bottom w:val="outset" w:color="auto" w:sz="6" w:space="0"/>
              <w:right w:val="outset" w:color="auto" w:sz="6" w:space="0"/>
            </w:tcBorders>
            <w:vAlign w:val="center"/>
          </w:tcPr>
          <w:p w14:paraId="55AA19F9">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衍生金融负债</w:t>
            </w:r>
          </w:p>
        </w:tc>
        <w:tc>
          <w:tcPr>
            <w:tcW w:w="627" w:type="pct"/>
            <w:tcBorders>
              <w:top w:val="outset" w:color="auto" w:sz="6" w:space="0"/>
              <w:left w:val="outset" w:color="auto" w:sz="6" w:space="0"/>
              <w:bottom w:val="outset" w:color="auto" w:sz="6" w:space="0"/>
              <w:right w:val="outset" w:color="auto" w:sz="6" w:space="0"/>
            </w:tcBorders>
            <w:vAlign w:val="center"/>
          </w:tcPr>
          <w:p w14:paraId="79B34CB4"/>
        </w:tc>
        <w:tc>
          <w:tcPr>
            <w:tcW w:w="1411" w:type="pct"/>
            <w:tcBorders>
              <w:top w:val="outset" w:color="auto" w:sz="6" w:space="0"/>
              <w:left w:val="outset" w:color="auto" w:sz="6" w:space="0"/>
              <w:bottom w:val="outset" w:color="auto" w:sz="6" w:space="0"/>
              <w:right w:val="outset" w:color="auto" w:sz="6" w:space="0"/>
            </w:tcBorders>
            <w:vAlign w:val="center"/>
          </w:tcPr>
          <w:p w14:paraId="6E92A121">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0A3C660E">
            <w:pPr>
              <w:jc w:val="right"/>
            </w:pPr>
          </w:p>
        </w:tc>
      </w:tr>
      <w:tr w14:paraId="370964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629" w:type="pct"/>
            <w:tcBorders>
              <w:top w:val="outset" w:color="auto" w:sz="6" w:space="0"/>
              <w:left w:val="outset" w:color="auto" w:sz="6" w:space="0"/>
              <w:bottom w:val="outset" w:color="auto" w:sz="6" w:space="0"/>
              <w:right w:val="outset" w:color="auto" w:sz="6" w:space="0"/>
            </w:tcBorders>
            <w:vAlign w:val="center"/>
          </w:tcPr>
          <w:p w14:paraId="5A62708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应付票据</w:t>
            </w:r>
          </w:p>
        </w:tc>
        <w:tc>
          <w:tcPr>
            <w:tcW w:w="627" w:type="pct"/>
            <w:tcBorders>
              <w:top w:val="outset" w:color="auto" w:sz="6" w:space="0"/>
              <w:left w:val="outset" w:color="auto" w:sz="6" w:space="0"/>
              <w:bottom w:val="outset" w:color="auto" w:sz="6" w:space="0"/>
              <w:right w:val="outset" w:color="auto" w:sz="6" w:space="0"/>
            </w:tcBorders>
            <w:vAlign w:val="center"/>
          </w:tcPr>
          <w:p w14:paraId="0D84E0B7"/>
        </w:tc>
        <w:tc>
          <w:tcPr>
            <w:tcW w:w="1411" w:type="pct"/>
            <w:tcBorders>
              <w:top w:val="outset" w:color="auto" w:sz="6" w:space="0"/>
              <w:left w:val="outset" w:color="auto" w:sz="6" w:space="0"/>
              <w:bottom w:val="outset" w:color="auto" w:sz="6" w:space="0"/>
              <w:right w:val="outset" w:color="auto" w:sz="6" w:space="0"/>
            </w:tcBorders>
            <w:vAlign w:val="center"/>
          </w:tcPr>
          <w:p w14:paraId="3DAD79E3">
            <w:pPr>
              <w:jc w:val="right"/>
            </w:pPr>
            <w:r>
              <w:t>204,500,000.00</w:t>
            </w:r>
          </w:p>
        </w:tc>
        <w:tc>
          <w:tcPr>
            <w:tcW w:w="1333" w:type="pct"/>
            <w:tcBorders>
              <w:top w:val="outset" w:color="auto" w:sz="6" w:space="0"/>
              <w:left w:val="outset" w:color="auto" w:sz="6" w:space="0"/>
              <w:bottom w:val="outset" w:color="auto" w:sz="6" w:space="0"/>
              <w:right w:val="outset" w:color="auto" w:sz="6" w:space="0"/>
            </w:tcBorders>
            <w:vAlign w:val="center"/>
          </w:tcPr>
          <w:p w14:paraId="4329D627">
            <w:pPr>
              <w:jc w:val="right"/>
            </w:pPr>
            <w:r>
              <w:t>204,500,000.00</w:t>
            </w:r>
          </w:p>
        </w:tc>
      </w:tr>
      <w:tr w14:paraId="47BF64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E51C2F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应付账款</w:t>
            </w:r>
          </w:p>
        </w:tc>
        <w:tc>
          <w:tcPr>
            <w:tcW w:w="627" w:type="pct"/>
            <w:tcBorders>
              <w:top w:val="outset" w:color="auto" w:sz="6" w:space="0"/>
              <w:left w:val="outset" w:color="auto" w:sz="6" w:space="0"/>
              <w:bottom w:val="outset" w:color="auto" w:sz="6" w:space="0"/>
              <w:right w:val="outset" w:color="auto" w:sz="6" w:space="0"/>
            </w:tcBorders>
            <w:vAlign w:val="center"/>
          </w:tcPr>
          <w:p w14:paraId="21B133D5"/>
        </w:tc>
        <w:tc>
          <w:tcPr>
            <w:tcW w:w="1411" w:type="pct"/>
            <w:tcBorders>
              <w:top w:val="outset" w:color="auto" w:sz="6" w:space="0"/>
              <w:left w:val="outset" w:color="auto" w:sz="6" w:space="0"/>
              <w:bottom w:val="outset" w:color="auto" w:sz="6" w:space="0"/>
              <w:right w:val="outset" w:color="auto" w:sz="6" w:space="0"/>
            </w:tcBorders>
            <w:vAlign w:val="center"/>
          </w:tcPr>
          <w:p w14:paraId="261E2B8D">
            <w:pPr>
              <w:jc w:val="right"/>
            </w:pPr>
            <w:r>
              <w:t>176,987,223.54</w:t>
            </w:r>
          </w:p>
        </w:tc>
        <w:tc>
          <w:tcPr>
            <w:tcW w:w="1333" w:type="pct"/>
            <w:tcBorders>
              <w:top w:val="outset" w:color="auto" w:sz="6" w:space="0"/>
              <w:left w:val="outset" w:color="auto" w:sz="6" w:space="0"/>
              <w:bottom w:val="outset" w:color="auto" w:sz="6" w:space="0"/>
              <w:right w:val="outset" w:color="auto" w:sz="6" w:space="0"/>
            </w:tcBorders>
            <w:vAlign w:val="center"/>
          </w:tcPr>
          <w:p w14:paraId="6E798A66">
            <w:pPr>
              <w:jc w:val="right"/>
            </w:pPr>
            <w:r>
              <w:t>73,438,979.80</w:t>
            </w:r>
          </w:p>
        </w:tc>
      </w:tr>
      <w:tr w14:paraId="17E00A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47FE05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预收款项</w:t>
            </w:r>
          </w:p>
        </w:tc>
        <w:tc>
          <w:tcPr>
            <w:tcW w:w="627" w:type="pct"/>
            <w:tcBorders>
              <w:top w:val="outset" w:color="auto" w:sz="6" w:space="0"/>
              <w:left w:val="outset" w:color="auto" w:sz="6" w:space="0"/>
              <w:bottom w:val="outset" w:color="auto" w:sz="6" w:space="0"/>
              <w:right w:val="outset" w:color="auto" w:sz="6" w:space="0"/>
            </w:tcBorders>
            <w:vAlign w:val="center"/>
          </w:tcPr>
          <w:p w14:paraId="08CF2369"/>
        </w:tc>
        <w:tc>
          <w:tcPr>
            <w:tcW w:w="1411" w:type="pct"/>
            <w:tcBorders>
              <w:top w:val="outset" w:color="auto" w:sz="6" w:space="0"/>
              <w:left w:val="outset" w:color="auto" w:sz="6" w:space="0"/>
              <w:bottom w:val="outset" w:color="auto" w:sz="6" w:space="0"/>
              <w:right w:val="outset" w:color="auto" w:sz="6" w:space="0"/>
            </w:tcBorders>
            <w:vAlign w:val="center"/>
          </w:tcPr>
          <w:p w14:paraId="0D8E1B89">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1FC30693">
            <w:pPr>
              <w:jc w:val="right"/>
            </w:pPr>
          </w:p>
        </w:tc>
      </w:tr>
      <w:tr w14:paraId="35F470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90ED6B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合同负债</w:t>
            </w:r>
          </w:p>
        </w:tc>
        <w:tc>
          <w:tcPr>
            <w:tcW w:w="627" w:type="pct"/>
            <w:tcBorders>
              <w:top w:val="outset" w:color="auto" w:sz="6" w:space="0"/>
              <w:left w:val="outset" w:color="auto" w:sz="6" w:space="0"/>
              <w:bottom w:val="outset" w:color="auto" w:sz="6" w:space="0"/>
              <w:right w:val="outset" w:color="auto" w:sz="6" w:space="0"/>
            </w:tcBorders>
            <w:vAlign w:val="center"/>
          </w:tcPr>
          <w:p w14:paraId="194F4CE6"/>
        </w:tc>
        <w:tc>
          <w:tcPr>
            <w:tcW w:w="1411" w:type="pct"/>
            <w:tcBorders>
              <w:top w:val="outset" w:color="auto" w:sz="6" w:space="0"/>
              <w:left w:val="outset" w:color="auto" w:sz="6" w:space="0"/>
              <w:bottom w:val="outset" w:color="auto" w:sz="6" w:space="0"/>
              <w:right w:val="outset" w:color="auto" w:sz="6" w:space="0"/>
            </w:tcBorders>
            <w:vAlign w:val="center"/>
          </w:tcPr>
          <w:p w14:paraId="1245CC0E">
            <w:pPr>
              <w:jc w:val="right"/>
            </w:pPr>
            <w:r>
              <w:t>26,295,276.10</w:t>
            </w:r>
          </w:p>
        </w:tc>
        <w:tc>
          <w:tcPr>
            <w:tcW w:w="1333" w:type="pct"/>
            <w:tcBorders>
              <w:top w:val="outset" w:color="auto" w:sz="6" w:space="0"/>
              <w:left w:val="outset" w:color="auto" w:sz="6" w:space="0"/>
              <w:bottom w:val="outset" w:color="auto" w:sz="6" w:space="0"/>
              <w:right w:val="outset" w:color="auto" w:sz="6" w:space="0"/>
            </w:tcBorders>
            <w:vAlign w:val="center"/>
          </w:tcPr>
          <w:p w14:paraId="1AB1E6EA">
            <w:pPr>
              <w:jc w:val="right"/>
            </w:pPr>
            <w:r>
              <w:t>46,939,671.19</w:t>
            </w:r>
          </w:p>
        </w:tc>
      </w:tr>
      <w:tr w14:paraId="2FBEEE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D995C57">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应付职工薪酬</w:t>
            </w:r>
          </w:p>
        </w:tc>
        <w:tc>
          <w:tcPr>
            <w:tcW w:w="627" w:type="pct"/>
            <w:tcBorders>
              <w:top w:val="outset" w:color="auto" w:sz="6" w:space="0"/>
              <w:left w:val="outset" w:color="auto" w:sz="6" w:space="0"/>
              <w:bottom w:val="outset" w:color="auto" w:sz="6" w:space="0"/>
              <w:right w:val="outset" w:color="auto" w:sz="6" w:space="0"/>
            </w:tcBorders>
            <w:vAlign w:val="center"/>
          </w:tcPr>
          <w:p w14:paraId="7F7861F3"/>
        </w:tc>
        <w:tc>
          <w:tcPr>
            <w:tcW w:w="1411" w:type="pct"/>
            <w:tcBorders>
              <w:top w:val="outset" w:color="auto" w:sz="6" w:space="0"/>
              <w:left w:val="outset" w:color="auto" w:sz="6" w:space="0"/>
              <w:bottom w:val="outset" w:color="auto" w:sz="6" w:space="0"/>
              <w:right w:val="outset" w:color="auto" w:sz="6" w:space="0"/>
            </w:tcBorders>
            <w:vAlign w:val="center"/>
          </w:tcPr>
          <w:p w14:paraId="48529A4B">
            <w:pPr>
              <w:jc w:val="right"/>
            </w:pPr>
            <w:r>
              <w:t>44,430,761.11</w:t>
            </w:r>
          </w:p>
        </w:tc>
        <w:tc>
          <w:tcPr>
            <w:tcW w:w="1333" w:type="pct"/>
            <w:tcBorders>
              <w:top w:val="outset" w:color="auto" w:sz="6" w:space="0"/>
              <w:left w:val="outset" w:color="auto" w:sz="6" w:space="0"/>
              <w:bottom w:val="outset" w:color="auto" w:sz="6" w:space="0"/>
              <w:right w:val="outset" w:color="auto" w:sz="6" w:space="0"/>
            </w:tcBorders>
            <w:vAlign w:val="center"/>
          </w:tcPr>
          <w:p w14:paraId="23F60232">
            <w:pPr>
              <w:jc w:val="right"/>
            </w:pPr>
            <w:r>
              <w:t>54,601,768.26</w:t>
            </w:r>
          </w:p>
        </w:tc>
      </w:tr>
      <w:tr w14:paraId="1B34BD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AD2DF3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应交税费</w:t>
            </w:r>
          </w:p>
        </w:tc>
        <w:tc>
          <w:tcPr>
            <w:tcW w:w="627" w:type="pct"/>
            <w:tcBorders>
              <w:top w:val="outset" w:color="auto" w:sz="6" w:space="0"/>
              <w:left w:val="outset" w:color="auto" w:sz="6" w:space="0"/>
              <w:bottom w:val="outset" w:color="auto" w:sz="6" w:space="0"/>
              <w:right w:val="outset" w:color="auto" w:sz="6" w:space="0"/>
            </w:tcBorders>
            <w:vAlign w:val="center"/>
          </w:tcPr>
          <w:p w14:paraId="16C9C661"/>
        </w:tc>
        <w:tc>
          <w:tcPr>
            <w:tcW w:w="1411" w:type="pct"/>
            <w:tcBorders>
              <w:top w:val="outset" w:color="auto" w:sz="6" w:space="0"/>
              <w:left w:val="outset" w:color="auto" w:sz="6" w:space="0"/>
              <w:bottom w:val="outset" w:color="auto" w:sz="6" w:space="0"/>
              <w:right w:val="outset" w:color="auto" w:sz="6" w:space="0"/>
            </w:tcBorders>
            <w:vAlign w:val="center"/>
          </w:tcPr>
          <w:p w14:paraId="55CC2DB6">
            <w:pPr>
              <w:jc w:val="right"/>
            </w:pPr>
            <w:r>
              <w:t>23,219,946.86</w:t>
            </w:r>
          </w:p>
        </w:tc>
        <w:tc>
          <w:tcPr>
            <w:tcW w:w="1333" w:type="pct"/>
            <w:tcBorders>
              <w:top w:val="outset" w:color="auto" w:sz="6" w:space="0"/>
              <w:left w:val="outset" w:color="auto" w:sz="6" w:space="0"/>
              <w:bottom w:val="outset" w:color="auto" w:sz="6" w:space="0"/>
              <w:right w:val="outset" w:color="auto" w:sz="6" w:space="0"/>
            </w:tcBorders>
            <w:vAlign w:val="center"/>
          </w:tcPr>
          <w:p w14:paraId="15027AFB">
            <w:pPr>
              <w:jc w:val="right"/>
            </w:pPr>
            <w:r>
              <w:t>24,640,176.60</w:t>
            </w:r>
          </w:p>
        </w:tc>
      </w:tr>
      <w:tr w14:paraId="49D12C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514A9149">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其他应付款</w:t>
            </w:r>
          </w:p>
        </w:tc>
        <w:tc>
          <w:tcPr>
            <w:tcW w:w="627" w:type="pct"/>
            <w:tcBorders>
              <w:top w:val="outset" w:color="auto" w:sz="6" w:space="0"/>
              <w:left w:val="outset" w:color="auto" w:sz="6" w:space="0"/>
              <w:bottom w:val="outset" w:color="auto" w:sz="6" w:space="0"/>
              <w:right w:val="outset" w:color="auto" w:sz="6" w:space="0"/>
            </w:tcBorders>
            <w:vAlign w:val="center"/>
          </w:tcPr>
          <w:p w14:paraId="34B475DC"/>
        </w:tc>
        <w:tc>
          <w:tcPr>
            <w:tcW w:w="1411" w:type="pct"/>
            <w:tcBorders>
              <w:top w:val="outset" w:color="auto" w:sz="6" w:space="0"/>
              <w:left w:val="outset" w:color="auto" w:sz="6" w:space="0"/>
              <w:bottom w:val="outset" w:color="auto" w:sz="6" w:space="0"/>
              <w:right w:val="outset" w:color="auto" w:sz="6" w:space="0"/>
            </w:tcBorders>
            <w:vAlign w:val="center"/>
          </w:tcPr>
          <w:p w14:paraId="0A1A58AF">
            <w:pPr>
              <w:jc w:val="right"/>
            </w:pPr>
            <w:r>
              <w:t>410,701,612.75</w:t>
            </w:r>
          </w:p>
        </w:tc>
        <w:tc>
          <w:tcPr>
            <w:tcW w:w="1333" w:type="pct"/>
            <w:tcBorders>
              <w:top w:val="outset" w:color="auto" w:sz="6" w:space="0"/>
              <w:left w:val="outset" w:color="auto" w:sz="6" w:space="0"/>
              <w:bottom w:val="outset" w:color="auto" w:sz="6" w:space="0"/>
              <w:right w:val="outset" w:color="auto" w:sz="6" w:space="0"/>
            </w:tcBorders>
            <w:vAlign w:val="center"/>
          </w:tcPr>
          <w:p w14:paraId="2FC8EA4C">
            <w:pPr>
              <w:jc w:val="right"/>
            </w:pPr>
            <w:r>
              <w:t>366,334,475.42</w:t>
            </w:r>
          </w:p>
        </w:tc>
      </w:tr>
      <w:tr w14:paraId="708655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89EF16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其中：应付利息</w:t>
            </w:r>
          </w:p>
        </w:tc>
        <w:tc>
          <w:tcPr>
            <w:tcW w:w="627" w:type="pct"/>
            <w:tcBorders>
              <w:top w:val="outset" w:color="auto" w:sz="6" w:space="0"/>
              <w:left w:val="outset" w:color="auto" w:sz="6" w:space="0"/>
              <w:bottom w:val="outset" w:color="auto" w:sz="6" w:space="0"/>
              <w:right w:val="outset" w:color="auto" w:sz="6" w:space="0"/>
            </w:tcBorders>
            <w:vAlign w:val="center"/>
          </w:tcPr>
          <w:p w14:paraId="04A0CB0D"/>
        </w:tc>
        <w:tc>
          <w:tcPr>
            <w:tcW w:w="1411" w:type="pct"/>
            <w:tcBorders>
              <w:top w:val="outset" w:color="auto" w:sz="6" w:space="0"/>
              <w:left w:val="outset" w:color="auto" w:sz="6" w:space="0"/>
              <w:bottom w:val="outset" w:color="auto" w:sz="6" w:space="0"/>
              <w:right w:val="outset" w:color="auto" w:sz="6" w:space="0"/>
            </w:tcBorders>
            <w:vAlign w:val="center"/>
          </w:tcPr>
          <w:p w14:paraId="279A6D4B">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6A5F993B">
            <w:pPr>
              <w:jc w:val="right"/>
            </w:pPr>
          </w:p>
        </w:tc>
      </w:tr>
      <w:tr w14:paraId="1C3895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C7BE37E">
            <w:pPr>
              <w:ind w:firstLine="840" w:firstLineChars="400"/>
              <w:rPr>
                <w:color w:val="000000" w:themeColor="text1"/>
                <w14:textFill>
                  <w14:solidFill>
                    <w14:schemeClr w14:val="tx1"/>
                  </w14:solidFill>
                </w14:textFill>
              </w:rPr>
            </w:pPr>
            <w:r>
              <w:rPr>
                <w:rFonts w:hint="eastAsia"/>
                <w:color w:val="000000" w:themeColor="text1"/>
                <w14:textFill>
                  <w14:solidFill>
                    <w14:schemeClr w14:val="tx1"/>
                  </w14:solidFill>
                </w14:textFill>
              </w:rPr>
              <w:t>应付股利</w:t>
            </w:r>
          </w:p>
        </w:tc>
        <w:tc>
          <w:tcPr>
            <w:tcW w:w="627" w:type="pct"/>
            <w:tcBorders>
              <w:top w:val="outset" w:color="auto" w:sz="6" w:space="0"/>
              <w:left w:val="outset" w:color="auto" w:sz="6" w:space="0"/>
              <w:bottom w:val="outset" w:color="auto" w:sz="6" w:space="0"/>
              <w:right w:val="outset" w:color="auto" w:sz="6" w:space="0"/>
            </w:tcBorders>
            <w:vAlign w:val="center"/>
          </w:tcPr>
          <w:p w14:paraId="67D34E2F"/>
        </w:tc>
        <w:tc>
          <w:tcPr>
            <w:tcW w:w="1411" w:type="pct"/>
            <w:tcBorders>
              <w:top w:val="outset" w:color="auto" w:sz="6" w:space="0"/>
              <w:left w:val="outset" w:color="auto" w:sz="6" w:space="0"/>
              <w:bottom w:val="outset" w:color="auto" w:sz="6" w:space="0"/>
              <w:right w:val="outset" w:color="auto" w:sz="6" w:space="0"/>
            </w:tcBorders>
            <w:vAlign w:val="center"/>
          </w:tcPr>
          <w:p w14:paraId="306B5331">
            <w:pPr>
              <w:jc w:val="right"/>
            </w:pPr>
            <w:r>
              <w:t>10,516,892.24</w:t>
            </w:r>
          </w:p>
        </w:tc>
        <w:tc>
          <w:tcPr>
            <w:tcW w:w="1333" w:type="pct"/>
            <w:tcBorders>
              <w:top w:val="outset" w:color="auto" w:sz="6" w:space="0"/>
              <w:left w:val="outset" w:color="auto" w:sz="6" w:space="0"/>
              <w:bottom w:val="outset" w:color="auto" w:sz="6" w:space="0"/>
              <w:right w:val="outset" w:color="auto" w:sz="6" w:space="0"/>
            </w:tcBorders>
            <w:vAlign w:val="center"/>
          </w:tcPr>
          <w:p w14:paraId="20634AC8">
            <w:pPr>
              <w:jc w:val="right"/>
            </w:pPr>
            <w:r>
              <w:t>1,546,387.21</w:t>
            </w:r>
          </w:p>
        </w:tc>
      </w:tr>
      <w:tr w14:paraId="58C6D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1BFB3D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持有待售负债</w:t>
            </w:r>
          </w:p>
        </w:tc>
        <w:tc>
          <w:tcPr>
            <w:tcW w:w="627" w:type="pct"/>
            <w:tcBorders>
              <w:top w:val="outset" w:color="auto" w:sz="6" w:space="0"/>
              <w:left w:val="outset" w:color="auto" w:sz="6" w:space="0"/>
              <w:bottom w:val="outset" w:color="auto" w:sz="6" w:space="0"/>
              <w:right w:val="outset" w:color="auto" w:sz="6" w:space="0"/>
            </w:tcBorders>
            <w:vAlign w:val="center"/>
          </w:tcPr>
          <w:p w14:paraId="7264214A"/>
        </w:tc>
        <w:tc>
          <w:tcPr>
            <w:tcW w:w="1411" w:type="pct"/>
            <w:tcBorders>
              <w:top w:val="outset" w:color="auto" w:sz="6" w:space="0"/>
              <w:left w:val="outset" w:color="auto" w:sz="6" w:space="0"/>
              <w:bottom w:val="outset" w:color="auto" w:sz="6" w:space="0"/>
              <w:right w:val="outset" w:color="auto" w:sz="6" w:space="0"/>
            </w:tcBorders>
            <w:vAlign w:val="center"/>
          </w:tcPr>
          <w:p w14:paraId="065E0554">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5FFF1B4A">
            <w:pPr>
              <w:jc w:val="right"/>
            </w:pPr>
          </w:p>
        </w:tc>
      </w:tr>
      <w:tr w14:paraId="2BF40B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629" w:type="pct"/>
            <w:tcBorders>
              <w:top w:val="outset" w:color="auto" w:sz="6" w:space="0"/>
              <w:left w:val="outset" w:color="auto" w:sz="6" w:space="0"/>
              <w:bottom w:val="outset" w:color="auto" w:sz="6" w:space="0"/>
              <w:right w:val="outset" w:color="auto" w:sz="6" w:space="0"/>
            </w:tcBorders>
            <w:vAlign w:val="center"/>
          </w:tcPr>
          <w:p w14:paraId="5EA9EBD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一年内到期的非流动负债</w:t>
            </w:r>
          </w:p>
        </w:tc>
        <w:tc>
          <w:tcPr>
            <w:tcW w:w="627" w:type="pct"/>
            <w:tcBorders>
              <w:top w:val="outset" w:color="auto" w:sz="6" w:space="0"/>
              <w:left w:val="outset" w:color="auto" w:sz="6" w:space="0"/>
              <w:bottom w:val="outset" w:color="auto" w:sz="6" w:space="0"/>
              <w:right w:val="outset" w:color="auto" w:sz="6" w:space="0"/>
            </w:tcBorders>
            <w:vAlign w:val="center"/>
          </w:tcPr>
          <w:p w14:paraId="37CA735F"/>
        </w:tc>
        <w:tc>
          <w:tcPr>
            <w:tcW w:w="1411" w:type="pct"/>
            <w:tcBorders>
              <w:top w:val="outset" w:color="auto" w:sz="6" w:space="0"/>
              <w:left w:val="outset" w:color="auto" w:sz="6" w:space="0"/>
              <w:bottom w:val="outset" w:color="auto" w:sz="6" w:space="0"/>
              <w:right w:val="outset" w:color="auto" w:sz="6" w:space="0"/>
            </w:tcBorders>
            <w:vAlign w:val="center"/>
          </w:tcPr>
          <w:p w14:paraId="6CB8E78A">
            <w:pPr>
              <w:jc w:val="right"/>
            </w:pPr>
            <w:r>
              <w:t>45,592,577.33</w:t>
            </w:r>
          </w:p>
        </w:tc>
        <w:tc>
          <w:tcPr>
            <w:tcW w:w="1333" w:type="pct"/>
            <w:tcBorders>
              <w:top w:val="outset" w:color="auto" w:sz="6" w:space="0"/>
              <w:left w:val="outset" w:color="auto" w:sz="6" w:space="0"/>
              <w:bottom w:val="outset" w:color="auto" w:sz="6" w:space="0"/>
              <w:right w:val="outset" w:color="auto" w:sz="6" w:space="0"/>
            </w:tcBorders>
            <w:vAlign w:val="center"/>
          </w:tcPr>
          <w:p w14:paraId="0C9785C8">
            <w:pPr>
              <w:jc w:val="right"/>
            </w:pPr>
            <w:r>
              <w:t>110,883,291.98</w:t>
            </w:r>
          </w:p>
        </w:tc>
      </w:tr>
      <w:tr w14:paraId="59897F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629" w:type="pct"/>
            <w:tcBorders>
              <w:top w:val="outset" w:color="auto" w:sz="6" w:space="0"/>
              <w:left w:val="outset" w:color="auto" w:sz="6" w:space="0"/>
              <w:bottom w:val="outset" w:color="auto" w:sz="6" w:space="0"/>
              <w:right w:val="outset" w:color="auto" w:sz="6" w:space="0"/>
            </w:tcBorders>
            <w:vAlign w:val="center"/>
          </w:tcPr>
          <w:p w14:paraId="4C7639A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其他流动负债</w:t>
            </w:r>
          </w:p>
        </w:tc>
        <w:tc>
          <w:tcPr>
            <w:tcW w:w="627" w:type="pct"/>
            <w:tcBorders>
              <w:top w:val="outset" w:color="auto" w:sz="6" w:space="0"/>
              <w:left w:val="outset" w:color="auto" w:sz="6" w:space="0"/>
              <w:bottom w:val="outset" w:color="auto" w:sz="6" w:space="0"/>
              <w:right w:val="outset" w:color="auto" w:sz="6" w:space="0"/>
            </w:tcBorders>
            <w:vAlign w:val="center"/>
          </w:tcPr>
          <w:p w14:paraId="6E8F7923"/>
        </w:tc>
        <w:tc>
          <w:tcPr>
            <w:tcW w:w="1411" w:type="pct"/>
            <w:tcBorders>
              <w:top w:val="outset" w:color="auto" w:sz="6" w:space="0"/>
              <w:left w:val="outset" w:color="auto" w:sz="6" w:space="0"/>
              <w:bottom w:val="outset" w:color="auto" w:sz="6" w:space="0"/>
              <w:right w:val="outset" w:color="auto" w:sz="6" w:space="0"/>
            </w:tcBorders>
            <w:vAlign w:val="center"/>
          </w:tcPr>
          <w:p w14:paraId="11272502">
            <w:pPr>
              <w:jc w:val="right"/>
            </w:pPr>
            <w:r>
              <w:t>2,337,397.80</w:t>
            </w:r>
          </w:p>
        </w:tc>
        <w:tc>
          <w:tcPr>
            <w:tcW w:w="1333" w:type="pct"/>
            <w:tcBorders>
              <w:top w:val="outset" w:color="auto" w:sz="6" w:space="0"/>
              <w:left w:val="outset" w:color="auto" w:sz="6" w:space="0"/>
              <w:bottom w:val="outset" w:color="auto" w:sz="6" w:space="0"/>
              <w:right w:val="outset" w:color="auto" w:sz="6" w:space="0"/>
            </w:tcBorders>
            <w:vAlign w:val="center"/>
          </w:tcPr>
          <w:p w14:paraId="25C389C8">
            <w:pPr>
              <w:jc w:val="right"/>
            </w:pPr>
            <w:r>
              <w:t>4,033,634.77</w:t>
            </w:r>
          </w:p>
        </w:tc>
      </w:tr>
      <w:tr w14:paraId="1A7D88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ADF7ED8">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流动负债合计</w:t>
            </w:r>
          </w:p>
        </w:tc>
        <w:tc>
          <w:tcPr>
            <w:tcW w:w="627" w:type="pct"/>
            <w:tcBorders>
              <w:top w:val="outset" w:color="auto" w:sz="6" w:space="0"/>
              <w:left w:val="outset" w:color="auto" w:sz="6" w:space="0"/>
              <w:bottom w:val="outset" w:color="auto" w:sz="6" w:space="0"/>
              <w:right w:val="outset" w:color="auto" w:sz="6" w:space="0"/>
            </w:tcBorders>
            <w:vAlign w:val="center"/>
          </w:tcPr>
          <w:p w14:paraId="3B11D420"/>
        </w:tc>
        <w:tc>
          <w:tcPr>
            <w:tcW w:w="1411" w:type="pct"/>
            <w:tcBorders>
              <w:top w:val="outset" w:color="auto" w:sz="6" w:space="0"/>
              <w:left w:val="outset" w:color="auto" w:sz="6" w:space="0"/>
              <w:bottom w:val="outset" w:color="auto" w:sz="6" w:space="0"/>
              <w:right w:val="outset" w:color="auto" w:sz="6" w:space="0"/>
            </w:tcBorders>
            <w:vAlign w:val="center"/>
          </w:tcPr>
          <w:p w14:paraId="3603972F">
            <w:pPr>
              <w:jc w:val="right"/>
            </w:pPr>
            <w:r>
              <w:t>2,914,908,492.56</w:t>
            </w:r>
          </w:p>
        </w:tc>
        <w:tc>
          <w:tcPr>
            <w:tcW w:w="1333" w:type="pct"/>
            <w:tcBorders>
              <w:top w:val="outset" w:color="auto" w:sz="6" w:space="0"/>
              <w:left w:val="outset" w:color="auto" w:sz="6" w:space="0"/>
              <w:bottom w:val="outset" w:color="auto" w:sz="6" w:space="0"/>
              <w:right w:val="outset" w:color="auto" w:sz="6" w:space="0"/>
            </w:tcBorders>
            <w:vAlign w:val="center"/>
          </w:tcPr>
          <w:p w14:paraId="42CBAB75">
            <w:pPr>
              <w:jc w:val="right"/>
            </w:pPr>
            <w:r>
              <w:t>2,833,779,914.44</w:t>
            </w:r>
          </w:p>
        </w:tc>
      </w:tr>
      <w:tr w14:paraId="73934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e62929b21cd4456494013c9cb0dc5b16"/>
            <w:id w:val="1363170029"/>
          </w:sdtPr>
          <w:sdtContent>
            <w:tc>
              <w:tcPr>
                <w:tcW w:w="5000" w:type="pct"/>
                <w:gridSpan w:val="4"/>
                <w:tcBorders>
                  <w:top w:val="outset" w:color="auto" w:sz="6" w:space="0"/>
                  <w:left w:val="outset" w:color="auto" w:sz="6" w:space="0"/>
                  <w:bottom w:val="outset" w:color="auto" w:sz="6" w:space="0"/>
                  <w:right w:val="outset" w:color="auto" w:sz="6" w:space="0"/>
                </w:tcBorders>
                <w:vAlign w:val="center"/>
              </w:tcPr>
              <w:p w14:paraId="5CFD1173">
                <w:pPr>
                  <w:rPr>
                    <w:color w:val="000000" w:themeColor="text1"/>
                    <w14:textFill>
                      <w14:solidFill>
                        <w14:schemeClr w14:val="tx1"/>
                      </w14:solidFill>
                    </w14:textFill>
                  </w:rPr>
                </w:pPr>
                <w:r>
                  <w:rPr>
                    <w:rFonts w:hint="eastAsia"/>
                    <w:b/>
                    <w:color w:val="000000" w:themeColor="text1"/>
                    <w14:textFill>
                      <w14:solidFill>
                        <w14:schemeClr w14:val="tx1"/>
                      </w14:solidFill>
                    </w14:textFill>
                  </w:rPr>
                  <w:t>非流动负债：</w:t>
                </w:r>
              </w:p>
            </w:tc>
          </w:sdtContent>
        </w:sdt>
      </w:tr>
      <w:tr w14:paraId="6246C1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39D770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长期借款</w:t>
            </w:r>
          </w:p>
        </w:tc>
        <w:tc>
          <w:tcPr>
            <w:tcW w:w="627" w:type="pct"/>
            <w:tcBorders>
              <w:top w:val="outset" w:color="auto" w:sz="6" w:space="0"/>
              <w:left w:val="outset" w:color="auto" w:sz="6" w:space="0"/>
              <w:bottom w:val="outset" w:color="auto" w:sz="6" w:space="0"/>
              <w:right w:val="outset" w:color="auto" w:sz="6" w:space="0"/>
            </w:tcBorders>
            <w:vAlign w:val="center"/>
          </w:tcPr>
          <w:p w14:paraId="7AEB1F53"/>
        </w:tc>
        <w:tc>
          <w:tcPr>
            <w:tcW w:w="1411" w:type="pct"/>
            <w:tcBorders>
              <w:top w:val="outset" w:color="auto" w:sz="6" w:space="0"/>
              <w:left w:val="outset" w:color="auto" w:sz="6" w:space="0"/>
              <w:bottom w:val="outset" w:color="auto" w:sz="6" w:space="0"/>
              <w:right w:val="outset" w:color="auto" w:sz="6" w:space="0"/>
            </w:tcBorders>
            <w:vAlign w:val="center"/>
          </w:tcPr>
          <w:p w14:paraId="291DBBC0">
            <w:pPr>
              <w:jc w:val="right"/>
            </w:pPr>
            <w:r>
              <w:t>74,850,000.00</w:t>
            </w:r>
          </w:p>
        </w:tc>
        <w:tc>
          <w:tcPr>
            <w:tcW w:w="1333" w:type="pct"/>
            <w:tcBorders>
              <w:top w:val="outset" w:color="auto" w:sz="6" w:space="0"/>
              <w:left w:val="outset" w:color="auto" w:sz="6" w:space="0"/>
              <w:bottom w:val="outset" w:color="auto" w:sz="6" w:space="0"/>
              <w:right w:val="outset" w:color="auto" w:sz="6" w:space="0"/>
            </w:tcBorders>
            <w:vAlign w:val="center"/>
          </w:tcPr>
          <w:p w14:paraId="74B86D51">
            <w:pPr>
              <w:jc w:val="right"/>
            </w:pPr>
            <w:r>
              <w:t>74,850,000.00</w:t>
            </w:r>
          </w:p>
        </w:tc>
      </w:tr>
      <w:tr w14:paraId="036B0F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F8B5521">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应付债券</w:t>
            </w:r>
          </w:p>
        </w:tc>
        <w:tc>
          <w:tcPr>
            <w:tcW w:w="627" w:type="pct"/>
            <w:tcBorders>
              <w:top w:val="outset" w:color="auto" w:sz="6" w:space="0"/>
              <w:left w:val="outset" w:color="auto" w:sz="6" w:space="0"/>
              <w:bottom w:val="outset" w:color="auto" w:sz="6" w:space="0"/>
              <w:right w:val="outset" w:color="auto" w:sz="6" w:space="0"/>
            </w:tcBorders>
            <w:vAlign w:val="center"/>
          </w:tcPr>
          <w:p w14:paraId="2F4DA244"/>
        </w:tc>
        <w:tc>
          <w:tcPr>
            <w:tcW w:w="1411" w:type="pct"/>
            <w:tcBorders>
              <w:top w:val="outset" w:color="auto" w:sz="6" w:space="0"/>
              <w:left w:val="outset" w:color="auto" w:sz="6" w:space="0"/>
              <w:bottom w:val="outset" w:color="auto" w:sz="6" w:space="0"/>
              <w:right w:val="outset" w:color="auto" w:sz="6" w:space="0"/>
            </w:tcBorders>
            <w:vAlign w:val="center"/>
          </w:tcPr>
          <w:p w14:paraId="5056C4EC">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2BCD70BF">
            <w:pPr>
              <w:jc w:val="right"/>
            </w:pPr>
          </w:p>
        </w:tc>
      </w:tr>
      <w:tr w14:paraId="0E40C4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D3114C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其中：优先股</w:t>
            </w:r>
          </w:p>
        </w:tc>
        <w:tc>
          <w:tcPr>
            <w:tcW w:w="627" w:type="pct"/>
            <w:tcBorders>
              <w:top w:val="outset" w:color="auto" w:sz="6" w:space="0"/>
              <w:left w:val="outset" w:color="auto" w:sz="6" w:space="0"/>
              <w:bottom w:val="outset" w:color="auto" w:sz="6" w:space="0"/>
              <w:right w:val="outset" w:color="auto" w:sz="6" w:space="0"/>
            </w:tcBorders>
            <w:vAlign w:val="center"/>
          </w:tcPr>
          <w:p w14:paraId="1EF5CB77"/>
        </w:tc>
        <w:tc>
          <w:tcPr>
            <w:tcW w:w="1411" w:type="pct"/>
            <w:tcBorders>
              <w:top w:val="outset" w:color="auto" w:sz="6" w:space="0"/>
              <w:left w:val="outset" w:color="auto" w:sz="6" w:space="0"/>
              <w:bottom w:val="outset" w:color="auto" w:sz="6" w:space="0"/>
              <w:right w:val="outset" w:color="auto" w:sz="6" w:space="0"/>
            </w:tcBorders>
            <w:vAlign w:val="center"/>
          </w:tcPr>
          <w:p w14:paraId="568B532B">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3A0288A4">
            <w:pPr>
              <w:jc w:val="right"/>
            </w:pPr>
          </w:p>
        </w:tc>
      </w:tr>
      <w:tr w14:paraId="225C43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5B5F928">
            <w:pPr>
              <w:ind w:firstLine="840" w:firstLineChars="400"/>
              <w:rPr>
                <w:color w:val="000000" w:themeColor="text1"/>
                <w14:textFill>
                  <w14:solidFill>
                    <w14:schemeClr w14:val="tx1"/>
                  </w14:solidFill>
                </w14:textFill>
              </w:rPr>
            </w:pPr>
            <w:r>
              <w:rPr>
                <w:rFonts w:hint="eastAsia"/>
                <w:color w:val="000000" w:themeColor="text1"/>
                <w14:textFill>
                  <w14:solidFill>
                    <w14:schemeClr w14:val="tx1"/>
                  </w14:solidFill>
                </w14:textFill>
              </w:rPr>
              <w:t>永续债</w:t>
            </w:r>
          </w:p>
        </w:tc>
        <w:tc>
          <w:tcPr>
            <w:tcW w:w="627" w:type="pct"/>
            <w:tcBorders>
              <w:top w:val="outset" w:color="auto" w:sz="6" w:space="0"/>
              <w:left w:val="outset" w:color="auto" w:sz="6" w:space="0"/>
              <w:bottom w:val="outset" w:color="auto" w:sz="6" w:space="0"/>
              <w:right w:val="outset" w:color="auto" w:sz="6" w:space="0"/>
            </w:tcBorders>
            <w:vAlign w:val="center"/>
          </w:tcPr>
          <w:p w14:paraId="112463ED"/>
        </w:tc>
        <w:tc>
          <w:tcPr>
            <w:tcW w:w="1411" w:type="pct"/>
            <w:tcBorders>
              <w:top w:val="outset" w:color="auto" w:sz="6" w:space="0"/>
              <w:left w:val="outset" w:color="auto" w:sz="6" w:space="0"/>
              <w:bottom w:val="outset" w:color="auto" w:sz="6" w:space="0"/>
              <w:right w:val="outset" w:color="auto" w:sz="6" w:space="0"/>
            </w:tcBorders>
            <w:vAlign w:val="center"/>
          </w:tcPr>
          <w:p w14:paraId="3C1A4042">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561FF08D">
            <w:pPr>
              <w:jc w:val="right"/>
            </w:pPr>
          </w:p>
        </w:tc>
      </w:tr>
      <w:tr w14:paraId="6368C6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895EC5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租赁负债</w:t>
            </w:r>
          </w:p>
        </w:tc>
        <w:tc>
          <w:tcPr>
            <w:tcW w:w="627" w:type="pct"/>
            <w:tcBorders>
              <w:top w:val="outset" w:color="auto" w:sz="6" w:space="0"/>
              <w:left w:val="outset" w:color="auto" w:sz="6" w:space="0"/>
              <w:bottom w:val="outset" w:color="auto" w:sz="6" w:space="0"/>
              <w:right w:val="outset" w:color="auto" w:sz="6" w:space="0"/>
            </w:tcBorders>
            <w:vAlign w:val="center"/>
          </w:tcPr>
          <w:p w14:paraId="3A9804CB"/>
        </w:tc>
        <w:tc>
          <w:tcPr>
            <w:tcW w:w="1411" w:type="pct"/>
            <w:tcBorders>
              <w:top w:val="outset" w:color="auto" w:sz="6" w:space="0"/>
              <w:left w:val="outset" w:color="auto" w:sz="6" w:space="0"/>
              <w:bottom w:val="outset" w:color="auto" w:sz="6" w:space="0"/>
              <w:right w:val="outset" w:color="auto" w:sz="6" w:space="0"/>
            </w:tcBorders>
            <w:vAlign w:val="center"/>
          </w:tcPr>
          <w:p w14:paraId="74FCB503">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1DB9290E">
            <w:pPr>
              <w:jc w:val="right"/>
            </w:pPr>
          </w:p>
        </w:tc>
      </w:tr>
      <w:tr w14:paraId="269ABF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58FCF0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长期应付款</w:t>
            </w:r>
          </w:p>
        </w:tc>
        <w:tc>
          <w:tcPr>
            <w:tcW w:w="627" w:type="pct"/>
            <w:tcBorders>
              <w:top w:val="outset" w:color="auto" w:sz="6" w:space="0"/>
              <w:left w:val="outset" w:color="auto" w:sz="6" w:space="0"/>
              <w:bottom w:val="outset" w:color="auto" w:sz="6" w:space="0"/>
              <w:right w:val="outset" w:color="auto" w:sz="6" w:space="0"/>
            </w:tcBorders>
            <w:vAlign w:val="center"/>
          </w:tcPr>
          <w:p w14:paraId="3906448B"/>
        </w:tc>
        <w:tc>
          <w:tcPr>
            <w:tcW w:w="1411" w:type="pct"/>
            <w:tcBorders>
              <w:top w:val="outset" w:color="auto" w:sz="6" w:space="0"/>
              <w:left w:val="outset" w:color="auto" w:sz="6" w:space="0"/>
              <w:bottom w:val="outset" w:color="auto" w:sz="6" w:space="0"/>
              <w:right w:val="outset" w:color="auto" w:sz="6" w:space="0"/>
            </w:tcBorders>
            <w:vAlign w:val="center"/>
          </w:tcPr>
          <w:p w14:paraId="40804BC8">
            <w:pPr>
              <w:jc w:val="right"/>
            </w:pPr>
            <w:r>
              <w:t>47,204,697.99</w:t>
            </w:r>
          </w:p>
        </w:tc>
        <w:tc>
          <w:tcPr>
            <w:tcW w:w="1333" w:type="pct"/>
            <w:tcBorders>
              <w:top w:val="outset" w:color="auto" w:sz="6" w:space="0"/>
              <w:left w:val="outset" w:color="auto" w:sz="6" w:space="0"/>
              <w:bottom w:val="outset" w:color="auto" w:sz="6" w:space="0"/>
              <w:right w:val="outset" w:color="auto" w:sz="6" w:space="0"/>
            </w:tcBorders>
            <w:vAlign w:val="center"/>
          </w:tcPr>
          <w:p w14:paraId="14E815D8">
            <w:pPr>
              <w:jc w:val="right"/>
            </w:pPr>
            <w:r>
              <w:t>21,462,317.06</w:t>
            </w:r>
          </w:p>
        </w:tc>
      </w:tr>
      <w:tr w14:paraId="726276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9AA0A4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长期应付职工薪酬</w:t>
            </w:r>
          </w:p>
        </w:tc>
        <w:tc>
          <w:tcPr>
            <w:tcW w:w="627" w:type="pct"/>
            <w:tcBorders>
              <w:top w:val="outset" w:color="auto" w:sz="6" w:space="0"/>
              <w:left w:val="outset" w:color="auto" w:sz="6" w:space="0"/>
              <w:bottom w:val="outset" w:color="auto" w:sz="6" w:space="0"/>
              <w:right w:val="outset" w:color="auto" w:sz="6" w:space="0"/>
            </w:tcBorders>
            <w:vAlign w:val="center"/>
          </w:tcPr>
          <w:p w14:paraId="2B57F6D8"/>
        </w:tc>
        <w:tc>
          <w:tcPr>
            <w:tcW w:w="1411" w:type="pct"/>
            <w:tcBorders>
              <w:top w:val="outset" w:color="auto" w:sz="6" w:space="0"/>
              <w:left w:val="outset" w:color="auto" w:sz="6" w:space="0"/>
              <w:bottom w:val="outset" w:color="auto" w:sz="6" w:space="0"/>
              <w:right w:val="outset" w:color="auto" w:sz="6" w:space="0"/>
            </w:tcBorders>
            <w:vAlign w:val="center"/>
          </w:tcPr>
          <w:p w14:paraId="68A57BC8">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2F8A9427">
            <w:pPr>
              <w:jc w:val="right"/>
            </w:pPr>
          </w:p>
        </w:tc>
      </w:tr>
      <w:tr w14:paraId="125364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66CFB5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预计负债</w:t>
            </w:r>
          </w:p>
        </w:tc>
        <w:tc>
          <w:tcPr>
            <w:tcW w:w="627" w:type="pct"/>
            <w:tcBorders>
              <w:top w:val="outset" w:color="auto" w:sz="6" w:space="0"/>
              <w:left w:val="outset" w:color="auto" w:sz="6" w:space="0"/>
              <w:bottom w:val="outset" w:color="auto" w:sz="6" w:space="0"/>
              <w:right w:val="outset" w:color="auto" w:sz="6" w:space="0"/>
            </w:tcBorders>
            <w:vAlign w:val="center"/>
          </w:tcPr>
          <w:p w14:paraId="5DF3FDB8"/>
        </w:tc>
        <w:tc>
          <w:tcPr>
            <w:tcW w:w="1411" w:type="pct"/>
            <w:tcBorders>
              <w:top w:val="outset" w:color="auto" w:sz="6" w:space="0"/>
              <w:left w:val="outset" w:color="auto" w:sz="6" w:space="0"/>
              <w:bottom w:val="outset" w:color="auto" w:sz="6" w:space="0"/>
              <w:right w:val="outset" w:color="auto" w:sz="6" w:space="0"/>
            </w:tcBorders>
            <w:vAlign w:val="center"/>
          </w:tcPr>
          <w:p w14:paraId="74595B00">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23050311">
            <w:pPr>
              <w:jc w:val="right"/>
            </w:pPr>
          </w:p>
        </w:tc>
      </w:tr>
      <w:tr w14:paraId="6EF46E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446BE4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递延收益</w:t>
            </w:r>
          </w:p>
        </w:tc>
        <w:tc>
          <w:tcPr>
            <w:tcW w:w="627" w:type="pct"/>
            <w:tcBorders>
              <w:top w:val="outset" w:color="auto" w:sz="6" w:space="0"/>
              <w:left w:val="outset" w:color="auto" w:sz="6" w:space="0"/>
              <w:bottom w:val="outset" w:color="auto" w:sz="6" w:space="0"/>
              <w:right w:val="outset" w:color="auto" w:sz="6" w:space="0"/>
            </w:tcBorders>
            <w:vAlign w:val="center"/>
          </w:tcPr>
          <w:p w14:paraId="48FED0A8"/>
        </w:tc>
        <w:tc>
          <w:tcPr>
            <w:tcW w:w="1411" w:type="pct"/>
            <w:tcBorders>
              <w:top w:val="outset" w:color="auto" w:sz="6" w:space="0"/>
              <w:left w:val="outset" w:color="auto" w:sz="6" w:space="0"/>
              <w:bottom w:val="outset" w:color="auto" w:sz="6" w:space="0"/>
              <w:right w:val="outset" w:color="auto" w:sz="6" w:space="0"/>
            </w:tcBorders>
            <w:vAlign w:val="center"/>
          </w:tcPr>
          <w:p w14:paraId="7297AA93">
            <w:pPr>
              <w:jc w:val="right"/>
            </w:pPr>
            <w:r>
              <w:t>71,683,989.91</w:t>
            </w:r>
          </w:p>
        </w:tc>
        <w:tc>
          <w:tcPr>
            <w:tcW w:w="1333" w:type="pct"/>
            <w:tcBorders>
              <w:top w:val="outset" w:color="auto" w:sz="6" w:space="0"/>
              <w:left w:val="outset" w:color="auto" w:sz="6" w:space="0"/>
              <w:bottom w:val="outset" w:color="auto" w:sz="6" w:space="0"/>
              <w:right w:val="outset" w:color="auto" w:sz="6" w:space="0"/>
            </w:tcBorders>
            <w:vAlign w:val="center"/>
          </w:tcPr>
          <w:p w14:paraId="3F77B8AC">
            <w:pPr>
              <w:jc w:val="right"/>
            </w:pPr>
            <w:r>
              <w:t>70,216,103.06</w:t>
            </w:r>
          </w:p>
        </w:tc>
      </w:tr>
      <w:tr w14:paraId="13EF48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237AB2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递延所得税负债</w:t>
            </w:r>
          </w:p>
        </w:tc>
        <w:tc>
          <w:tcPr>
            <w:tcW w:w="627" w:type="pct"/>
            <w:tcBorders>
              <w:top w:val="outset" w:color="auto" w:sz="6" w:space="0"/>
              <w:left w:val="outset" w:color="auto" w:sz="6" w:space="0"/>
              <w:bottom w:val="outset" w:color="auto" w:sz="6" w:space="0"/>
              <w:right w:val="outset" w:color="auto" w:sz="6" w:space="0"/>
            </w:tcBorders>
            <w:vAlign w:val="center"/>
          </w:tcPr>
          <w:p w14:paraId="1CADDFB2"/>
        </w:tc>
        <w:tc>
          <w:tcPr>
            <w:tcW w:w="1411" w:type="pct"/>
            <w:tcBorders>
              <w:top w:val="outset" w:color="auto" w:sz="6" w:space="0"/>
              <w:left w:val="outset" w:color="auto" w:sz="6" w:space="0"/>
              <w:bottom w:val="outset" w:color="auto" w:sz="6" w:space="0"/>
              <w:right w:val="outset" w:color="auto" w:sz="6" w:space="0"/>
            </w:tcBorders>
            <w:vAlign w:val="center"/>
          </w:tcPr>
          <w:p w14:paraId="556B720D">
            <w:pPr>
              <w:jc w:val="right"/>
            </w:pPr>
            <w:r>
              <w:t>30,926,367.18</w:t>
            </w:r>
          </w:p>
        </w:tc>
        <w:tc>
          <w:tcPr>
            <w:tcW w:w="1333" w:type="pct"/>
            <w:tcBorders>
              <w:top w:val="outset" w:color="auto" w:sz="6" w:space="0"/>
              <w:left w:val="outset" w:color="auto" w:sz="6" w:space="0"/>
              <w:bottom w:val="outset" w:color="auto" w:sz="6" w:space="0"/>
              <w:right w:val="outset" w:color="auto" w:sz="6" w:space="0"/>
            </w:tcBorders>
            <w:vAlign w:val="center"/>
          </w:tcPr>
          <w:p w14:paraId="16033404">
            <w:pPr>
              <w:jc w:val="right"/>
            </w:pPr>
            <w:r>
              <w:t>30,926,367.1</w:t>
            </w:r>
            <w:r>
              <w:rPr>
                <w:rFonts w:hint="eastAsia"/>
              </w:rPr>
              <w:t>8</w:t>
            </w:r>
          </w:p>
        </w:tc>
      </w:tr>
      <w:tr w14:paraId="2E86D7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5DB8A3A7">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其他非流动负债</w:t>
            </w:r>
          </w:p>
        </w:tc>
        <w:tc>
          <w:tcPr>
            <w:tcW w:w="627" w:type="pct"/>
            <w:tcBorders>
              <w:top w:val="outset" w:color="auto" w:sz="6" w:space="0"/>
              <w:left w:val="outset" w:color="auto" w:sz="6" w:space="0"/>
              <w:bottom w:val="outset" w:color="auto" w:sz="6" w:space="0"/>
              <w:right w:val="outset" w:color="auto" w:sz="6" w:space="0"/>
            </w:tcBorders>
            <w:vAlign w:val="center"/>
          </w:tcPr>
          <w:p w14:paraId="0F6B2586"/>
        </w:tc>
        <w:tc>
          <w:tcPr>
            <w:tcW w:w="1411" w:type="pct"/>
            <w:tcBorders>
              <w:top w:val="outset" w:color="auto" w:sz="6" w:space="0"/>
              <w:left w:val="outset" w:color="auto" w:sz="6" w:space="0"/>
              <w:bottom w:val="outset" w:color="auto" w:sz="6" w:space="0"/>
              <w:right w:val="outset" w:color="auto" w:sz="6" w:space="0"/>
            </w:tcBorders>
            <w:vAlign w:val="center"/>
          </w:tcPr>
          <w:p w14:paraId="1C8B2FB8">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22B25580">
            <w:pPr>
              <w:jc w:val="right"/>
            </w:pPr>
          </w:p>
        </w:tc>
      </w:tr>
      <w:tr w14:paraId="324819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5F51FD6">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非流动负债合计</w:t>
            </w:r>
          </w:p>
        </w:tc>
        <w:tc>
          <w:tcPr>
            <w:tcW w:w="627" w:type="pct"/>
            <w:tcBorders>
              <w:top w:val="outset" w:color="auto" w:sz="6" w:space="0"/>
              <w:left w:val="outset" w:color="auto" w:sz="6" w:space="0"/>
              <w:bottom w:val="outset" w:color="auto" w:sz="6" w:space="0"/>
              <w:right w:val="outset" w:color="auto" w:sz="6" w:space="0"/>
            </w:tcBorders>
            <w:vAlign w:val="center"/>
          </w:tcPr>
          <w:p w14:paraId="27D30FDD"/>
        </w:tc>
        <w:tc>
          <w:tcPr>
            <w:tcW w:w="1411" w:type="pct"/>
            <w:tcBorders>
              <w:top w:val="outset" w:color="auto" w:sz="6" w:space="0"/>
              <w:left w:val="outset" w:color="auto" w:sz="6" w:space="0"/>
              <w:bottom w:val="outset" w:color="auto" w:sz="6" w:space="0"/>
              <w:right w:val="outset" w:color="auto" w:sz="6" w:space="0"/>
            </w:tcBorders>
            <w:vAlign w:val="center"/>
          </w:tcPr>
          <w:p w14:paraId="671450D3">
            <w:pPr>
              <w:jc w:val="right"/>
            </w:pPr>
            <w:r>
              <w:t>224,665,055.08</w:t>
            </w:r>
          </w:p>
        </w:tc>
        <w:tc>
          <w:tcPr>
            <w:tcW w:w="1333" w:type="pct"/>
            <w:tcBorders>
              <w:top w:val="outset" w:color="auto" w:sz="6" w:space="0"/>
              <w:left w:val="outset" w:color="auto" w:sz="6" w:space="0"/>
              <w:bottom w:val="outset" w:color="auto" w:sz="6" w:space="0"/>
              <w:right w:val="outset" w:color="auto" w:sz="6" w:space="0"/>
            </w:tcBorders>
            <w:vAlign w:val="center"/>
          </w:tcPr>
          <w:p w14:paraId="116D89B2">
            <w:pPr>
              <w:jc w:val="right"/>
            </w:pPr>
            <w:r>
              <w:t>197,454,787.30</w:t>
            </w:r>
          </w:p>
        </w:tc>
      </w:tr>
      <w:tr w14:paraId="612DBF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13025C0F">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负债合计</w:t>
            </w:r>
          </w:p>
        </w:tc>
        <w:tc>
          <w:tcPr>
            <w:tcW w:w="627" w:type="pct"/>
            <w:tcBorders>
              <w:top w:val="outset" w:color="auto" w:sz="6" w:space="0"/>
              <w:left w:val="outset" w:color="auto" w:sz="6" w:space="0"/>
              <w:bottom w:val="outset" w:color="auto" w:sz="6" w:space="0"/>
              <w:right w:val="outset" w:color="auto" w:sz="6" w:space="0"/>
            </w:tcBorders>
            <w:vAlign w:val="center"/>
          </w:tcPr>
          <w:p w14:paraId="5C92594E"/>
        </w:tc>
        <w:tc>
          <w:tcPr>
            <w:tcW w:w="1411" w:type="pct"/>
            <w:tcBorders>
              <w:top w:val="outset" w:color="auto" w:sz="6" w:space="0"/>
              <w:left w:val="outset" w:color="auto" w:sz="6" w:space="0"/>
              <w:bottom w:val="outset" w:color="auto" w:sz="6" w:space="0"/>
              <w:right w:val="outset" w:color="auto" w:sz="6" w:space="0"/>
            </w:tcBorders>
            <w:vAlign w:val="center"/>
          </w:tcPr>
          <w:p w14:paraId="7578E577">
            <w:pPr>
              <w:jc w:val="right"/>
            </w:pPr>
            <w:r>
              <w:t>3,139,573,547.64</w:t>
            </w:r>
          </w:p>
        </w:tc>
        <w:tc>
          <w:tcPr>
            <w:tcW w:w="1333" w:type="pct"/>
            <w:tcBorders>
              <w:top w:val="outset" w:color="auto" w:sz="6" w:space="0"/>
              <w:left w:val="outset" w:color="auto" w:sz="6" w:space="0"/>
              <w:bottom w:val="outset" w:color="auto" w:sz="6" w:space="0"/>
              <w:right w:val="outset" w:color="auto" w:sz="6" w:space="0"/>
            </w:tcBorders>
            <w:vAlign w:val="center"/>
          </w:tcPr>
          <w:p w14:paraId="3A080828">
            <w:pPr>
              <w:jc w:val="right"/>
            </w:pPr>
            <w:r>
              <w:t>3,031,234,701.74</w:t>
            </w:r>
          </w:p>
        </w:tc>
      </w:tr>
      <w:tr w14:paraId="67411C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b3c95ee428314f8b8091bd15dff2a83d"/>
            <w:id w:val="-1490710601"/>
          </w:sdtPr>
          <w:sdtContent>
            <w:tc>
              <w:tcPr>
                <w:tcW w:w="5000" w:type="pct"/>
                <w:gridSpan w:val="4"/>
                <w:tcBorders>
                  <w:top w:val="outset" w:color="auto" w:sz="6" w:space="0"/>
                  <w:left w:val="outset" w:color="auto" w:sz="6" w:space="0"/>
                  <w:bottom w:val="outset" w:color="auto" w:sz="6" w:space="0"/>
                  <w:right w:val="outset" w:color="auto" w:sz="6" w:space="0"/>
                </w:tcBorders>
                <w:vAlign w:val="center"/>
              </w:tcPr>
              <w:p w14:paraId="330BD041">
                <w:pPr>
                  <w:rPr>
                    <w:color w:val="000000" w:themeColor="text1"/>
                    <w14:textFill>
                      <w14:solidFill>
                        <w14:schemeClr w14:val="tx1"/>
                      </w14:solidFill>
                    </w14:textFill>
                  </w:rPr>
                </w:pPr>
                <w:r>
                  <w:rPr>
                    <w:rFonts w:hint="eastAsia"/>
                    <w:b/>
                    <w:color w:val="000000" w:themeColor="text1"/>
                    <w14:textFill>
                      <w14:solidFill>
                        <w14:schemeClr w14:val="tx1"/>
                      </w14:solidFill>
                    </w14:textFill>
                  </w:rPr>
                  <w:t>所有者权益（或股东权益）：</w:t>
                </w:r>
              </w:p>
            </w:tc>
          </w:sdtContent>
        </w:sdt>
      </w:tr>
      <w:tr w14:paraId="269377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47E4323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实收资本（或股本）</w:t>
            </w:r>
          </w:p>
        </w:tc>
        <w:tc>
          <w:tcPr>
            <w:tcW w:w="627" w:type="pct"/>
            <w:tcBorders>
              <w:top w:val="outset" w:color="auto" w:sz="6" w:space="0"/>
              <w:left w:val="outset" w:color="auto" w:sz="6" w:space="0"/>
              <w:bottom w:val="outset" w:color="auto" w:sz="6" w:space="0"/>
              <w:right w:val="outset" w:color="auto" w:sz="6" w:space="0"/>
            </w:tcBorders>
            <w:vAlign w:val="center"/>
          </w:tcPr>
          <w:p w14:paraId="18671F5B"/>
        </w:tc>
        <w:tc>
          <w:tcPr>
            <w:tcW w:w="1411" w:type="pct"/>
            <w:tcBorders>
              <w:top w:val="outset" w:color="auto" w:sz="6" w:space="0"/>
              <w:left w:val="outset" w:color="auto" w:sz="6" w:space="0"/>
              <w:bottom w:val="outset" w:color="auto" w:sz="6" w:space="0"/>
              <w:right w:val="outset" w:color="auto" w:sz="6" w:space="0"/>
            </w:tcBorders>
            <w:vAlign w:val="center"/>
          </w:tcPr>
          <w:p w14:paraId="472AA273">
            <w:pPr>
              <w:jc w:val="right"/>
            </w:pPr>
            <w:r>
              <w:t>1,460,994,304.00</w:t>
            </w:r>
          </w:p>
        </w:tc>
        <w:tc>
          <w:tcPr>
            <w:tcW w:w="1333" w:type="pct"/>
            <w:tcBorders>
              <w:top w:val="outset" w:color="auto" w:sz="6" w:space="0"/>
              <w:left w:val="outset" w:color="auto" w:sz="6" w:space="0"/>
              <w:bottom w:val="outset" w:color="auto" w:sz="6" w:space="0"/>
              <w:right w:val="outset" w:color="auto" w:sz="6" w:space="0"/>
            </w:tcBorders>
            <w:vAlign w:val="center"/>
          </w:tcPr>
          <w:p w14:paraId="49A6FF0D">
            <w:pPr>
              <w:jc w:val="right"/>
            </w:pPr>
            <w:r>
              <w:t>1,460,994,304.00</w:t>
            </w:r>
          </w:p>
        </w:tc>
      </w:tr>
      <w:tr w14:paraId="730BE6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02598B69">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其他权益工具</w:t>
            </w:r>
          </w:p>
        </w:tc>
        <w:tc>
          <w:tcPr>
            <w:tcW w:w="627" w:type="pct"/>
            <w:tcBorders>
              <w:top w:val="outset" w:color="auto" w:sz="6" w:space="0"/>
              <w:left w:val="outset" w:color="auto" w:sz="6" w:space="0"/>
              <w:bottom w:val="outset" w:color="auto" w:sz="6" w:space="0"/>
              <w:right w:val="outset" w:color="auto" w:sz="6" w:space="0"/>
            </w:tcBorders>
            <w:vAlign w:val="center"/>
          </w:tcPr>
          <w:p w14:paraId="4045E375"/>
        </w:tc>
        <w:tc>
          <w:tcPr>
            <w:tcW w:w="1411" w:type="pct"/>
            <w:tcBorders>
              <w:top w:val="outset" w:color="auto" w:sz="6" w:space="0"/>
              <w:left w:val="outset" w:color="auto" w:sz="6" w:space="0"/>
              <w:bottom w:val="outset" w:color="auto" w:sz="6" w:space="0"/>
              <w:right w:val="outset" w:color="auto" w:sz="6" w:space="0"/>
            </w:tcBorders>
            <w:vAlign w:val="center"/>
          </w:tcPr>
          <w:p w14:paraId="5433CEB4">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628DC002">
            <w:pPr>
              <w:jc w:val="right"/>
            </w:pPr>
          </w:p>
        </w:tc>
      </w:tr>
      <w:tr w14:paraId="00BFFE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629" w:type="pct"/>
            <w:tcBorders>
              <w:top w:val="outset" w:color="auto" w:sz="6" w:space="0"/>
              <w:left w:val="outset" w:color="auto" w:sz="6" w:space="0"/>
              <w:bottom w:val="outset" w:color="auto" w:sz="6" w:space="0"/>
              <w:right w:val="outset" w:color="auto" w:sz="6" w:space="0"/>
            </w:tcBorders>
            <w:vAlign w:val="center"/>
          </w:tcPr>
          <w:p w14:paraId="2AA1B9F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其中：优先股</w:t>
            </w:r>
          </w:p>
        </w:tc>
        <w:tc>
          <w:tcPr>
            <w:tcW w:w="627" w:type="pct"/>
            <w:tcBorders>
              <w:top w:val="outset" w:color="auto" w:sz="6" w:space="0"/>
              <w:left w:val="outset" w:color="auto" w:sz="6" w:space="0"/>
              <w:bottom w:val="outset" w:color="auto" w:sz="6" w:space="0"/>
              <w:right w:val="outset" w:color="auto" w:sz="6" w:space="0"/>
            </w:tcBorders>
            <w:vAlign w:val="center"/>
          </w:tcPr>
          <w:p w14:paraId="1967DF79"/>
        </w:tc>
        <w:tc>
          <w:tcPr>
            <w:tcW w:w="1411" w:type="pct"/>
            <w:tcBorders>
              <w:top w:val="outset" w:color="auto" w:sz="6" w:space="0"/>
              <w:left w:val="outset" w:color="auto" w:sz="6" w:space="0"/>
              <w:bottom w:val="outset" w:color="auto" w:sz="6" w:space="0"/>
              <w:right w:val="outset" w:color="auto" w:sz="6" w:space="0"/>
            </w:tcBorders>
            <w:vAlign w:val="center"/>
          </w:tcPr>
          <w:p w14:paraId="40F4D4E9">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0B98D214">
            <w:pPr>
              <w:jc w:val="right"/>
            </w:pPr>
          </w:p>
        </w:tc>
      </w:tr>
      <w:tr w14:paraId="5B84B9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6086743D">
            <w:pPr>
              <w:ind w:firstLine="840" w:firstLineChars="400"/>
              <w:rPr>
                <w:color w:val="000000" w:themeColor="text1"/>
                <w14:textFill>
                  <w14:solidFill>
                    <w14:schemeClr w14:val="tx1"/>
                  </w14:solidFill>
                </w14:textFill>
              </w:rPr>
            </w:pPr>
            <w:r>
              <w:rPr>
                <w:rFonts w:hint="eastAsia"/>
                <w:color w:val="000000" w:themeColor="text1"/>
                <w14:textFill>
                  <w14:solidFill>
                    <w14:schemeClr w14:val="tx1"/>
                  </w14:solidFill>
                </w14:textFill>
              </w:rPr>
              <w:t>永续债</w:t>
            </w:r>
          </w:p>
        </w:tc>
        <w:tc>
          <w:tcPr>
            <w:tcW w:w="627" w:type="pct"/>
            <w:tcBorders>
              <w:top w:val="outset" w:color="auto" w:sz="6" w:space="0"/>
              <w:left w:val="outset" w:color="auto" w:sz="6" w:space="0"/>
              <w:bottom w:val="outset" w:color="auto" w:sz="6" w:space="0"/>
              <w:right w:val="outset" w:color="auto" w:sz="6" w:space="0"/>
            </w:tcBorders>
            <w:vAlign w:val="center"/>
          </w:tcPr>
          <w:p w14:paraId="21261FFB"/>
        </w:tc>
        <w:tc>
          <w:tcPr>
            <w:tcW w:w="1411" w:type="pct"/>
            <w:tcBorders>
              <w:top w:val="outset" w:color="auto" w:sz="6" w:space="0"/>
              <w:left w:val="outset" w:color="auto" w:sz="6" w:space="0"/>
              <w:bottom w:val="outset" w:color="auto" w:sz="6" w:space="0"/>
              <w:right w:val="outset" w:color="auto" w:sz="6" w:space="0"/>
            </w:tcBorders>
            <w:vAlign w:val="center"/>
          </w:tcPr>
          <w:p w14:paraId="4EA59AA1">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4229E00A">
            <w:pPr>
              <w:jc w:val="right"/>
            </w:pPr>
          </w:p>
        </w:tc>
      </w:tr>
      <w:tr w14:paraId="104B22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629" w:type="pct"/>
            <w:tcBorders>
              <w:top w:val="outset" w:color="auto" w:sz="6" w:space="0"/>
              <w:left w:val="outset" w:color="auto" w:sz="6" w:space="0"/>
              <w:bottom w:val="outset" w:color="auto" w:sz="6" w:space="0"/>
              <w:right w:val="outset" w:color="auto" w:sz="6" w:space="0"/>
            </w:tcBorders>
            <w:vAlign w:val="center"/>
          </w:tcPr>
          <w:p w14:paraId="0DC948C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资本公积</w:t>
            </w:r>
          </w:p>
        </w:tc>
        <w:tc>
          <w:tcPr>
            <w:tcW w:w="627" w:type="pct"/>
            <w:tcBorders>
              <w:top w:val="outset" w:color="auto" w:sz="6" w:space="0"/>
              <w:left w:val="outset" w:color="auto" w:sz="6" w:space="0"/>
              <w:bottom w:val="outset" w:color="auto" w:sz="6" w:space="0"/>
              <w:right w:val="outset" w:color="auto" w:sz="6" w:space="0"/>
            </w:tcBorders>
            <w:vAlign w:val="center"/>
          </w:tcPr>
          <w:p w14:paraId="7DF917FC"/>
        </w:tc>
        <w:tc>
          <w:tcPr>
            <w:tcW w:w="1411" w:type="pct"/>
            <w:tcBorders>
              <w:top w:val="outset" w:color="auto" w:sz="6" w:space="0"/>
              <w:left w:val="outset" w:color="auto" w:sz="6" w:space="0"/>
              <w:bottom w:val="outset" w:color="auto" w:sz="6" w:space="0"/>
              <w:right w:val="outset" w:color="auto" w:sz="6" w:space="0"/>
            </w:tcBorders>
            <w:vAlign w:val="center"/>
          </w:tcPr>
          <w:p w14:paraId="581A12C2">
            <w:pPr>
              <w:jc w:val="right"/>
            </w:pPr>
            <w:r>
              <w:t>399,925,938.07</w:t>
            </w:r>
          </w:p>
        </w:tc>
        <w:tc>
          <w:tcPr>
            <w:tcW w:w="1333" w:type="pct"/>
            <w:tcBorders>
              <w:top w:val="outset" w:color="auto" w:sz="6" w:space="0"/>
              <w:left w:val="outset" w:color="auto" w:sz="6" w:space="0"/>
              <w:bottom w:val="outset" w:color="auto" w:sz="6" w:space="0"/>
              <w:right w:val="outset" w:color="auto" w:sz="6" w:space="0"/>
            </w:tcBorders>
            <w:vAlign w:val="center"/>
          </w:tcPr>
          <w:p w14:paraId="7B4E9230">
            <w:pPr>
              <w:jc w:val="right"/>
            </w:pPr>
            <w:r>
              <w:t>399,925,938.07</w:t>
            </w:r>
          </w:p>
        </w:tc>
      </w:tr>
      <w:tr w14:paraId="621C4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D8A1EF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减：库存股</w:t>
            </w:r>
          </w:p>
        </w:tc>
        <w:tc>
          <w:tcPr>
            <w:tcW w:w="627" w:type="pct"/>
            <w:tcBorders>
              <w:top w:val="outset" w:color="auto" w:sz="6" w:space="0"/>
              <w:left w:val="outset" w:color="auto" w:sz="6" w:space="0"/>
              <w:bottom w:val="outset" w:color="auto" w:sz="6" w:space="0"/>
              <w:right w:val="outset" w:color="auto" w:sz="6" w:space="0"/>
            </w:tcBorders>
            <w:vAlign w:val="center"/>
          </w:tcPr>
          <w:p w14:paraId="26D21E5B"/>
        </w:tc>
        <w:tc>
          <w:tcPr>
            <w:tcW w:w="1411" w:type="pct"/>
            <w:tcBorders>
              <w:top w:val="outset" w:color="auto" w:sz="6" w:space="0"/>
              <w:left w:val="outset" w:color="auto" w:sz="6" w:space="0"/>
              <w:bottom w:val="outset" w:color="auto" w:sz="6" w:space="0"/>
              <w:right w:val="outset" w:color="auto" w:sz="6" w:space="0"/>
            </w:tcBorders>
            <w:vAlign w:val="center"/>
          </w:tcPr>
          <w:p w14:paraId="65E346DF">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5B22D398">
            <w:pPr>
              <w:jc w:val="right"/>
            </w:pPr>
          </w:p>
        </w:tc>
      </w:tr>
      <w:tr w14:paraId="6F7EE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2F6AE41">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其他综合收益</w:t>
            </w:r>
          </w:p>
        </w:tc>
        <w:tc>
          <w:tcPr>
            <w:tcW w:w="627" w:type="pct"/>
            <w:tcBorders>
              <w:top w:val="outset" w:color="auto" w:sz="6" w:space="0"/>
              <w:left w:val="outset" w:color="auto" w:sz="6" w:space="0"/>
              <w:bottom w:val="outset" w:color="auto" w:sz="6" w:space="0"/>
              <w:right w:val="outset" w:color="auto" w:sz="6" w:space="0"/>
            </w:tcBorders>
            <w:vAlign w:val="center"/>
          </w:tcPr>
          <w:p w14:paraId="7C87F277"/>
        </w:tc>
        <w:tc>
          <w:tcPr>
            <w:tcW w:w="1411" w:type="pct"/>
            <w:tcBorders>
              <w:top w:val="outset" w:color="auto" w:sz="6" w:space="0"/>
              <w:left w:val="outset" w:color="auto" w:sz="6" w:space="0"/>
              <w:bottom w:val="outset" w:color="auto" w:sz="6" w:space="0"/>
              <w:right w:val="outset" w:color="auto" w:sz="6" w:space="0"/>
            </w:tcBorders>
            <w:vAlign w:val="center"/>
          </w:tcPr>
          <w:p w14:paraId="066DAD01">
            <w:pPr>
              <w:jc w:val="right"/>
            </w:pPr>
            <w:r>
              <w:t>92,779,101.53</w:t>
            </w:r>
          </w:p>
        </w:tc>
        <w:tc>
          <w:tcPr>
            <w:tcW w:w="1333" w:type="pct"/>
            <w:tcBorders>
              <w:top w:val="outset" w:color="auto" w:sz="6" w:space="0"/>
              <w:left w:val="outset" w:color="auto" w:sz="6" w:space="0"/>
              <w:bottom w:val="outset" w:color="auto" w:sz="6" w:space="0"/>
              <w:right w:val="outset" w:color="auto" w:sz="6" w:space="0"/>
            </w:tcBorders>
            <w:vAlign w:val="center"/>
          </w:tcPr>
          <w:p w14:paraId="3892B6E3">
            <w:pPr>
              <w:jc w:val="right"/>
            </w:pPr>
            <w:r>
              <w:t>92,779,101.53</w:t>
            </w:r>
          </w:p>
        </w:tc>
      </w:tr>
      <w:tr w14:paraId="091B71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34F08C7">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专项储备</w:t>
            </w:r>
          </w:p>
        </w:tc>
        <w:tc>
          <w:tcPr>
            <w:tcW w:w="627" w:type="pct"/>
            <w:tcBorders>
              <w:top w:val="outset" w:color="auto" w:sz="6" w:space="0"/>
              <w:left w:val="outset" w:color="auto" w:sz="6" w:space="0"/>
              <w:bottom w:val="outset" w:color="auto" w:sz="6" w:space="0"/>
              <w:right w:val="outset" w:color="auto" w:sz="6" w:space="0"/>
            </w:tcBorders>
            <w:vAlign w:val="center"/>
          </w:tcPr>
          <w:p w14:paraId="3A109CD3"/>
        </w:tc>
        <w:tc>
          <w:tcPr>
            <w:tcW w:w="1411" w:type="pct"/>
            <w:tcBorders>
              <w:top w:val="outset" w:color="auto" w:sz="6" w:space="0"/>
              <w:left w:val="outset" w:color="auto" w:sz="6" w:space="0"/>
              <w:bottom w:val="outset" w:color="auto" w:sz="6" w:space="0"/>
              <w:right w:val="outset" w:color="auto" w:sz="6" w:space="0"/>
            </w:tcBorders>
            <w:vAlign w:val="center"/>
          </w:tcPr>
          <w:p w14:paraId="2A5D1F19">
            <w:pPr>
              <w:jc w:val="right"/>
            </w:pPr>
          </w:p>
        </w:tc>
        <w:tc>
          <w:tcPr>
            <w:tcW w:w="1333" w:type="pct"/>
            <w:tcBorders>
              <w:top w:val="outset" w:color="auto" w:sz="6" w:space="0"/>
              <w:left w:val="outset" w:color="auto" w:sz="6" w:space="0"/>
              <w:bottom w:val="outset" w:color="auto" w:sz="6" w:space="0"/>
              <w:right w:val="outset" w:color="auto" w:sz="6" w:space="0"/>
            </w:tcBorders>
            <w:vAlign w:val="center"/>
          </w:tcPr>
          <w:p w14:paraId="517ED0C2">
            <w:pPr>
              <w:jc w:val="right"/>
            </w:pPr>
          </w:p>
        </w:tc>
      </w:tr>
      <w:tr w14:paraId="50B7B5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7CE4D37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盈余公积</w:t>
            </w:r>
          </w:p>
        </w:tc>
        <w:tc>
          <w:tcPr>
            <w:tcW w:w="627" w:type="pct"/>
            <w:tcBorders>
              <w:top w:val="outset" w:color="auto" w:sz="6" w:space="0"/>
              <w:left w:val="outset" w:color="auto" w:sz="6" w:space="0"/>
              <w:bottom w:val="outset" w:color="auto" w:sz="6" w:space="0"/>
              <w:right w:val="outset" w:color="auto" w:sz="6" w:space="0"/>
            </w:tcBorders>
            <w:vAlign w:val="center"/>
          </w:tcPr>
          <w:p w14:paraId="719138FF"/>
        </w:tc>
        <w:tc>
          <w:tcPr>
            <w:tcW w:w="1411" w:type="pct"/>
            <w:tcBorders>
              <w:top w:val="outset" w:color="auto" w:sz="6" w:space="0"/>
              <w:left w:val="outset" w:color="auto" w:sz="6" w:space="0"/>
              <w:bottom w:val="outset" w:color="auto" w:sz="6" w:space="0"/>
              <w:right w:val="outset" w:color="auto" w:sz="6" w:space="0"/>
            </w:tcBorders>
            <w:vAlign w:val="center"/>
          </w:tcPr>
          <w:p w14:paraId="6B447476">
            <w:pPr>
              <w:jc w:val="right"/>
            </w:pPr>
            <w:r>
              <w:t>270,275,602.84</w:t>
            </w:r>
          </w:p>
        </w:tc>
        <w:tc>
          <w:tcPr>
            <w:tcW w:w="1333" w:type="pct"/>
            <w:tcBorders>
              <w:top w:val="outset" w:color="auto" w:sz="6" w:space="0"/>
              <w:left w:val="outset" w:color="auto" w:sz="6" w:space="0"/>
              <w:bottom w:val="outset" w:color="auto" w:sz="6" w:space="0"/>
              <w:right w:val="outset" w:color="auto" w:sz="6" w:space="0"/>
            </w:tcBorders>
            <w:vAlign w:val="center"/>
          </w:tcPr>
          <w:p w14:paraId="3C34CD60">
            <w:pPr>
              <w:jc w:val="right"/>
            </w:pPr>
            <w:r>
              <w:t>270,275,602.84</w:t>
            </w:r>
          </w:p>
        </w:tc>
      </w:tr>
      <w:tr w14:paraId="37117C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2AC003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未分配利润</w:t>
            </w:r>
          </w:p>
        </w:tc>
        <w:tc>
          <w:tcPr>
            <w:tcW w:w="627" w:type="pct"/>
            <w:tcBorders>
              <w:top w:val="outset" w:color="auto" w:sz="6" w:space="0"/>
              <w:left w:val="outset" w:color="auto" w:sz="6" w:space="0"/>
              <w:bottom w:val="outset" w:color="auto" w:sz="6" w:space="0"/>
              <w:right w:val="outset" w:color="auto" w:sz="6" w:space="0"/>
            </w:tcBorders>
            <w:vAlign w:val="center"/>
          </w:tcPr>
          <w:p w14:paraId="0B900570"/>
        </w:tc>
        <w:tc>
          <w:tcPr>
            <w:tcW w:w="1411" w:type="pct"/>
            <w:tcBorders>
              <w:top w:val="outset" w:color="auto" w:sz="6" w:space="0"/>
              <w:left w:val="outset" w:color="auto" w:sz="6" w:space="0"/>
              <w:bottom w:val="outset" w:color="auto" w:sz="6" w:space="0"/>
              <w:right w:val="outset" w:color="auto" w:sz="6" w:space="0"/>
            </w:tcBorders>
            <w:vAlign w:val="center"/>
          </w:tcPr>
          <w:p w14:paraId="2F2D3E8E">
            <w:pPr>
              <w:jc w:val="right"/>
            </w:pPr>
            <w:r>
              <w:t>1,561,099,335.47</w:t>
            </w:r>
          </w:p>
        </w:tc>
        <w:tc>
          <w:tcPr>
            <w:tcW w:w="1333" w:type="pct"/>
            <w:tcBorders>
              <w:top w:val="outset" w:color="auto" w:sz="6" w:space="0"/>
              <w:left w:val="outset" w:color="auto" w:sz="6" w:space="0"/>
              <w:bottom w:val="outset" w:color="auto" w:sz="6" w:space="0"/>
              <w:right w:val="outset" w:color="auto" w:sz="6" w:space="0"/>
            </w:tcBorders>
            <w:vAlign w:val="center"/>
          </w:tcPr>
          <w:p w14:paraId="75C58F25">
            <w:pPr>
              <w:jc w:val="right"/>
            </w:pPr>
            <w:r>
              <w:t>1,548,050,517.09</w:t>
            </w:r>
          </w:p>
        </w:tc>
      </w:tr>
      <w:tr w14:paraId="62CB4E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34D57608">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所有者权益（或股东权益）合计</w:t>
            </w:r>
          </w:p>
        </w:tc>
        <w:tc>
          <w:tcPr>
            <w:tcW w:w="627" w:type="pct"/>
            <w:tcBorders>
              <w:top w:val="outset" w:color="auto" w:sz="6" w:space="0"/>
              <w:left w:val="outset" w:color="auto" w:sz="6" w:space="0"/>
              <w:bottom w:val="outset" w:color="auto" w:sz="6" w:space="0"/>
              <w:right w:val="outset" w:color="auto" w:sz="6" w:space="0"/>
            </w:tcBorders>
            <w:vAlign w:val="center"/>
          </w:tcPr>
          <w:p w14:paraId="7C1DE6C5"/>
        </w:tc>
        <w:tc>
          <w:tcPr>
            <w:tcW w:w="1411" w:type="pct"/>
            <w:tcBorders>
              <w:top w:val="outset" w:color="auto" w:sz="6" w:space="0"/>
              <w:left w:val="outset" w:color="auto" w:sz="6" w:space="0"/>
              <w:bottom w:val="outset" w:color="auto" w:sz="6" w:space="0"/>
              <w:right w:val="outset" w:color="auto" w:sz="6" w:space="0"/>
            </w:tcBorders>
            <w:vAlign w:val="center"/>
          </w:tcPr>
          <w:p w14:paraId="222B19EA">
            <w:pPr>
              <w:jc w:val="right"/>
            </w:pPr>
            <w:r>
              <w:t>3,785,074,281.91</w:t>
            </w:r>
          </w:p>
        </w:tc>
        <w:tc>
          <w:tcPr>
            <w:tcW w:w="1333" w:type="pct"/>
            <w:tcBorders>
              <w:top w:val="outset" w:color="auto" w:sz="6" w:space="0"/>
              <w:left w:val="outset" w:color="auto" w:sz="6" w:space="0"/>
              <w:bottom w:val="outset" w:color="auto" w:sz="6" w:space="0"/>
              <w:right w:val="outset" w:color="auto" w:sz="6" w:space="0"/>
            </w:tcBorders>
            <w:vAlign w:val="center"/>
          </w:tcPr>
          <w:p w14:paraId="6A8DF3B5">
            <w:pPr>
              <w:jc w:val="right"/>
            </w:pPr>
            <w:r>
              <w:t>3,772,025,463.53</w:t>
            </w:r>
          </w:p>
        </w:tc>
      </w:tr>
      <w:tr w14:paraId="682CB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9" w:type="pct"/>
            <w:tcBorders>
              <w:top w:val="outset" w:color="auto" w:sz="6" w:space="0"/>
              <w:left w:val="outset" w:color="auto" w:sz="6" w:space="0"/>
              <w:bottom w:val="outset" w:color="auto" w:sz="6" w:space="0"/>
              <w:right w:val="outset" w:color="auto" w:sz="6" w:space="0"/>
            </w:tcBorders>
            <w:vAlign w:val="center"/>
          </w:tcPr>
          <w:p w14:paraId="2C8DA0F8">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负债和所有者权益（或股东权益）总计</w:t>
            </w:r>
          </w:p>
        </w:tc>
        <w:tc>
          <w:tcPr>
            <w:tcW w:w="627" w:type="pct"/>
            <w:tcBorders>
              <w:top w:val="outset" w:color="auto" w:sz="6" w:space="0"/>
              <w:left w:val="outset" w:color="auto" w:sz="6" w:space="0"/>
              <w:bottom w:val="outset" w:color="auto" w:sz="6" w:space="0"/>
              <w:right w:val="outset" w:color="auto" w:sz="6" w:space="0"/>
            </w:tcBorders>
            <w:vAlign w:val="center"/>
          </w:tcPr>
          <w:p w14:paraId="506501FD"/>
        </w:tc>
        <w:tc>
          <w:tcPr>
            <w:tcW w:w="1411" w:type="pct"/>
            <w:tcBorders>
              <w:top w:val="outset" w:color="auto" w:sz="6" w:space="0"/>
              <w:left w:val="outset" w:color="auto" w:sz="6" w:space="0"/>
              <w:bottom w:val="outset" w:color="auto" w:sz="6" w:space="0"/>
              <w:right w:val="outset" w:color="auto" w:sz="6" w:space="0"/>
            </w:tcBorders>
            <w:vAlign w:val="center"/>
          </w:tcPr>
          <w:p w14:paraId="4E0A3415">
            <w:pPr>
              <w:jc w:val="right"/>
            </w:pPr>
            <w:r>
              <w:t>6,924,647,829.55</w:t>
            </w:r>
          </w:p>
        </w:tc>
        <w:tc>
          <w:tcPr>
            <w:tcW w:w="1333" w:type="pct"/>
            <w:tcBorders>
              <w:top w:val="outset" w:color="auto" w:sz="6" w:space="0"/>
              <w:left w:val="outset" w:color="auto" w:sz="6" w:space="0"/>
              <w:bottom w:val="outset" w:color="auto" w:sz="6" w:space="0"/>
              <w:right w:val="outset" w:color="auto" w:sz="6" w:space="0"/>
            </w:tcBorders>
            <w:vAlign w:val="center"/>
          </w:tcPr>
          <w:p w14:paraId="787CD60D">
            <w:pPr>
              <w:jc w:val="right"/>
            </w:pPr>
            <w:r>
              <w:t>6,803,260,165.27</w:t>
            </w:r>
          </w:p>
        </w:tc>
      </w:tr>
      <w:bookmarkEnd w:id="118"/>
    </w:tbl>
    <w:p w14:paraId="171EB3BE">
      <w:pPr>
        <w:ind w:right="-153" w:rightChars="-73"/>
        <w:rPr>
          <w:color w:val="000000" w:themeColor="text1"/>
          <w14:textFill>
            <w14:solidFill>
              <w14:schemeClr w14:val="tx1"/>
            </w14:solidFill>
          </w14:textFill>
        </w:rPr>
      </w:pPr>
    </w:p>
    <w:p w14:paraId="0FE23886">
      <w:pPr>
        <w:ind w:right="-153" w:rightChars="-73"/>
        <w:rPr>
          <w:color w:val="000000" w:themeColor="text1"/>
          <w14:textFill>
            <w14:solidFill>
              <w14:schemeClr w14:val="tx1"/>
            </w14:solidFill>
          </w14:textFill>
        </w:rPr>
      </w:pPr>
      <w:r>
        <w:rPr>
          <w:color w:val="000000" w:themeColor="text1"/>
          <w14:textFill>
            <w14:solidFill>
              <w14:schemeClr w14:val="tx1"/>
            </w14:solidFill>
          </w14:textFill>
        </w:rPr>
        <w:t>公司负责人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公司负责人"/>
          <w:tag w:val="_GBC_f43f422c96ec4e009c3976ce8e58b778"/>
          <w:id w:val="-1374069876"/>
          <w:placeholder>
            <w:docPart w:val="GBC22222222222222222222222222222"/>
          </w:placeholder>
          <w:dataBinding w:prefixMappings="xmlns:clcid-mr='clcid-mr'" w:xpath="/*/clcid-mr:GongSi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唐传勤</w:t>
          </w:r>
        </w:sdtContent>
      </w:sdt>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主管会计工作负责人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主管会计工作负责人姓名"/>
          <w:tag w:val="_GBC_3ac751c8378d4424bbdf4c74057683d9"/>
          <w:id w:val="1686549303"/>
          <w:placeholder>
            <w:docPart w:val="GBC22222222222222222222222222222"/>
          </w:placeholder>
          <w:dataBinding w:prefixMappings="xmlns:clcid-mr='clcid-mr'" w:xpath="/*/clcid-mr:ZhuGuanKuaiJiGongZuo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宋荣超</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会计机构负责人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会计机构负责人姓名"/>
          <w:tag w:val="_GBC_182ff185180a4ea4b9c93bbd4b01de2c"/>
          <w:id w:val="-1753652313"/>
          <w:placeholder>
            <w:docPart w:val="GBC22222222222222222222222222222"/>
          </w:placeholder>
          <w:dataBinding w:prefixMappings="xmlns:clcid-mr='clcid-mr'" w:xpath="/*/clcid-mr:KuaiJiJiGou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张小嫘</w:t>
          </w:r>
        </w:sdtContent>
      </w:sdt>
    </w:p>
    <w:p w14:paraId="749F1E81">
      <w:pPr>
        <w:snapToGrid w:val="0"/>
        <w:rPr>
          <w:color w:val="000000" w:themeColor="text1"/>
          <w14:textFill>
            <w14:solidFill>
              <w14:schemeClr w14:val="tx1"/>
            </w14:solidFill>
          </w14:textFill>
        </w:rPr>
      </w:pPr>
    </w:p>
    <w:bookmarkEnd w:id="115"/>
    <w:p w14:paraId="1762330D">
      <w:pPr>
        <w:ind w:right="-153" w:rightChars="-73"/>
        <w:rPr>
          <w:b/>
          <w:bCs w:val="0"/>
          <w:color w:val="000000" w:themeColor="text1"/>
          <w:u w:val="single"/>
          <w14:textFill>
            <w14:solidFill>
              <w14:schemeClr w14:val="tx1"/>
            </w14:solidFill>
          </w14:textFill>
        </w:rPr>
      </w:pPr>
      <w:bookmarkStart w:id="119" w:name="_Hlk10210632"/>
      <w:bookmarkEnd w:id="119"/>
    </w:p>
    <w:p w14:paraId="2D4D3AB0">
      <w:pPr>
        <w:jc w:val="center"/>
        <w:rPr>
          <w:b/>
          <w:color w:val="000000" w:themeColor="text1"/>
          <w14:textFill>
            <w14:solidFill>
              <w14:schemeClr w14:val="tx1"/>
            </w14:solidFill>
          </w14:textFill>
        </w:rPr>
      </w:pPr>
      <w:bookmarkStart w:id="120" w:name="_Hlk10210822"/>
    </w:p>
    <w:p w14:paraId="06D137ED">
      <w:pPr>
        <w:pStyle w:val="4"/>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合并</w:t>
      </w:r>
      <w:r>
        <w:rPr>
          <w:rFonts w:ascii="宋体" w:hAnsi="宋体"/>
          <w:color w:val="000000" w:themeColor="text1"/>
          <w14:textFill>
            <w14:solidFill>
              <w14:schemeClr w14:val="tx1"/>
            </w14:solidFill>
          </w14:textFill>
        </w:rPr>
        <w:t>利润表</w:t>
      </w:r>
    </w:p>
    <w:p w14:paraId="235B253D">
      <w:pPr>
        <w:jc w:val="center"/>
        <w:rPr>
          <w:b/>
          <w:bCs w:val="0"/>
          <w:color w:val="000000" w:themeColor="text1"/>
          <w14:textFill>
            <w14:solidFill>
              <w14:schemeClr w14:val="tx1"/>
            </w14:solidFill>
          </w14:textFill>
        </w:rPr>
      </w:pPr>
      <w:r>
        <w:rPr>
          <w:color w:val="000000" w:themeColor="text1"/>
          <w14:textFill>
            <w14:solidFill>
              <w14:schemeClr w14:val="tx1"/>
            </w14:solidFill>
          </w14:textFill>
        </w:rPr>
        <w:t>2026年</w:t>
      </w:r>
      <w:r>
        <w:rPr>
          <w:rFonts w:hint="eastAsia"/>
          <w:color w:val="000000" w:themeColor="text1"/>
          <w14:textFill>
            <w14:solidFill>
              <w14:schemeClr w14:val="tx1"/>
            </w14:solidFill>
          </w14:textFill>
        </w:rPr>
        <w:t>1—6</w:t>
      </w:r>
      <w:r>
        <w:rPr>
          <w:color w:val="000000" w:themeColor="text1"/>
          <w14:textFill>
            <w14:solidFill>
              <w14:schemeClr w14:val="tx1"/>
            </w14:solidFill>
          </w14:textFill>
        </w:rPr>
        <w:t>月</w:t>
      </w:r>
    </w:p>
    <w:p w14:paraId="7AB05A17">
      <w:pPr>
        <w:jc w:val="right"/>
        <w:rPr>
          <w:color w:val="000000" w:themeColor="text1"/>
          <w14:textFill>
            <w14:solidFill>
              <w14:schemeClr w14:val="tx1"/>
            </w14:solidFill>
          </w14:textFill>
        </w:rPr>
      </w:pPr>
      <w:r>
        <w:rPr>
          <w:color w:val="000000" w:themeColor="text1"/>
          <w14:textFill>
            <w14:solidFill>
              <w14:schemeClr w14:val="tx1"/>
            </w14:solidFill>
          </w14:textFill>
        </w:rPr>
        <w:t>单位：</w:t>
      </w:r>
      <w:sdt>
        <w:sdtPr>
          <w:rPr>
            <w:color w:val="000000" w:themeColor="text1"/>
            <w14:textFill>
              <w14:solidFill>
                <w14:schemeClr w14:val="tx1"/>
              </w14:solidFill>
            </w14:textFill>
          </w:rPr>
          <w:alias w:val="单位：合并利润表"/>
          <w:tag w:val="_GBC_4fec24feb4834b768c484fe556046382"/>
          <w:id w:val="135469808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元</w:t>
          </w:r>
        </w:sdtContent>
      </w:sdt>
      <w:r>
        <w:rPr>
          <w:color w:val="000000" w:themeColor="text1"/>
          <w14:textFill>
            <w14:solidFill>
              <w14:schemeClr w14:val="tx1"/>
            </w14:solidFill>
          </w14:textFill>
        </w:rPr>
        <w:t xml:space="preserve"> 币种：</w:t>
      </w:r>
      <w:sdt>
        <w:sdtPr>
          <w:rPr>
            <w:color w:val="000000" w:themeColor="text1"/>
            <w14:textFill>
              <w14:solidFill>
                <w14:schemeClr w14:val="tx1"/>
              </w14:solidFill>
            </w14:textFill>
          </w:rPr>
          <w:alias w:val="币种：合并利润表"/>
          <w:tag w:val="_GBC_ae5c0d79e5694eb28ba1b8160e27a464"/>
          <w:id w:val="1357708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419"/>
        <w:gridCol w:w="1479"/>
        <w:gridCol w:w="1959"/>
        <w:gridCol w:w="1966"/>
      </w:tblGrid>
      <w:tr w14:paraId="12101D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ea01e0b0c9224fe59426c375515c2359"/>
            <w:id w:val="-672495885"/>
          </w:sdtPr>
          <w:sdtContent>
            <w:tc>
              <w:tcPr>
                <w:tcW w:w="1938" w:type="pct"/>
                <w:tcBorders>
                  <w:top w:val="outset" w:color="auto" w:sz="4" w:space="0"/>
                  <w:left w:val="outset" w:color="auto" w:sz="4" w:space="0"/>
                  <w:bottom w:val="outset" w:color="auto" w:sz="4" w:space="0"/>
                  <w:right w:val="outset" w:color="auto" w:sz="4" w:space="0"/>
                </w:tcBorders>
                <w:vAlign w:val="center"/>
              </w:tcPr>
              <w:p w14:paraId="5A7D28C1">
                <w:pPr>
                  <w:ind w:left="40" w:hanging="39" w:hangingChars="19"/>
                  <w:jc w:val="center"/>
                  <w:rPr>
                    <w:b/>
                    <w:color w:val="000000" w:themeColor="text1"/>
                    <w14:textFill>
                      <w14:solidFill>
                        <w14:schemeClr w14:val="tx1"/>
                      </w14:solidFill>
                    </w14:textFill>
                  </w:rPr>
                </w:pPr>
                <w:bookmarkStart w:id="121" w:name="_Hlk137050130"/>
                <w:r>
                  <w:rPr>
                    <w:b/>
                    <w:color w:val="000000" w:themeColor="text1"/>
                    <w14:textFill>
                      <w14:solidFill>
                        <w14:schemeClr w14:val="tx1"/>
                      </w14:solidFill>
                    </w14:textFill>
                  </w:rPr>
                  <w:t>项目</w:t>
                </w:r>
              </w:p>
            </w:tc>
          </w:sdtContent>
        </w:sdt>
        <w:sdt>
          <w:sdtPr>
            <w:tag w:val="_PLD_e4f45f42e79e4a4aba892e3a7a7b123d"/>
            <w:id w:val="1934241531"/>
          </w:sdtPr>
          <w:sdtContent>
            <w:tc>
              <w:tcPr>
                <w:tcW w:w="838" w:type="pct"/>
                <w:tcBorders>
                  <w:top w:val="outset" w:color="auto" w:sz="4" w:space="0"/>
                  <w:left w:val="outset" w:color="auto" w:sz="4" w:space="0"/>
                  <w:bottom w:val="outset" w:color="auto" w:sz="4" w:space="0"/>
                  <w:right w:val="outset" w:color="auto" w:sz="4" w:space="0"/>
                </w:tcBorders>
                <w:vAlign w:val="center"/>
              </w:tcPr>
              <w:p w14:paraId="0E914C75">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附注</w:t>
                </w:r>
              </w:p>
            </w:tc>
          </w:sdtContent>
        </w:sdt>
        <w:sdt>
          <w:sdtPr>
            <w:tag w:val="_PLD_41682cdf00e5450394986df99de953d1"/>
            <w:id w:val="-1295824610"/>
          </w:sdtPr>
          <w:sdtContent>
            <w:tc>
              <w:tcPr>
                <w:tcW w:w="1110" w:type="pct"/>
                <w:tcBorders>
                  <w:top w:val="outset" w:color="auto" w:sz="4" w:space="0"/>
                  <w:left w:val="outset" w:color="auto" w:sz="4" w:space="0"/>
                  <w:bottom w:val="outset" w:color="auto" w:sz="4" w:space="0"/>
                  <w:right w:val="outset" w:color="auto" w:sz="4" w:space="0"/>
                </w:tcBorders>
                <w:vAlign w:val="center"/>
              </w:tcPr>
              <w:p w14:paraId="772EDDE5">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2026年半年度</w:t>
                </w:r>
              </w:p>
            </w:tc>
          </w:sdtContent>
        </w:sdt>
        <w:sdt>
          <w:sdtPr>
            <w:tag w:val="_PLD_f020215569a54a6db2bd3d5298280e01"/>
            <w:id w:val="1578012223"/>
          </w:sdtPr>
          <w:sdtContent>
            <w:tc>
              <w:tcPr>
                <w:tcW w:w="1114" w:type="pct"/>
                <w:tcBorders>
                  <w:top w:val="outset" w:color="auto" w:sz="4" w:space="0"/>
                  <w:left w:val="outset" w:color="auto" w:sz="4" w:space="0"/>
                  <w:bottom w:val="outset" w:color="auto" w:sz="4" w:space="0"/>
                  <w:right w:val="outset" w:color="auto" w:sz="4" w:space="0"/>
                </w:tcBorders>
                <w:vAlign w:val="center"/>
              </w:tcPr>
              <w:p w14:paraId="5C039FA3">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2025年半年度</w:t>
                </w:r>
              </w:p>
            </w:tc>
          </w:sdtContent>
        </w:sdt>
      </w:tr>
      <w:tr w14:paraId="382AF9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0F442B65">
            <w:pPr>
              <w:rPr>
                <w:color w:val="000000" w:themeColor="text1"/>
                <w14:textFill>
                  <w14:solidFill>
                    <w14:schemeClr w14:val="tx1"/>
                  </w14:solidFill>
                </w14:textFill>
              </w:rPr>
            </w:pPr>
            <w:r>
              <w:rPr>
                <w:rFonts w:hint="eastAsia"/>
                <w:color w:val="000000" w:themeColor="text1"/>
                <w14:textFill>
                  <w14:solidFill>
                    <w14:schemeClr w14:val="tx1"/>
                  </w14:solidFill>
                </w14:textFill>
              </w:rPr>
              <w:t>一、营业总收入</w:t>
            </w:r>
          </w:p>
        </w:tc>
        <w:tc>
          <w:tcPr>
            <w:tcW w:w="838" w:type="pct"/>
            <w:tcBorders>
              <w:top w:val="outset" w:color="auto" w:sz="4" w:space="0"/>
              <w:left w:val="outset" w:color="auto" w:sz="4" w:space="0"/>
              <w:bottom w:val="outset" w:color="auto" w:sz="4" w:space="0"/>
              <w:right w:val="outset" w:color="auto" w:sz="4" w:space="0"/>
            </w:tcBorders>
            <w:vAlign w:val="center"/>
          </w:tcPr>
          <w:p w14:paraId="45417FA8"/>
        </w:tc>
        <w:tc>
          <w:tcPr>
            <w:tcW w:w="1110" w:type="pct"/>
            <w:tcBorders>
              <w:top w:val="outset" w:color="auto" w:sz="4" w:space="0"/>
              <w:left w:val="outset" w:color="auto" w:sz="4" w:space="0"/>
              <w:bottom w:val="outset" w:color="auto" w:sz="4" w:space="0"/>
              <w:right w:val="outset" w:color="auto" w:sz="4" w:space="0"/>
            </w:tcBorders>
            <w:vAlign w:val="center"/>
          </w:tcPr>
          <w:p w14:paraId="7CCB322F">
            <w:pPr>
              <w:jc w:val="right"/>
            </w:pPr>
            <w:r>
              <w:t>803,063,529.11</w:t>
            </w:r>
          </w:p>
        </w:tc>
        <w:tc>
          <w:tcPr>
            <w:tcW w:w="1114" w:type="pct"/>
            <w:tcBorders>
              <w:top w:val="outset" w:color="auto" w:sz="4" w:space="0"/>
              <w:left w:val="outset" w:color="auto" w:sz="4" w:space="0"/>
              <w:bottom w:val="outset" w:color="auto" w:sz="4" w:space="0"/>
              <w:right w:val="outset" w:color="auto" w:sz="4" w:space="0"/>
            </w:tcBorders>
            <w:vAlign w:val="center"/>
          </w:tcPr>
          <w:p w14:paraId="1A513355">
            <w:pPr>
              <w:jc w:val="right"/>
            </w:pPr>
            <w:r>
              <w:t>710,720,795.47</w:t>
            </w:r>
          </w:p>
        </w:tc>
      </w:tr>
      <w:tr w14:paraId="4338AB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63C1EB55">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其中：营业收入</w:t>
            </w:r>
          </w:p>
        </w:tc>
        <w:tc>
          <w:tcPr>
            <w:tcW w:w="838" w:type="pct"/>
            <w:tcBorders>
              <w:top w:val="outset" w:color="auto" w:sz="4" w:space="0"/>
              <w:left w:val="outset" w:color="auto" w:sz="4" w:space="0"/>
              <w:bottom w:val="outset" w:color="auto" w:sz="4" w:space="0"/>
              <w:right w:val="outset" w:color="auto" w:sz="4" w:space="0"/>
            </w:tcBorders>
            <w:vAlign w:val="center"/>
          </w:tcPr>
          <w:p w14:paraId="216E029C"/>
        </w:tc>
        <w:tc>
          <w:tcPr>
            <w:tcW w:w="1110" w:type="pct"/>
            <w:tcBorders>
              <w:top w:val="outset" w:color="auto" w:sz="4" w:space="0"/>
              <w:left w:val="outset" w:color="auto" w:sz="4" w:space="0"/>
              <w:bottom w:val="outset" w:color="auto" w:sz="4" w:space="0"/>
              <w:right w:val="outset" w:color="auto" w:sz="4" w:space="0"/>
            </w:tcBorders>
            <w:vAlign w:val="center"/>
          </w:tcPr>
          <w:p w14:paraId="1466CF46">
            <w:pPr>
              <w:jc w:val="right"/>
            </w:pPr>
            <w:r>
              <w:t>803,063,529.11</w:t>
            </w:r>
          </w:p>
        </w:tc>
        <w:tc>
          <w:tcPr>
            <w:tcW w:w="1114" w:type="pct"/>
            <w:tcBorders>
              <w:top w:val="outset" w:color="auto" w:sz="4" w:space="0"/>
              <w:left w:val="outset" w:color="auto" w:sz="4" w:space="0"/>
              <w:bottom w:val="outset" w:color="auto" w:sz="4" w:space="0"/>
              <w:right w:val="outset" w:color="auto" w:sz="4" w:space="0"/>
            </w:tcBorders>
            <w:vAlign w:val="center"/>
          </w:tcPr>
          <w:p w14:paraId="472A7789">
            <w:pPr>
              <w:jc w:val="right"/>
            </w:pPr>
            <w:r>
              <w:t>710,720,795.47</w:t>
            </w:r>
          </w:p>
        </w:tc>
      </w:tr>
      <w:tr w14:paraId="2B77A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7007A562">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利息收入</w:t>
            </w:r>
          </w:p>
        </w:tc>
        <w:tc>
          <w:tcPr>
            <w:tcW w:w="838" w:type="pct"/>
            <w:tcBorders>
              <w:top w:val="outset" w:color="auto" w:sz="4" w:space="0"/>
              <w:left w:val="outset" w:color="auto" w:sz="4" w:space="0"/>
              <w:bottom w:val="outset" w:color="auto" w:sz="4" w:space="0"/>
              <w:right w:val="outset" w:color="auto" w:sz="4" w:space="0"/>
            </w:tcBorders>
            <w:vAlign w:val="center"/>
          </w:tcPr>
          <w:p w14:paraId="70608441"/>
        </w:tc>
        <w:tc>
          <w:tcPr>
            <w:tcW w:w="1110" w:type="pct"/>
            <w:tcBorders>
              <w:top w:val="outset" w:color="auto" w:sz="4" w:space="0"/>
              <w:left w:val="outset" w:color="auto" w:sz="4" w:space="0"/>
              <w:bottom w:val="outset" w:color="auto" w:sz="4" w:space="0"/>
              <w:right w:val="outset" w:color="auto" w:sz="4" w:space="0"/>
            </w:tcBorders>
            <w:vAlign w:val="center"/>
          </w:tcPr>
          <w:p w14:paraId="41BEA1EE">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49570C17">
            <w:pPr>
              <w:jc w:val="right"/>
            </w:pPr>
          </w:p>
        </w:tc>
      </w:tr>
      <w:tr w14:paraId="4B0DCF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2828FB97">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已赚保费</w:t>
            </w:r>
          </w:p>
        </w:tc>
        <w:tc>
          <w:tcPr>
            <w:tcW w:w="838" w:type="pct"/>
            <w:tcBorders>
              <w:top w:val="outset" w:color="auto" w:sz="4" w:space="0"/>
              <w:left w:val="outset" w:color="auto" w:sz="4" w:space="0"/>
              <w:bottom w:val="outset" w:color="auto" w:sz="4" w:space="0"/>
              <w:right w:val="outset" w:color="auto" w:sz="4" w:space="0"/>
            </w:tcBorders>
            <w:vAlign w:val="center"/>
          </w:tcPr>
          <w:p w14:paraId="4748874D"/>
        </w:tc>
        <w:tc>
          <w:tcPr>
            <w:tcW w:w="1110" w:type="pct"/>
            <w:tcBorders>
              <w:top w:val="outset" w:color="auto" w:sz="4" w:space="0"/>
              <w:left w:val="outset" w:color="auto" w:sz="4" w:space="0"/>
              <w:bottom w:val="outset" w:color="auto" w:sz="4" w:space="0"/>
              <w:right w:val="outset" w:color="auto" w:sz="4" w:space="0"/>
            </w:tcBorders>
            <w:vAlign w:val="center"/>
          </w:tcPr>
          <w:p w14:paraId="447B7EB2">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50B857D1">
            <w:pPr>
              <w:jc w:val="right"/>
            </w:pPr>
          </w:p>
        </w:tc>
      </w:tr>
      <w:tr w14:paraId="5E86F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938" w:type="pct"/>
            <w:tcBorders>
              <w:top w:val="outset" w:color="auto" w:sz="4" w:space="0"/>
              <w:left w:val="outset" w:color="auto" w:sz="4" w:space="0"/>
              <w:bottom w:val="outset" w:color="auto" w:sz="4" w:space="0"/>
              <w:right w:val="outset" w:color="auto" w:sz="4" w:space="0"/>
            </w:tcBorders>
            <w:vAlign w:val="center"/>
          </w:tcPr>
          <w:p w14:paraId="6BCB50A6">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手续费及佣金收入</w:t>
            </w:r>
          </w:p>
        </w:tc>
        <w:tc>
          <w:tcPr>
            <w:tcW w:w="838" w:type="pct"/>
            <w:tcBorders>
              <w:top w:val="outset" w:color="auto" w:sz="4" w:space="0"/>
              <w:left w:val="outset" w:color="auto" w:sz="4" w:space="0"/>
              <w:bottom w:val="outset" w:color="auto" w:sz="4" w:space="0"/>
              <w:right w:val="outset" w:color="auto" w:sz="4" w:space="0"/>
            </w:tcBorders>
            <w:vAlign w:val="center"/>
          </w:tcPr>
          <w:p w14:paraId="71E1D0BC"/>
        </w:tc>
        <w:tc>
          <w:tcPr>
            <w:tcW w:w="1110" w:type="pct"/>
            <w:tcBorders>
              <w:top w:val="outset" w:color="auto" w:sz="4" w:space="0"/>
              <w:left w:val="outset" w:color="auto" w:sz="4" w:space="0"/>
              <w:bottom w:val="outset" w:color="auto" w:sz="4" w:space="0"/>
              <w:right w:val="outset" w:color="auto" w:sz="4" w:space="0"/>
            </w:tcBorders>
            <w:vAlign w:val="center"/>
          </w:tcPr>
          <w:p w14:paraId="7F11B3CE">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652BDB3F">
            <w:pPr>
              <w:jc w:val="right"/>
            </w:pPr>
          </w:p>
        </w:tc>
      </w:tr>
      <w:tr w14:paraId="2E3735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79FEDC56">
            <w:pPr>
              <w:rPr>
                <w:color w:val="000000" w:themeColor="text1"/>
                <w14:textFill>
                  <w14:solidFill>
                    <w14:schemeClr w14:val="tx1"/>
                  </w14:solidFill>
                </w14:textFill>
              </w:rPr>
            </w:pPr>
            <w:r>
              <w:rPr>
                <w:rFonts w:hint="eastAsia"/>
                <w:color w:val="000000" w:themeColor="text1"/>
                <w14:textFill>
                  <w14:solidFill>
                    <w14:schemeClr w14:val="tx1"/>
                  </w14:solidFill>
                </w14:textFill>
              </w:rPr>
              <w:t>二、营业总成本</w:t>
            </w:r>
          </w:p>
        </w:tc>
        <w:tc>
          <w:tcPr>
            <w:tcW w:w="838" w:type="pct"/>
            <w:tcBorders>
              <w:top w:val="outset" w:color="auto" w:sz="4" w:space="0"/>
              <w:left w:val="outset" w:color="auto" w:sz="4" w:space="0"/>
              <w:bottom w:val="outset" w:color="auto" w:sz="4" w:space="0"/>
              <w:right w:val="outset" w:color="auto" w:sz="4" w:space="0"/>
            </w:tcBorders>
            <w:vAlign w:val="center"/>
          </w:tcPr>
          <w:p w14:paraId="4157D67D"/>
        </w:tc>
        <w:tc>
          <w:tcPr>
            <w:tcW w:w="1110" w:type="pct"/>
            <w:tcBorders>
              <w:top w:val="outset" w:color="auto" w:sz="4" w:space="0"/>
              <w:left w:val="outset" w:color="auto" w:sz="4" w:space="0"/>
              <w:bottom w:val="outset" w:color="auto" w:sz="4" w:space="0"/>
              <w:right w:val="outset" w:color="auto" w:sz="4" w:space="0"/>
            </w:tcBorders>
            <w:vAlign w:val="center"/>
          </w:tcPr>
          <w:p w14:paraId="61CC4E01">
            <w:pPr>
              <w:jc w:val="right"/>
            </w:pPr>
            <w:r>
              <w:t>794,147,043.40</w:t>
            </w:r>
          </w:p>
        </w:tc>
        <w:tc>
          <w:tcPr>
            <w:tcW w:w="1114" w:type="pct"/>
            <w:tcBorders>
              <w:top w:val="outset" w:color="auto" w:sz="4" w:space="0"/>
              <w:left w:val="outset" w:color="auto" w:sz="4" w:space="0"/>
              <w:bottom w:val="outset" w:color="auto" w:sz="4" w:space="0"/>
              <w:right w:val="outset" w:color="auto" w:sz="4" w:space="0"/>
            </w:tcBorders>
            <w:vAlign w:val="center"/>
          </w:tcPr>
          <w:p w14:paraId="75D958F9">
            <w:pPr>
              <w:jc w:val="right"/>
            </w:pPr>
            <w:r>
              <w:t>700,718,259.76</w:t>
            </w:r>
          </w:p>
        </w:tc>
      </w:tr>
      <w:tr w14:paraId="4DBB50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1716EDBC">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其中：营业成本</w:t>
            </w:r>
          </w:p>
        </w:tc>
        <w:tc>
          <w:tcPr>
            <w:tcW w:w="838" w:type="pct"/>
            <w:tcBorders>
              <w:top w:val="outset" w:color="auto" w:sz="4" w:space="0"/>
              <w:left w:val="outset" w:color="auto" w:sz="4" w:space="0"/>
              <w:bottom w:val="outset" w:color="auto" w:sz="4" w:space="0"/>
              <w:right w:val="outset" w:color="auto" w:sz="4" w:space="0"/>
            </w:tcBorders>
            <w:vAlign w:val="center"/>
          </w:tcPr>
          <w:p w14:paraId="65AB01FD"/>
        </w:tc>
        <w:tc>
          <w:tcPr>
            <w:tcW w:w="1110" w:type="pct"/>
            <w:tcBorders>
              <w:top w:val="outset" w:color="auto" w:sz="4" w:space="0"/>
              <w:left w:val="outset" w:color="auto" w:sz="4" w:space="0"/>
              <w:bottom w:val="outset" w:color="auto" w:sz="4" w:space="0"/>
              <w:right w:val="outset" w:color="auto" w:sz="4" w:space="0"/>
            </w:tcBorders>
            <w:vAlign w:val="center"/>
          </w:tcPr>
          <w:p w14:paraId="6C7825B1">
            <w:pPr>
              <w:jc w:val="right"/>
            </w:pPr>
            <w:r>
              <w:t>665,129,874.40</w:t>
            </w:r>
          </w:p>
        </w:tc>
        <w:tc>
          <w:tcPr>
            <w:tcW w:w="1114" w:type="pct"/>
            <w:tcBorders>
              <w:top w:val="outset" w:color="auto" w:sz="4" w:space="0"/>
              <w:left w:val="outset" w:color="auto" w:sz="4" w:space="0"/>
              <w:bottom w:val="outset" w:color="auto" w:sz="4" w:space="0"/>
              <w:right w:val="outset" w:color="auto" w:sz="4" w:space="0"/>
            </w:tcBorders>
            <w:vAlign w:val="center"/>
          </w:tcPr>
          <w:p w14:paraId="584AEEE3">
            <w:pPr>
              <w:jc w:val="right"/>
            </w:pPr>
            <w:r>
              <w:t>567,684,096.64</w:t>
            </w:r>
          </w:p>
        </w:tc>
      </w:tr>
      <w:tr w14:paraId="4BF0B2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26088CBC">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利息支出</w:t>
            </w:r>
          </w:p>
        </w:tc>
        <w:tc>
          <w:tcPr>
            <w:tcW w:w="838" w:type="pct"/>
            <w:tcBorders>
              <w:top w:val="outset" w:color="auto" w:sz="4" w:space="0"/>
              <w:left w:val="outset" w:color="auto" w:sz="4" w:space="0"/>
              <w:bottom w:val="outset" w:color="auto" w:sz="4" w:space="0"/>
              <w:right w:val="outset" w:color="auto" w:sz="4" w:space="0"/>
            </w:tcBorders>
            <w:vAlign w:val="center"/>
          </w:tcPr>
          <w:p w14:paraId="310BD1CE"/>
        </w:tc>
        <w:tc>
          <w:tcPr>
            <w:tcW w:w="1110" w:type="pct"/>
            <w:tcBorders>
              <w:top w:val="outset" w:color="auto" w:sz="4" w:space="0"/>
              <w:left w:val="outset" w:color="auto" w:sz="4" w:space="0"/>
              <w:bottom w:val="outset" w:color="auto" w:sz="4" w:space="0"/>
              <w:right w:val="outset" w:color="auto" w:sz="4" w:space="0"/>
            </w:tcBorders>
            <w:vAlign w:val="center"/>
          </w:tcPr>
          <w:p w14:paraId="2D7C8695">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1D43C531">
            <w:pPr>
              <w:jc w:val="right"/>
            </w:pPr>
          </w:p>
        </w:tc>
      </w:tr>
      <w:tr w14:paraId="6963B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938" w:type="pct"/>
            <w:tcBorders>
              <w:top w:val="outset" w:color="auto" w:sz="4" w:space="0"/>
              <w:left w:val="outset" w:color="auto" w:sz="4" w:space="0"/>
              <w:bottom w:val="outset" w:color="auto" w:sz="4" w:space="0"/>
              <w:right w:val="outset" w:color="auto" w:sz="4" w:space="0"/>
            </w:tcBorders>
            <w:vAlign w:val="center"/>
          </w:tcPr>
          <w:p w14:paraId="6BEC9BD4">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手续费及佣金支出</w:t>
            </w:r>
          </w:p>
        </w:tc>
        <w:tc>
          <w:tcPr>
            <w:tcW w:w="838" w:type="pct"/>
            <w:tcBorders>
              <w:top w:val="outset" w:color="auto" w:sz="4" w:space="0"/>
              <w:left w:val="outset" w:color="auto" w:sz="4" w:space="0"/>
              <w:bottom w:val="outset" w:color="auto" w:sz="4" w:space="0"/>
              <w:right w:val="outset" w:color="auto" w:sz="4" w:space="0"/>
            </w:tcBorders>
            <w:vAlign w:val="center"/>
          </w:tcPr>
          <w:p w14:paraId="6F2309CD"/>
        </w:tc>
        <w:tc>
          <w:tcPr>
            <w:tcW w:w="1110" w:type="pct"/>
            <w:tcBorders>
              <w:top w:val="outset" w:color="auto" w:sz="4" w:space="0"/>
              <w:left w:val="outset" w:color="auto" w:sz="4" w:space="0"/>
              <w:bottom w:val="outset" w:color="auto" w:sz="4" w:space="0"/>
              <w:right w:val="outset" w:color="auto" w:sz="4" w:space="0"/>
            </w:tcBorders>
            <w:vAlign w:val="center"/>
          </w:tcPr>
          <w:p w14:paraId="2E3BEBFE">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4BD9461D">
            <w:pPr>
              <w:jc w:val="right"/>
            </w:pPr>
          </w:p>
        </w:tc>
      </w:tr>
      <w:tr w14:paraId="7C45B5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938" w:type="pct"/>
            <w:tcBorders>
              <w:top w:val="outset" w:color="auto" w:sz="4" w:space="0"/>
              <w:left w:val="outset" w:color="auto" w:sz="4" w:space="0"/>
              <w:bottom w:val="outset" w:color="auto" w:sz="4" w:space="0"/>
              <w:right w:val="outset" w:color="auto" w:sz="4" w:space="0"/>
            </w:tcBorders>
            <w:vAlign w:val="center"/>
          </w:tcPr>
          <w:p w14:paraId="310BD205">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退保金</w:t>
            </w:r>
          </w:p>
        </w:tc>
        <w:tc>
          <w:tcPr>
            <w:tcW w:w="838" w:type="pct"/>
            <w:tcBorders>
              <w:top w:val="outset" w:color="auto" w:sz="4" w:space="0"/>
              <w:left w:val="outset" w:color="auto" w:sz="4" w:space="0"/>
              <w:bottom w:val="outset" w:color="auto" w:sz="4" w:space="0"/>
              <w:right w:val="outset" w:color="auto" w:sz="4" w:space="0"/>
            </w:tcBorders>
            <w:vAlign w:val="center"/>
          </w:tcPr>
          <w:p w14:paraId="2D84C90F"/>
        </w:tc>
        <w:tc>
          <w:tcPr>
            <w:tcW w:w="1110" w:type="pct"/>
            <w:tcBorders>
              <w:top w:val="outset" w:color="auto" w:sz="4" w:space="0"/>
              <w:left w:val="outset" w:color="auto" w:sz="4" w:space="0"/>
              <w:bottom w:val="outset" w:color="auto" w:sz="4" w:space="0"/>
              <w:right w:val="outset" w:color="auto" w:sz="4" w:space="0"/>
            </w:tcBorders>
            <w:vAlign w:val="center"/>
          </w:tcPr>
          <w:p w14:paraId="5A22039D">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65F17C98">
            <w:pPr>
              <w:jc w:val="right"/>
            </w:pPr>
          </w:p>
        </w:tc>
      </w:tr>
      <w:tr w14:paraId="63490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19601ADD">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赔付支出净额</w:t>
            </w:r>
          </w:p>
        </w:tc>
        <w:tc>
          <w:tcPr>
            <w:tcW w:w="838" w:type="pct"/>
            <w:tcBorders>
              <w:top w:val="outset" w:color="auto" w:sz="4" w:space="0"/>
              <w:left w:val="outset" w:color="auto" w:sz="4" w:space="0"/>
              <w:bottom w:val="outset" w:color="auto" w:sz="4" w:space="0"/>
              <w:right w:val="outset" w:color="auto" w:sz="4" w:space="0"/>
            </w:tcBorders>
            <w:vAlign w:val="center"/>
          </w:tcPr>
          <w:p w14:paraId="16F34FC1"/>
        </w:tc>
        <w:tc>
          <w:tcPr>
            <w:tcW w:w="1110" w:type="pct"/>
            <w:tcBorders>
              <w:top w:val="outset" w:color="auto" w:sz="4" w:space="0"/>
              <w:left w:val="outset" w:color="auto" w:sz="4" w:space="0"/>
              <w:bottom w:val="outset" w:color="auto" w:sz="4" w:space="0"/>
              <w:right w:val="outset" w:color="auto" w:sz="4" w:space="0"/>
            </w:tcBorders>
            <w:vAlign w:val="center"/>
          </w:tcPr>
          <w:p w14:paraId="0F474CD3">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3D5AE67C">
            <w:pPr>
              <w:jc w:val="right"/>
            </w:pPr>
          </w:p>
        </w:tc>
      </w:tr>
      <w:tr w14:paraId="040F89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0398B0F1">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提取保险责任准备金净额</w:t>
            </w:r>
          </w:p>
        </w:tc>
        <w:tc>
          <w:tcPr>
            <w:tcW w:w="838" w:type="pct"/>
            <w:tcBorders>
              <w:top w:val="outset" w:color="auto" w:sz="4" w:space="0"/>
              <w:left w:val="outset" w:color="auto" w:sz="4" w:space="0"/>
              <w:bottom w:val="outset" w:color="auto" w:sz="4" w:space="0"/>
              <w:right w:val="outset" w:color="auto" w:sz="4" w:space="0"/>
            </w:tcBorders>
            <w:vAlign w:val="center"/>
          </w:tcPr>
          <w:p w14:paraId="13C8B591"/>
        </w:tc>
        <w:tc>
          <w:tcPr>
            <w:tcW w:w="1110" w:type="pct"/>
            <w:tcBorders>
              <w:top w:val="outset" w:color="auto" w:sz="4" w:space="0"/>
              <w:left w:val="outset" w:color="auto" w:sz="4" w:space="0"/>
              <w:bottom w:val="outset" w:color="auto" w:sz="4" w:space="0"/>
              <w:right w:val="outset" w:color="auto" w:sz="4" w:space="0"/>
            </w:tcBorders>
            <w:vAlign w:val="center"/>
          </w:tcPr>
          <w:p w14:paraId="15EA2F01">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5419FD19">
            <w:pPr>
              <w:jc w:val="right"/>
            </w:pPr>
          </w:p>
        </w:tc>
      </w:tr>
      <w:tr w14:paraId="2713BA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6322FEF4">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保单红利支出</w:t>
            </w:r>
          </w:p>
        </w:tc>
        <w:tc>
          <w:tcPr>
            <w:tcW w:w="838" w:type="pct"/>
            <w:tcBorders>
              <w:top w:val="outset" w:color="auto" w:sz="4" w:space="0"/>
              <w:left w:val="outset" w:color="auto" w:sz="4" w:space="0"/>
              <w:bottom w:val="outset" w:color="auto" w:sz="4" w:space="0"/>
              <w:right w:val="outset" w:color="auto" w:sz="4" w:space="0"/>
            </w:tcBorders>
            <w:vAlign w:val="center"/>
          </w:tcPr>
          <w:p w14:paraId="509BCFCD"/>
        </w:tc>
        <w:tc>
          <w:tcPr>
            <w:tcW w:w="1110" w:type="pct"/>
            <w:tcBorders>
              <w:top w:val="outset" w:color="auto" w:sz="4" w:space="0"/>
              <w:left w:val="outset" w:color="auto" w:sz="4" w:space="0"/>
              <w:bottom w:val="outset" w:color="auto" w:sz="4" w:space="0"/>
              <w:right w:val="outset" w:color="auto" w:sz="4" w:space="0"/>
            </w:tcBorders>
            <w:vAlign w:val="center"/>
          </w:tcPr>
          <w:p w14:paraId="047FBA4D">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331AD2BF">
            <w:pPr>
              <w:jc w:val="right"/>
            </w:pPr>
          </w:p>
        </w:tc>
      </w:tr>
      <w:tr w14:paraId="044EC1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3AF0885B">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分保费用</w:t>
            </w:r>
          </w:p>
        </w:tc>
        <w:tc>
          <w:tcPr>
            <w:tcW w:w="838" w:type="pct"/>
            <w:tcBorders>
              <w:top w:val="outset" w:color="auto" w:sz="4" w:space="0"/>
              <w:left w:val="outset" w:color="auto" w:sz="4" w:space="0"/>
              <w:bottom w:val="outset" w:color="auto" w:sz="4" w:space="0"/>
              <w:right w:val="outset" w:color="auto" w:sz="4" w:space="0"/>
            </w:tcBorders>
            <w:vAlign w:val="center"/>
          </w:tcPr>
          <w:p w14:paraId="38ABE9C5"/>
        </w:tc>
        <w:tc>
          <w:tcPr>
            <w:tcW w:w="1110" w:type="pct"/>
            <w:tcBorders>
              <w:top w:val="outset" w:color="auto" w:sz="4" w:space="0"/>
              <w:left w:val="outset" w:color="auto" w:sz="4" w:space="0"/>
              <w:bottom w:val="outset" w:color="auto" w:sz="4" w:space="0"/>
              <w:right w:val="outset" w:color="auto" w:sz="4" w:space="0"/>
            </w:tcBorders>
            <w:vAlign w:val="center"/>
          </w:tcPr>
          <w:p w14:paraId="3633F4D2">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0243F65B">
            <w:pPr>
              <w:jc w:val="right"/>
            </w:pPr>
          </w:p>
        </w:tc>
      </w:tr>
      <w:tr w14:paraId="33973E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5C596775">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税金及附加</w:t>
            </w:r>
          </w:p>
        </w:tc>
        <w:tc>
          <w:tcPr>
            <w:tcW w:w="838" w:type="pct"/>
            <w:tcBorders>
              <w:top w:val="outset" w:color="auto" w:sz="4" w:space="0"/>
              <w:left w:val="outset" w:color="auto" w:sz="4" w:space="0"/>
              <w:bottom w:val="outset" w:color="auto" w:sz="4" w:space="0"/>
              <w:right w:val="outset" w:color="auto" w:sz="4" w:space="0"/>
            </w:tcBorders>
            <w:vAlign w:val="center"/>
          </w:tcPr>
          <w:p w14:paraId="6CE2D9D8"/>
        </w:tc>
        <w:tc>
          <w:tcPr>
            <w:tcW w:w="1110" w:type="pct"/>
            <w:tcBorders>
              <w:top w:val="outset" w:color="auto" w:sz="4" w:space="0"/>
              <w:left w:val="outset" w:color="auto" w:sz="4" w:space="0"/>
              <w:bottom w:val="outset" w:color="auto" w:sz="4" w:space="0"/>
              <w:right w:val="outset" w:color="auto" w:sz="4" w:space="0"/>
            </w:tcBorders>
            <w:vAlign w:val="center"/>
          </w:tcPr>
          <w:p w14:paraId="55CC2908">
            <w:pPr>
              <w:jc w:val="right"/>
            </w:pPr>
            <w:r>
              <w:t>2,830,102.20</w:t>
            </w:r>
          </w:p>
        </w:tc>
        <w:tc>
          <w:tcPr>
            <w:tcW w:w="1114" w:type="pct"/>
            <w:tcBorders>
              <w:top w:val="outset" w:color="auto" w:sz="4" w:space="0"/>
              <w:left w:val="outset" w:color="auto" w:sz="4" w:space="0"/>
              <w:bottom w:val="outset" w:color="auto" w:sz="4" w:space="0"/>
              <w:right w:val="outset" w:color="auto" w:sz="4" w:space="0"/>
            </w:tcBorders>
            <w:vAlign w:val="center"/>
          </w:tcPr>
          <w:p w14:paraId="144EF199">
            <w:pPr>
              <w:jc w:val="right"/>
            </w:pPr>
            <w:r>
              <w:t>3,103,642.35</w:t>
            </w:r>
          </w:p>
        </w:tc>
      </w:tr>
      <w:tr w14:paraId="22055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4C3E8B0F">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销售费用</w:t>
            </w:r>
          </w:p>
        </w:tc>
        <w:tc>
          <w:tcPr>
            <w:tcW w:w="838" w:type="pct"/>
            <w:tcBorders>
              <w:top w:val="outset" w:color="auto" w:sz="4" w:space="0"/>
              <w:left w:val="outset" w:color="auto" w:sz="4" w:space="0"/>
              <w:bottom w:val="outset" w:color="auto" w:sz="4" w:space="0"/>
              <w:right w:val="outset" w:color="auto" w:sz="4" w:space="0"/>
            </w:tcBorders>
            <w:vAlign w:val="center"/>
          </w:tcPr>
          <w:p w14:paraId="16698BEE"/>
        </w:tc>
        <w:tc>
          <w:tcPr>
            <w:tcW w:w="1110" w:type="pct"/>
            <w:tcBorders>
              <w:top w:val="outset" w:color="auto" w:sz="4" w:space="0"/>
              <w:left w:val="outset" w:color="auto" w:sz="4" w:space="0"/>
              <w:bottom w:val="outset" w:color="auto" w:sz="4" w:space="0"/>
              <w:right w:val="outset" w:color="auto" w:sz="4" w:space="0"/>
            </w:tcBorders>
            <w:vAlign w:val="center"/>
          </w:tcPr>
          <w:p w14:paraId="6A29D5E4">
            <w:pPr>
              <w:jc w:val="right"/>
            </w:pPr>
            <w:r>
              <w:t>14,744,840.83</w:t>
            </w:r>
          </w:p>
        </w:tc>
        <w:tc>
          <w:tcPr>
            <w:tcW w:w="1114" w:type="pct"/>
            <w:tcBorders>
              <w:top w:val="outset" w:color="auto" w:sz="4" w:space="0"/>
              <w:left w:val="outset" w:color="auto" w:sz="4" w:space="0"/>
              <w:bottom w:val="outset" w:color="auto" w:sz="4" w:space="0"/>
              <w:right w:val="outset" w:color="auto" w:sz="4" w:space="0"/>
            </w:tcBorders>
            <w:vAlign w:val="center"/>
          </w:tcPr>
          <w:p w14:paraId="61FF8104">
            <w:pPr>
              <w:jc w:val="right"/>
            </w:pPr>
            <w:r>
              <w:t>16,769,832.02</w:t>
            </w:r>
          </w:p>
        </w:tc>
      </w:tr>
      <w:tr w14:paraId="52CBDE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4164993A">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管理费用</w:t>
            </w:r>
          </w:p>
        </w:tc>
        <w:tc>
          <w:tcPr>
            <w:tcW w:w="838" w:type="pct"/>
            <w:tcBorders>
              <w:top w:val="outset" w:color="auto" w:sz="4" w:space="0"/>
              <w:left w:val="outset" w:color="auto" w:sz="4" w:space="0"/>
              <w:bottom w:val="outset" w:color="auto" w:sz="4" w:space="0"/>
              <w:right w:val="outset" w:color="auto" w:sz="4" w:space="0"/>
            </w:tcBorders>
            <w:vAlign w:val="center"/>
          </w:tcPr>
          <w:p w14:paraId="4B5729F3"/>
        </w:tc>
        <w:tc>
          <w:tcPr>
            <w:tcW w:w="1110" w:type="pct"/>
            <w:tcBorders>
              <w:top w:val="outset" w:color="auto" w:sz="4" w:space="0"/>
              <w:left w:val="outset" w:color="auto" w:sz="4" w:space="0"/>
              <w:bottom w:val="outset" w:color="auto" w:sz="4" w:space="0"/>
              <w:right w:val="outset" w:color="auto" w:sz="4" w:space="0"/>
            </w:tcBorders>
            <w:vAlign w:val="center"/>
          </w:tcPr>
          <w:p w14:paraId="69F12DFC">
            <w:pPr>
              <w:jc w:val="right"/>
            </w:pPr>
            <w:r>
              <w:t>35,227,071.07</w:t>
            </w:r>
          </w:p>
        </w:tc>
        <w:tc>
          <w:tcPr>
            <w:tcW w:w="1114" w:type="pct"/>
            <w:tcBorders>
              <w:top w:val="outset" w:color="auto" w:sz="4" w:space="0"/>
              <w:left w:val="outset" w:color="auto" w:sz="4" w:space="0"/>
              <w:bottom w:val="outset" w:color="auto" w:sz="4" w:space="0"/>
              <w:right w:val="outset" w:color="auto" w:sz="4" w:space="0"/>
            </w:tcBorders>
            <w:vAlign w:val="center"/>
          </w:tcPr>
          <w:p w14:paraId="647E0D2A">
            <w:pPr>
              <w:jc w:val="right"/>
            </w:pPr>
            <w:r>
              <w:t>33,020,803.41</w:t>
            </w:r>
          </w:p>
        </w:tc>
      </w:tr>
      <w:tr w14:paraId="6263B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721CD65D">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研发费用</w:t>
            </w:r>
          </w:p>
        </w:tc>
        <w:tc>
          <w:tcPr>
            <w:tcW w:w="838" w:type="pct"/>
            <w:tcBorders>
              <w:top w:val="outset" w:color="auto" w:sz="4" w:space="0"/>
              <w:left w:val="outset" w:color="auto" w:sz="4" w:space="0"/>
              <w:bottom w:val="outset" w:color="auto" w:sz="4" w:space="0"/>
              <w:right w:val="outset" w:color="auto" w:sz="4" w:space="0"/>
            </w:tcBorders>
            <w:vAlign w:val="center"/>
          </w:tcPr>
          <w:p w14:paraId="5758A12C"/>
        </w:tc>
        <w:tc>
          <w:tcPr>
            <w:tcW w:w="1110" w:type="pct"/>
            <w:tcBorders>
              <w:top w:val="outset" w:color="auto" w:sz="4" w:space="0"/>
              <w:left w:val="outset" w:color="auto" w:sz="4" w:space="0"/>
              <w:bottom w:val="outset" w:color="auto" w:sz="4" w:space="0"/>
              <w:right w:val="outset" w:color="auto" w:sz="4" w:space="0"/>
            </w:tcBorders>
            <w:vAlign w:val="center"/>
          </w:tcPr>
          <w:p w14:paraId="7E2C0AB1">
            <w:pPr>
              <w:jc w:val="right"/>
            </w:pPr>
            <w:r>
              <w:t>3,452,265.44</w:t>
            </w:r>
          </w:p>
        </w:tc>
        <w:tc>
          <w:tcPr>
            <w:tcW w:w="1114" w:type="pct"/>
            <w:tcBorders>
              <w:top w:val="outset" w:color="auto" w:sz="4" w:space="0"/>
              <w:left w:val="outset" w:color="auto" w:sz="4" w:space="0"/>
              <w:bottom w:val="outset" w:color="auto" w:sz="4" w:space="0"/>
              <w:right w:val="outset" w:color="auto" w:sz="4" w:space="0"/>
            </w:tcBorders>
            <w:vAlign w:val="center"/>
          </w:tcPr>
          <w:p w14:paraId="7AA33636">
            <w:pPr>
              <w:jc w:val="right"/>
            </w:pPr>
            <w:r>
              <w:t>4,014,236.89</w:t>
            </w:r>
          </w:p>
        </w:tc>
      </w:tr>
      <w:tr w14:paraId="20F286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938" w:type="pct"/>
            <w:tcBorders>
              <w:top w:val="outset" w:color="auto" w:sz="4" w:space="0"/>
              <w:left w:val="outset" w:color="auto" w:sz="4" w:space="0"/>
              <w:bottom w:val="outset" w:color="auto" w:sz="4" w:space="0"/>
              <w:right w:val="outset" w:color="auto" w:sz="4" w:space="0"/>
            </w:tcBorders>
            <w:vAlign w:val="center"/>
          </w:tcPr>
          <w:p w14:paraId="267108F8">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财务费用</w:t>
            </w:r>
          </w:p>
        </w:tc>
        <w:tc>
          <w:tcPr>
            <w:tcW w:w="838" w:type="pct"/>
            <w:tcBorders>
              <w:top w:val="outset" w:color="auto" w:sz="4" w:space="0"/>
              <w:left w:val="outset" w:color="auto" w:sz="4" w:space="0"/>
              <w:bottom w:val="outset" w:color="auto" w:sz="4" w:space="0"/>
              <w:right w:val="outset" w:color="auto" w:sz="4" w:space="0"/>
            </w:tcBorders>
            <w:vAlign w:val="center"/>
          </w:tcPr>
          <w:p w14:paraId="5971D6E0"/>
        </w:tc>
        <w:tc>
          <w:tcPr>
            <w:tcW w:w="1110" w:type="pct"/>
            <w:tcBorders>
              <w:top w:val="outset" w:color="auto" w:sz="4" w:space="0"/>
              <w:left w:val="outset" w:color="auto" w:sz="4" w:space="0"/>
              <w:bottom w:val="outset" w:color="auto" w:sz="4" w:space="0"/>
              <w:right w:val="outset" w:color="auto" w:sz="4" w:space="0"/>
            </w:tcBorders>
            <w:vAlign w:val="center"/>
          </w:tcPr>
          <w:p w14:paraId="7F4D45D5">
            <w:pPr>
              <w:jc w:val="right"/>
            </w:pPr>
            <w:r>
              <w:t>72,762,889.46</w:t>
            </w:r>
          </w:p>
        </w:tc>
        <w:tc>
          <w:tcPr>
            <w:tcW w:w="1114" w:type="pct"/>
            <w:tcBorders>
              <w:top w:val="outset" w:color="auto" w:sz="4" w:space="0"/>
              <w:left w:val="outset" w:color="auto" w:sz="4" w:space="0"/>
              <w:bottom w:val="outset" w:color="auto" w:sz="4" w:space="0"/>
              <w:right w:val="outset" w:color="auto" w:sz="4" w:space="0"/>
            </w:tcBorders>
            <w:vAlign w:val="center"/>
          </w:tcPr>
          <w:p w14:paraId="527D0340">
            <w:pPr>
              <w:jc w:val="right"/>
            </w:pPr>
            <w:r>
              <w:t>76,125,648.45</w:t>
            </w:r>
          </w:p>
        </w:tc>
      </w:tr>
      <w:tr w14:paraId="06E090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1316AF22">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其中：利息费用</w:t>
            </w:r>
          </w:p>
        </w:tc>
        <w:tc>
          <w:tcPr>
            <w:tcW w:w="838" w:type="pct"/>
            <w:tcBorders>
              <w:top w:val="outset" w:color="auto" w:sz="4" w:space="0"/>
              <w:left w:val="outset" w:color="auto" w:sz="4" w:space="0"/>
              <w:bottom w:val="outset" w:color="auto" w:sz="4" w:space="0"/>
              <w:right w:val="outset" w:color="auto" w:sz="4" w:space="0"/>
            </w:tcBorders>
            <w:vAlign w:val="center"/>
          </w:tcPr>
          <w:p w14:paraId="6849748E"/>
        </w:tc>
        <w:tc>
          <w:tcPr>
            <w:tcW w:w="1110" w:type="pct"/>
            <w:tcBorders>
              <w:top w:val="outset" w:color="auto" w:sz="4" w:space="0"/>
              <w:left w:val="outset" w:color="auto" w:sz="4" w:space="0"/>
              <w:bottom w:val="outset" w:color="auto" w:sz="4" w:space="0"/>
              <w:right w:val="outset" w:color="auto" w:sz="4" w:space="0"/>
            </w:tcBorders>
            <w:vAlign w:val="center"/>
          </w:tcPr>
          <w:p w14:paraId="6509572E">
            <w:pPr>
              <w:jc w:val="right"/>
            </w:pPr>
            <w:r>
              <w:t>64,483,464.40</w:t>
            </w:r>
          </w:p>
        </w:tc>
        <w:tc>
          <w:tcPr>
            <w:tcW w:w="1114" w:type="pct"/>
            <w:tcBorders>
              <w:top w:val="outset" w:color="auto" w:sz="4" w:space="0"/>
              <w:left w:val="outset" w:color="auto" w:sz="4" w:space="0"/>
              <w:bottom w:val="outset" w:color="auto" w:sz="4" w:space="0"/>
              <w:right w:val="outset" w:color="auto" w:sz="4" w:space="0"/>
            </w:tcBorders>
            <w:vAlign w:val="center"/>
          </w:tcPr>
          <w:p w14:paraId="3262799F">
            <w:pPr>
              <w:jc w:val="right"/>
            </w:pPr>
            <w:r>
              <w:t>70,809,128.85</w:t>
            </w:r>
          </w:p>
        </w:tc>
      </w:tr>
      <w:tr w14:paraId="292299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938" w:type="pct"/>
            <w:tcBorders>
              <w:top w:val="outset" w:color="auto" w:sz="4" w:space="0"/>
              <w:left w:val="outset" w:color="auto" w:sz="4" w:space="0"/>
              <w:bottom w:val="outset" w:color="auto" w:sz="4" w:space="0"/>
              <w:right w:val="outset" w:color="auto" w:sz="4" w:space="0"/>
            </w:tcBorders>
            <w:vAlign w:val="center"/>
          </w:tcPr>
          <w:p w14:paraId="7015FEC8">
            <w:pPr>
              <w:ind w:firstLine="1260" w:firstLineChars="600"/>
              <w:rPr>
                <w:color w:val="000000" w:themeColor="text1"/>
                <w14:textFill>
                  <w14:solidFill>
                    <w14:schemeClr w14:val="tx1"/>
                  </w14:solidFill>
                </w14:textFill>
              </w:rPr>
            </w:pPr>
            <w:r>
              <w:rPr>
                <w:rFonts w:hint="eastAsia"/>
                <w:color w:val="000000" w:themeColor="text1"/>
                <w14:textFill>
                  <w14:solidFill>
                    <w14:schemeClr w14:val="tx1"/>
                  </w14:solidFill>
                </w14:textFill>
              </w:rPr>
              <w:t>利息收入</w:t>
            </w:r>
          </w:p>
        </w:tc>
        <w:tc>
          <w:tcPr>
            <w:tcW w:w="838" w:type="pct"/>
            <w:tcBorders>
              <w:top w:val="outset" w:color="auto" w:sz="4" w:space="0"/>
              <w:left w:val="outset" w:color="auto" w:sz="4" w:space="0"/>
              <w:bottom w:val="outset" w:color="auto" w:sz="4" w:space="0"/>
              <w:right w:val="outset" w:color="auto" w:sz="4" w:space="0"/>
            </w:tcBorders>
            <w:vAlign w:val="center"/>
          </w:tcPr>
          <w:p w14:paraId="16DC3A24"/>
        </w:tc>
        <w:tc>
          <w:tcPr>
            <w:tcW w:w="1110" w:type="pct"/>
            <w:tcBorders>
              <w:top w:val="outset" w:color="auto" w:sz="4" w:space="0"/>
              <w:left w:val="outset" w:color="auto" w:sz="4" w:space="0"/>
              <w:bottom w:val="outset" w:color="auto" w:sz="4" w:space="0"/>
              <w:right w:val="outset" w:color="auto" w:sz="4" w:space="0"/>
            </w:tcBorders>
            <w:vAlign w:val="center"/>
          </w:tcPr>
          <w:p w14:paraId="19AF37BE">
            <w:pPr>
              <w:jc w:val="right"/>
            </w:pPr>
            <w:r>
              <w:t>-3,621,689.51</w:t>
            </w:r>
          </w:p>
        </w:tc>
        <w:tc>
          <w:tcPr>
            <w:tcW w:w="1114" w:type="pct"/>
            <w:tcBorders>
              <w:top w:val="outset" w:color="auto" w:sz="4" w:space="0"/>
              <w:left w:val="outset" w:color="auto" w:sz="4" w:space="0"/>
              <w:bottom w:val="outset" w:color="auto" w:sz="4" w:space="0"/>
              <w:right w:val="outset" w:color="auto" w:sz="4" w:space="0"/>
            </w:tcBorders>
            <w:vAlign w:val="center"/>
          </w:tcPr>
          <w:p w14:paraId="71FA447E">
            <w:pPr>
              <w:jc w:val="right"/>
            </w:pPr>
            <w:r>
              <w:t>-7,210,805.31</w:t>
            </w:r>
          </w:p>
        </w:tc>
      </w:tr>
      <w:tr w14:paraId="29D837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2F59242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加：其他收益</w:t>
            </w:r>
          </w:p>
        </w:tc>
        <w:tc>
          <w:tcPr>
            <w:tcW w:w="838" w:type="pct"/>
            <w:tcBorders>
              <w:top w:val="outset" w:color="auto" w:sz="4" w:space="0"/>
              <w:left w:val="outset" w:color="auto" w:sz="4" w:space="0"/>
              <w:bottom w:val="outset" w:color="auto" w:sz="4" w:space="0"/>
              <w:right w:val="outset" w:color="auto" w:sz="4" w:space="0"/>
            </w:tcBorders>
            <w:vAlign w:val="center"/>
          </w:tcPr>
          <w:p w14:paraId="09CC1F72"/>
        </w:tc>
        <w:tc>
          <w:tcPr>
            <w:tcW w:w="1110" w:type="pct"/>
            <w:tcBorders>
              <w:top w:val="outset" w:color="auto" w:sz="4" w:space="0"/>
              <w:left w:val="outset" w:color="auto" w:sz="4" w:space="0"/>
              <w:bottom w:val="outset" w:color="auto" w:sz="4" w:space="0"/>
              <w:right w:val="outset" w:color="auto" w:sz="4" w:space="0"/>
            </w:tcBorders>
            <w:vAlign w:val="center"/>
          </w:tcPr>
          <w:p w14:paraId="76DF0BE3">
            <w:pPr>
              <w:jc w:val="right"/>
            </w:pPr>
            <w:r>
              <w:t>21,121,233.18</w:t>
            </w:r>
          </w:p>
        </w:tc>
        <w:tc>
          <w:tcPr>
            <w:tcW w:w="1114" w:type="pct"/>
            <w:tcBorders>
              <w:top w:val="outset" w:color="auto" w:sz="4" w:space="0"/>
              <w:left w:val="outset" w:color="auto" w:sz="4" w:space="0"/>
              <w:bottom w:val="outset" w:color="auto" w:sz="4" w:space="0"/>
              <w:right w:val="outset" w:color="auto" w:sz="4" w:space="0"/>
            </w:tcBorders>
            <w:vAlign w:val="center"/>
          </w:tcPr>
          <w:p w14:paraId="65D7FB7F">
            <w:pPr>
              <w:jc w:val="right"/>
            </w:pPr>
            <w:r>
              <w:t>7,367,823.37</w:t>
            </w:r>
          </w:p>
        </w:tc>
      </w:tr>
      <w:tr w14:paraId="75B408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66C456CB">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投资收益（损失以“-”号填列）</w:t>
            </w:r>
          </w:p>
        </w:tc>
        <w:tc>
          <w:tcPr>
            <w:tcW w:w="838" w:type="pct"/>
            <w:tcBorders>
              <w:top w:val="outset" w:color="auto" w:sz="4" w:space="0"/>
              <w:left w:val="outset" w:color="auto" w:sz="4" w:space="0"/>
              <w:bottom w:val="outset" w:color="auto" w:sz="4" w:space="0"/>
              <w:right w:val="outset" w:color="auto" w:sz="4" w:space="0"/>
            </w:tcBorders>
            <w:vAlign w:val="center"/>
          </w:tcPr>
          <w:p w14:paraId="1542939F"/>
        </w:tc>
        <w:tc>
          <w:tcPr>
            <w:tcW w:w="1110" w:type="pct"/>
            <w:tcBorders>
              <w:top w:val="outset" w:color="auto" w:sz="4" w:space="0"/>
              <w:left w:val="outset" w:color="auto" w:sz="4" w:space="0"/>
              <w:bottom w:val="outset" w:color="auto" w:sz="4" w:space="0"/>
              <w:right w:val="outset" w:color="auto" w:sz="4" w:space="0"/>
            </w:tcBorders>
            <w:vAlign w:val="center"/>
          </w:tcPr>
          <w:p w14:paraId="3626077D">
            <w:pPr>
              <w:jc w:val="right"/>
            </w:pPr>
            <w:r>
              <w:t>9,053,165.78</w:t>
            </w:r>
          </w:p>
        </w:tc>
        <w:tc>
          <w:tcPr>
            <w:tcW w:w="1114" w:type="pct"/>
            <w:tcBorders>
              <w:top w:val="outset" w:color="auto" w:sz="4" w:space="0"/>
              <w:left w:val="outset" w:color="auto" w:sz="4" w:space="0"/>
              <w:bottom w:val="outset" w:color="auto" w:sz="4" w:space="0"/>
              <w:right w:val="outset" w:color="auto" w:sz="4" w:space="0"/>
            </w:tcBorders>
            <w:vAlign w:val="center"/>
          </w:tcPr>
          <w:p w14:paraId="6BFA203F">
            <w:pPr>
              <w:jc w:val="right"/>
            </w:pPr>
            <w:r>
              <w:t>9,433,523.76</w:t>
            </w:r>
          </w:p>
        </w:tc>
      </w:tr>
      <w:tr w14:paraId="4347ED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16C71F47">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其中：对联营企业和合营企业的投资收益</w:t>
            </w:r>
          </w:p>
        </w:tc>
        <w:tc>
          <w:tcPr>
            <w:tcW w:w="838" w:type="pct"/>
            <w:tcBorders>
              <w:top w:val="outset" w:color="auto" w:sz="4" w:space="0"/>
              <w:left w:val="outset" w:color="auto" w:sz="4" w:space="0"/>
              <w:bottom w:val="outset" w:color="auto" w:sz="4" w:space="0"/>
              <w:right w:val="outset" w:color="auto" w:sz="4" w:space="0"/>
            </w:tcBorders>
            <w:vAlign w:val="center"/>
          </w:tcPr>
          <w:p w14:paraId="70079CAA"/>
        </w:tc>
        <w:tc>
          <w:tcPr>
            <w:tcW w:w="1110" w:type="pct"/>
            <w:tcBorders>
              <w:top w:val="outset" w:color="auto" w:sz="4" w:space="0"/>
              <w:left w:val="outset" w:color="auto" w:sz="4" w:space="0"/>
              <w:bottom w:val="outset" w:color="auto" w:sz="4" w:space="0"/>
              <w:right w:val="outset" w:color="auto" w:sz="4" w:space="0"/>
            </w:tcBorders>
            <w:vAlign w:val="center"/>
          </w:tcPr>
          <w:p w14:paraId="6F121699">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23F9DAB4">
            <w:pPr>
              <w:jc w:val="right"/>
            </w:pPr>
          </w:p>
        </w:tc>
      </w:tr>
      <w:tr w14:paraId="14267E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3965A37E">
            <w:pPr>
              <w:ind w:firstLine="1155" w:firstLineChars="550"/>
              <w:rPr>
                <w:color w:val="000000" w:themeColor="text1"/>
                <w14:textFill>
                  <w14:solidFill>
                    <w14:schemeClr w14:val="tx1"/>
                  </w14:solidFill>
                </w14:textFill>
              </w:rPr>
            </w:pPr>
            <w:r>
              <w:rPr>
                <w:rFonts w:hint="eastAsia"/>
                <w:color w:val="000000" w:themeColor="text1"/>
                <w14:textFill>
                  <w14:solidFill>
                    <w14:schemeClr w14:val="tx1"/>
                  </w14:solidFill>
                </w14:textFill>
              </w:rPr>
              <w:t>以摊余成本计量的金融资产终止确认收益（损失以“</w:t>
            </w:r>
            <w:r>
              <w:rPr>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0B3DDA30"/>
        </w:tc>
        <w:tc>
          <w:tcPr>
            <w:tcW w:w="1110" w:type="pct"/>
            <w:tcBorders>
              <w:top w:val="outset" w:color="auto" w:sz="4" w:space="0"/>
              <w:left w:val="outset" w:color="auto" w:sz="4" w:space="0"/>
              <w:bottom w:val="outset" w:color="auto" w:sz="4" w:space="0"/>
              <w:right w:val="outset" w:color="auto" w:sz="4" w:space="0"/>
            </w:tcBorders>
            <w:vAlign w:val="center"/>
          </w:tcPr>
          <w:p w14:paraId="5EE82CDE">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0C0E1ACA">
            <w:pPr>
              <w:jc w:val="right"/>
            </w:pPr>
          </w:p>
        </w:tc>
      </w:tr>
      <w:tr w14:paraId="19FD2F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23D24995">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汇兑收益（损失以“-”号填列）</w:t>
            </w:r>
          </w:p>
        </w:tc>
        <w:tc>
          <w:tcPr>
            <w:tcW w:w="838" w:type="pct"/>
            <w:tcBorders>
              <w:top w:val="outset" w:color="auto" w:sz="4" w:space="0"/>
              <w:left w:val="outset" w:color="auto" w:sz="4" w:space="0"/>
              <w:bottom w:val="outset" w:color="auto" w:sz="4" w:space="0"/>
              <w:right w:val="outset" w:color="auto" w:sz="4" w:space="0"/>
            </w:tcBorders>
            <w:vAlign w:val="center"/>
          </w:tcPr>
          <w:p w14:paraId="555DA8DA"/>
        </w:tc>
        <w:tc>
          <w:tcPr>
            <w:tcW w:w="1110" w:type="pct"/>
            <w:tcBorders>
              <w:top w:val="outset" w:color="auto" w:sz="4" w:space="0"/>
              <w:left w:val="outset" w:color="auto" w:sz="4" w:space="0"/>
              <w:bottom w:val="outset" w:color="auto" w:sz="4" w:space="0"/>
              <w:right w:val="outset" w:color="auto" w:sz="4" w:space="0"/>
            </w:tcBorders>
            <w:vAlign w:val="center"/>
          </w:tcPr>
          <w:p w14:paraId="0523973A">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416D525A">
            <w:pPr>
              <w:jc w:val="right"/>
            </w:pPr>
          </w:p>
        </w:tc>
      </w:tr>
      <w:tr w14:paraId="143463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2103A05B">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净敞口套期收益（损失以“</w:t>
            </w:r>
            <w:r>
              <w:rPr>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232B7C3B"/>
        </w:tc>
        <w:tc>
          <w:tcPr>
            <w:tcW w:w="1110" w:type="pct"/>
            <w:tcBorders>
              <w:top w:val="outset" w:color="auto" w:sz="4" w:space="0"/>
              <w:left w:val="outset" w:color="auto" w:sz="4" w:space="0"/>
              <w:bottom w:val="outset" w:color="auto" w:sz="4" w:space="0"/>
              <w:right w:val="outset" w:color="auto" w:sz="4" w:space="0"/>
            </w:tcBorders>
            <w:vAlign w:val="center"/>
          </w:tcPr>
          <w:p w14:paraId="5649AD9D">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63963321">
            <w:pPr>
              <w:jc w:val="right"/>
            </w:pPr>
          </w:p>
        </w:tc>
      </w:tr>
      <w:tr w14:paraId="409921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938" w:type="pct"/>
            <w:tcBorders>
              <w:top w:val="outset" w:color="auto" w:sz="4" w:space="0"/>
              <w:left w:val="outset" w:color="auto" w:sz="4" w:space="0"/>
              <w:bottom w:val="outset" w:color="auto" w:sz="4" w:space="0"/>
              <w:right w:val="outset" w:color="auto" w:sz="4" w:space="0"/>
            </w:tcBorders>
            <w:vAlign w:val="center"/>
          </w:tcPr>
          <w:p w14:paraId="38E12397">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公允价值变动收益（损失以“-”号填列）</w:t>
            </w:r>
          </w:p>
        </w:tc>
        <w:tc>
          <w:tcPr>
            <w:tcW w:w="838" w:type="pct"/>
            <w:tcBorders>
              <w:top w:val="outset" w:color="auto" w:sz="4" w:space="0"/>
              <w:left w:val="outset" w:color="auto" w:sz="4" w:space="0"/>
              <w:bottom w:val="outset" w:color="auto" w:sz="4" w:space="0"/>
              <w:right w:val="outset" w:color="auto" w:sz="4" w:space="0"/>
            </w:tcBorders>
            <w:vAlign w:val="center"/>
          </w:tcPr>
          <w:p w14:paraId="301F2ABA"/>
        </w:tc>
        <w:tc>
          <w:tcPr>
            <w:tcW w:w="1110" w:type="pct"/>
            <w:tcBorders>
              <w:top w:val="outset" w:color="auto" w:sz="4" w:space="0"/>
              <w:left w:val="outset" w:color="auto" w:sz="4" w:space="0"/>
              <w:bottom w:val="outset" w:color="auto" w:sz="4" w:space="0"/>
              <w:right w:val="outset" w:color="auto" w:sz="4" w:space="0"/>
            </w:tcBorders>
            <w:vAlign w:val="center"/>
          </w:tcPr>
          <w:p w14:paraId="36B6F75D">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243C83CD">
            <w:pPr>
              <w:jc w:val="right"/>
            </w:pPr>
          </w:p>
        </w:tc>
      </w:tr>
      <w:tr w14:paraId="7EB9BA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4D9C41B3">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信用减值损失（损失以“</w:t>
            </w:r>
            <w:r>
              <w:rPr>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7E91607E"/>
        </w:tc>
        <w:tc>
          <w:tcPr>
            <w:tcW w:w="1110" w:type="pct"/>
            <w:tcBorders>
              <w:top w:val="outset" w:color="auto" w:sz="4" w:space="0"/>
              <w:left w:val="outset" w:color="auto" w:sz="4" w:space="0"/>
              <w:bottom w:val="outset" w:color="auto" w:sz="4" w:space="0"/>
              <w:right w:val="outset" w:color="auto" w:sz="4" w:space="0"/>
            </w:tcBorders>
            <w:vAlign w:val="center"/>
          </w:tcPr>
          <w:p w14:paraId="2A2FB444">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03235D2A">
            <w:pPr>
              <w:jc w:val="right"/>
            </w:pPr>
          </w:p>
        </w:tc>
      </w:tr>
      <w:tr w14:paraId="6006CE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938" w:type="pct"/>
            <w:tcBorders>
              <w:top w:val="outset" w:color="auto" w:sz="4" w:space="0"/>
              <w:left w:val="outset" w:color="auto" w:sz="4" w:space="0"/>
              <w:bottom w:val="outset" w:color="auto" w:sz="4" w:space="0"/>
              <w:right w:val="outset" w:color="auto" w:sz="4" w:space="0"/>
            </w:tcBorders>
            <w:vAlign w:val="center"/>
          </w:tcPr>
          <w:p w14:paraId="36280061">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资产减值损失（损失以“</w:t>
            </w:r>
            <w:r>
              <w:rPr>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37A36447"/>
        </w:tc>
        <w:tc>
          <w:tcPr>
            <w:tcW w:w="1110" w:type="pct"/>
            <w:tcBorders>
              <w:top w:val="outset" w:color="auto" w:sz="4" w:space="0"/>
              <w:left w:val="outset" w:color="auto" w:sz="4" w:space="0"/>
              <w:bottom w:val="outset" w:color="auto" w:sz="4" w:space="0"/>
              <w:right w:val="outset" w:color="auto" w:sz="4" w:space="0"/>
            </w:tcBorders>
            <w:vAlign w:val="center"/>
          </w:tcPr>
          <w:p w14:paraId="124AC5DF">
            <w:pPr>
              <w:jc w:val="right"/>
            </w:pPr>
            <w:r>
              <w:t>-4,345,928.60</w:t>
            </w:r>
          </w:p>
        </w:tc>
        <w:tc>
          <w:tcPr>
            <w:tcW w:w="1114" w:type="pct"/>
            <w:tcBorders>
              <w:top w:val="outset" w:color="auto" w:sz="4" w:space="0"/>
              <w:left w:val="outset" w:color="auto" w:sz="4" w:space="0"/>
              <w:bottom w:val="outset" w:color="auto" w:sz="4" w:space="0"/>
              <w:right w:val="outset" w:color="auto" w:sz="4" w:space="0"/>
            </w:tcBorders>
            <w:vAlign w:val="center"/>
          </w:tcPr>
          <w:p w14:paraId="5995B9D4">
            <w:pPr>
              <w:jc w:val="right"/>
            </w:pPr>
            <w:r>
              <w:t>-732,363.74</w:t>
            </w:r>
          </w:p>
        </w:tc>
      </w:tr>
      <w:tr w14:paraId="2D4F37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0022B3EF">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资产处置收益（损失以“-”号填列）</w:t>
            </w:r>
          </w:p>
        </w:tc>
        <w:tc>
          <w:tcPr>
            <w:tcW w:w="838" w:type="pct"/>
            <w:tcBorders>
              <w:top w:val="outset" w:color="auto" w:sz="4" w:space="0"/>
              <w:left w:val="outset" w:color="auto" w:sz="4" w:space="0"/>
              <w:bottom w:val="outset" w:color="auto" w:sz="4" w:space="0"/>
              <w:right w:val="outset" w:color="auto" w:sz="4" w:space="0"/>
            </w:tcBorders>
            <w:vAlign w:val="center"/>
          </w:tcPr>
          <w:p w14:paraId="4E5D8D06"/>
        </w:tc>
        <w:tc>
          <w:tcPr>
            <w:tcW w:w="1110" w:type="pct"/>
            <w:tcBorders>
              <w:top w:val="outset" w:color="auto" w:sz="4" w:space="0"/>
              <w:left w:val="outset" w:color="auto" w:sz="4" w:space="0"/>
              <w:bottom w:val="outset" w:color="auto" w:sz="4" w:space="0"/>
              <w:right w:val="outset" w:color="auto" w:sz="4" w:space="0"/>
            </w:tcBorders>
            <w:vAlign w:val="center"/>
          </w:tcPr>
          <w:p w14:paraId="75F7F7AB">
            <w:pPr>
              <w:jc w:val="right"/>
            </w:pPr>
            <w:r>
              <w:t>-2,882.31</w:t>
            </w:r>
          </w:p>
        </w:tc>
        <w:tc>
          <w:tcPr>
            <w:tcW w:w="1114" w:type="pct"/>
            <w:tcBorders>
              <w:top w:val="outset" w:color="auto" w:sz="4" w:space="0"/>
              <w:left w:val="outset" w:color="auto" w:sz="4" w:space="0"/>
              <w:bottom w:val="outset" w:color="auto" w:sz="4" w:space="0"/>
              <w:right w:val="outset" w:color="auto" w:sz="4" w:space="0"/>
            </w:tcBorders>
            <w:vAlign w:val="center"/>
          </w:tcPr>
          <w:p w14:paraId="44E55734">
            <w:pPr>
              <w:jc w:val="right"/>
            </w:pPr>
          </w:p>
        </w:tc>
      </w:tr>
      <w:tr w14:paraId="65161A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938" w:type="pct"/>
            <w:tcBorders>
              <w:top w:val="outset" w:color="auto" w:sz="4" w:space="0"/>
              <w:left w:val="outset" w:color="auto" w:sz="4" w:space="0"/>
              <w:bottom w:val="outset" w:color="auto" w:sz="4" w:space="0"/>
              <w:right w:val="outset" w:color="auto" w:sz="4" w:space="0"/>
            </w:tcBorders>
            <w:vAlign w:val="center"/>
          </w:tcPr>
          <w:p w14:paraId="5321C80E">
            <w:pPr>
              <w:rPr>
                <w:color w:val="000000" w:themeColor="text1"/>
                <w14:textFill>
                  <w14:solidFill>
                    <w14:schemeClr w14:val="tx1"/>
                  </w14:solidFill>
                </w14:textFill>
              </w:rPr>
            </w:pPr>
            <w:r>
              <w:rPr>
                <w:rFonts w:hint="eastAsia"/>
                <w:color w:val="000000" w:themeColor="text1"/>
                <w14:textFill>
                  <w14:solidFill>
                    <w14:schemeClr w14:val="tx1"/>
                  </w14:solidFill>
                </w14:textFill>
              </w:rPr>
              <w:t>三、营业利润（亏损以“-”号填列）</w:t>
            </w:r>
          </w:p>
        </w:tc>
        <w:tc>
          <w:tcPr>
            <w:tcW w:w="838" w:type="pct"/>
            <w:tcBorders>
              <w:top w:val="outset" w:color="auto" w:sz="4" w:space="0"/>
              <w:left w:val="outset" w:color="auto" w:sz="4" w:space="0"/>
              <w:bottom w:val="outset" w:color="auto" w:sz="4" w:space="0"/>
              <w:right w:val="outset" w:color="auto" w:sz="4" w:space="0"/>
            </w:tcBorders>
            <w:vAlign w:val="center"/>
          </w:tcPr>
          <w:p w14:paraId="5204A111"/>
        </w:tc>
        <w:tc>
          <w:tcPr>
            <w:tcW w:w="1110" w:type="pct"/>
            <w:tcBorders>
              <w:top w:val="outset" w:color="auto" w:sz="4" w:space="0"/>
              <w:left w:val="outset" w:color="auto" w:sz="4" w:space="0"/>
              <w:bottom w:val="outset" w:color="auto" w:sz="4" w:space="0"/>
              <w:right w:val="outset" w:color="auto" w:sz="4" w:space="0"/>
            </w:tcBorders>
            <w:vAlign w:val="center"/>
          </w:tcPr>
          <w:p w14:paraId="16A3FD2B">
            <w:pPr>
              <w:jc w:val="right"/>
            </w:pPr>
            <w:r>
              <w:t>34,742,073.76</w:t>
            </w:r>
          </w:p>
        </w:tc>
        <w:tc>
          <w:tcPr>
            <w:tcW w:w="1114" w:type="pct"/>
            <w:tcBorders>
              <w:top w:val="outset" w:color="auto" w:sz="4" w:space="0"/>
              <w:left w:val="outset" w:color="auto" w:sz="4" w:space="0"/>
              <w:bottom w:val="outset" w:color="auto" w:sz="4" w:space="0"/>
              <w:right w:val="outset" w:color="auto" w:sz="4" w:space="0"/>
            </w:tcBorders>
            <w:vAlign w:val="center"/>
          </w:tcPr>
          <w:p w14:paraId="2C3414FE">
            <w:pPr>
              <w:jc w:val="right"/>
            </w:pPr>
            <w:r>
              <w:t>26,071,519.10</w:t>
            </w:r>
          </w:p>
        </w:tc>
      </w:tr>
      <w:tr w14:paraId="42CEC6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1C11217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加：营业外收入</w:t>
            </w:r>
          </w:p>
        </w:tc>
        <w:tc>
          <w:tcPr>
            <w:tcW w:w="838" w:type="pct"/>
            <w:tcBorders>
              <w:top w:val="outset" w:color="auto" w:sz="4" w:space="0"/>
              <w:left w:val="outset" w:color="auto" w:sz="4" w:space="0"/>
              <w:bottom w:val="outset" w:color="auto" w:sz="4" w:space="0"/>
              <w:right w:val="outset" w:color="auto" w:sz="4" w:space="0"/>
            </w:tcBorders>
            <w:vAlign w:val="center"/>
          </w:tcPr>
          <w:p w14:paraId="583CDCBE"/>
        </w:tc>
        <w:tc>
          <w:tcPr>
            <w:tcW w:w="1110" w:type="pct"/>
            <w:tcBorders>
              <w:top w:val="outset" w:color="auto" w:sz="4" w:space="0"/>
              <w:left w:val="outset" w:color="auto" w:sz="4" w:space="0"/>
              <w:bottom w:val="outset" w:color="auto" w:sz="4" w:space="0"/>
              <w:right w:val="outset" w:color="auto" w:sz="4" w:space="0"/>
            </w:tcBorders>
            <w:vAlign w:val="center"/>
          </w:tcPr>
          <w:p w14:paraId="31ED460F">
            <w:pPr>
              <w:jc w:val="right"/>
            </w:pPr>
            <w:r>
              <w:t>1,090,272.59</w:t>
            </w:r>
          </w:p>
        </w:tc>
        <w:tc>
          <w:tcPr>
            <w:tcW w:w="1114" w:type="pct"/>
            <w:tcBorders>
              <w:top w:val="outset" w:color="auto" w:sz="4" w:space="0"/>
              <w:left w:val="outset" w:color="auto" w:sz="4" w:space="0"/>
              <w:bottom w:val="outset" w:color="auto" w:sz="4" w:space="0"/>
              <w:right w:val="outset" w:color="auto" w:sz="4" w:space="0"/>
            </w:tcBorders>
            <w:vAlign w:val="center"/>
          </w:tcPr>
          <w:p w14:paraId="76A5698A">
            <w:pPr>
              <w:jc w:val="right"/>
            </w:pPr>
            <w:r>
              <w:t>934,169.22</w:t>
            </w:r>
          </w:p>
        </w:tc>
      </w:tr>
      <w:tr w14:paraId="28CE38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11B1317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减：营业外支出</w:t>
            </w:r>
          </w:p>
        </w:tc>
        <w:tc>
          <w:tcPr>
            <w:tcW w:w="838" w:type="pct"/>
            <w:tcBorders>
              <w:top w:val="outset" w:color="auto" w:sz="4" w:space="0"/>
              <w:left w:val="outset" w:color="auto" w:sz="4" w:space="0"/>
              <w:bottom w:val="outset" w:color="auto" w:sz="4" w:space="0"/>
              <w:right w:val="outset" w:color="auto" w:sz="4" w:space="0"/>
            </w:tcBorders>
            <w:vAlign w:val="center"/>
          </w:tcPr>
          <w:p w14:paraId="55C32F6B"/>
        </w:tc>
        <w:tc>
          <w:tcPr>
            <w:tcW w:w="1110" w:type="pct"/>
            <w:tcBorders>
              <w:top w:val="outset" w:color="auto" w:sz="4" w:space="0"/>
              <w:left w:val="outset" w:color="auto" w:sz="4" w:space="0"/>
              <w:bottom w:val="outset" w:color="auto" w:sz="4" w:space="0"/>
              <w:right w:val="outset" w:color="auto" w:sz="4" w:space="0"/>
            </w:tcBorders>
            <w:vAlign w:val="center"/>
          </w:tcPr>
          <w:p w14:paraId="3BFEF483">
            <w:pPr>
              <w:jc w:val="right"/>
            </w:pPr>
            <w:r>
              <w:t>5,154,298.40</w:t>
            </w:r>
          </w:p>
        </w:tc>
        <w:tc>
          <w:tcPr>
            <w:tcW w:w="1114" w:type="pct"/>
            <w:tcBorders>
              <w:top w:val="outset" w:color="auto" w:sz="4" w:space="0"/>
              <w:left w:val="outset" w:color="auto" w:sz="4" w:space="0"/>
              <w:bottom w:val="outset" w:color="auto" w:sz="4" w:space="0"/>
              <w:right w:val="outset" w:color="auto" w:sz="4" w:space="0"/>
            </w:tcBorders>
            <w:vAlign w:val="center"/>
          </w:tcPr>
          <w:p w14:paraId="3EF71ADC">
            <w:pPr>
              <w:jc w:val="right"/>
            </w:pPr>
            <w:r>
              <w:t>1,401,364.68</w:t>
            </w:r>
          </w:p>
        </w:tc>
      </w:tr>
      <w:tr w14:paraId="43B2B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0A5B34EA">
            <w:pPr>
              <w:rPr>
                <w:color w:val="000000" w:themeColor="text1"/>
                <w14:textFill>
                  <w14:solidFill>
                    <w14:schemeClr w14:val="tx1"/>
                  </w14:solidFill>
                </w14:textFill>
              </w:rPr>
            </w:pPr>
            <w:r>
              <w:rPr>
                <w:rFonts w:hint="eastAsia"/>
                <w:color w:val="000000" w:themeColor="text1"/>
                <w14:textFill>
                  <w14:solidFill>
                    <w14:schemeClr w14:val="tx1"/>
                  </w14:solidFill>
                </w14:textFill>
              </w:rPr>
              <w:t>四、利润总额（亏损总额以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6809AC61"/>
        </w:tc>
        <w:tc>
          <w:tcPr>
            <w:tcW w:w="1110" w:type="pct"/>
            <w:tcBorders>
              <w:top w:val="outset" w:color="auto" w:sz="4" w:space="0"/>
              <w:left w:val="outset" w:color="auto" w:sz="4" w:space="0"/>
              <w:bottom w:val="outset" w:color="auto" w:sz="4" w:space="0"/>
              <w:right w:val="outset" w:color="auto" w:sz="4" w:space="0"/>
            </w:tcBorders>
            <w:vAlign w:val="center"/>
          </w:tcPr>
          <w:p w14:paraId="5626E7FE">
            <w:pPr>
              <w:jc w:val="right"/>
            </w:pPr>
            <w:r>
              <w:t>30,678,047.95</w:t>
            </w:r>
          </w:p>
        </w:tc>
        <w:tc>
          <w:tcPr>
            <w:tcW w:w="1114" w:type="pct"/>
            <w:tcBorders>
              <w:top w:val="outset" w:color="auto" w:sz="4" w:space="0"/>
              <w:left w:val="outset" w:color="auto" w:sz="4" w:space="0"/>
              <w:bottom w:val="outset" w:color="auto" w:sz="4" w:space="0"/>
              <w:right w:val="outset" w:color="auto" w:sz="4" w:space="0"/>
            </w:tcBorders>
            <w:vAlign w:val="center"/>
          </w:tcPr>
          <w:p w14:paraId="2D9EE48D">
            <w:pPr>
              <w:jc w:val="right"/>
            </w:pPr>
            <w:r>
              <w:t>25,604,323.64</w:t>
            </w:r>
          </w:p>
        </w:tc>
      </w:tr>
      <w:tr w14:paraId="0C43E7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392C7F1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减：所得税费用</w:t>
            </w:r>
          </w:p>
        </w:tc>
        <w:tc>
          <w:tcPr>
            <w:tcW w:w="838" w:type="pct"/>
            <w:tcBorders>
              <w:top w:val="outset" w:color="auto" w:sz="4" w:space="0"/>
              <w:left w:val="outset" w:color="auto" w:sz="4" w:space="0"/>
              <w:bottom w:val="outset" w:color="auto" w:sz="4" w:space="0"/>
              <w:right w:val="outset" w:color="auto" w:sz="4" w:space="0"/>
            </w:tcBorders>
            <w:vAlign w:val="center"/>
          </w:tcPr>
          <w:p w14:paraId="7B1596EF"/>
        </w:tc>
        <w:tc>
          <w:tcPr>
            <w:tcW w:w="1110" w:type="pct"/>
            <w:tcBorders>
              <w:top w:val="outset" w:color="auto" w:sz="4" w:space="0"/>
              <w:left w:val="outset" w:color="auto" w:sz="4" w:space="0"/>
              <w:bottom w:val="outset" w:color="auto" w:sz="4" w:space="0"/>
              <w:right w:val="outset" w:color="auto" w:sz="4" w:space="0"/>
            </w:tcBorders>
            <w:vAlign w:val="center"/>
          </w:tcPr>
          <w:p w14:paraId="064C4464">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36E863A8">
            <w:pPr>
              <w:jc w:val="right"/>
            </w:pPr>
          </w:p>
        </w:tc>
      </w:tr>
      <w:tr w14:paraId="6578A7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241F2BD6">
            <w:pPr>
              <w:rPr>
                <w:color w:val="000000" w:themeColor="text1"/>
                <w14:textFill>
                  <w14:solidFill>
                    <w14:schemeClr w14:val="tx1"/>
                  </w14:solidFill>
                </w14:textFill>
              </w:rPr>
            </w:pPr>
            <w:r>
              <w:rPr>
                <w:rFonts w:hint="eastAsia"/>
                <w:color w:val="000000" w:themeColor="text1"/>
                <w14:textFill>
                  <w14:solidFill>
                    <w14:schemeClr w14:val="tx1"/>
                  </w14:solidFill>
                </w14:textFill>
              </w:rPr>
              <w:t>五、净利润（净亏损以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5AE17E37"/>
        </w:tc>
        <w:tc>
          <w:tcPr>
            <w:tcW w:w="1110" w:type="pct"/>
            <w:tcBorders>
              <w:top w:val="outset" w:color="auto" w:sz="4" w:space="0"/>
              <w:left w:val="outset" w:color="auto" w:sz="4" w:space="0"/>
              <w:bottom w:val="outset" w:color="auto" w:sz="4" w:space="0"/>
              <w:right w:val="outset" w:color="auto" w:sz="4" w:space="0"/>
            </w:tcBorders>
            <w:vAlign w:val="center"/>
          </w:tcPr>
          <w:p w14:paraId="17B3FD24">
            <w:pPr>
              <w:jc w:val="right"/>
            </w:pPr>
            <w:r>
              <w:t>30,678,047.95</w:t>
            </w:r>
          </w:p>
        </w:tc>
        <w:tc>
          <w:tcPr>
            <w:tcW w:w="1114" w:type="pct"/>
            <w:tcBorders>
              <w:top w:val="outset" w:color="auto" w:sz="4" w:space="0"/>
              <w:left w:val="outset" w:color="auto" w:sz="4" w:space="0"/>
              <w:bottom w:val="outset" w:color="auto" w:sz="4" w:space="0"/>
              <w:right w:val="outset" w:color="auto" w:sz="4" w:space="0"/>
            </w:tcBorders>
            <w:vAlign w:val="center"/>
          </w:tcPr>
          <w:p w14:paraId="6F031CE6">
            <w:pPr>
              <w:jc w:val="right"/>
            </w:pPr>
            <w:r>
              <w:t>25,604,323.64</w:t>
            </w:r>
          </w:p>
        </w:tc>
      </w:tr>
      <w:tr w14:paraId="7E4E6D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c576a2f5fbec4ba2b1cc36d0a215ba5c"/>
            <w:id w:val="1770665907"/>
          </w:sdtPr>
          <w:sdtContent>
            <w:tc>
              <w:tcPr>
                <w:tcW w:w="5000" w:type="pct"/>
                <w:gridSpan w:val="4"/>
                <w:tcBorders>
                  <w:top w:val="outset" w:color="auto" w:sz="4" w:space="0"/>
                  <w:left w:val="outset" w:color="auto" w:sz="4" w:space="0"/>
                  <w:bottom w:val="outset" w:color="auto" w:sz="4" w:space="0"/>
                  <w:right w:val="outset" w:color="auto" w:sz="4" w:space="0"/>
                </w:tcBorders>
                <w:vAlign w:val="center"/>
              </w:tcPr>
              <w:p w14:paraId="60AD9588">
                <w:pPr>
                  <w:rPr>
                    <w:color w:val="000000" w:themeColor="text1"/>
                    <w14:textFill>
                      <w14:solidFill>
                        <w14:schemeClr w14:val="tx1"/>
                      </w14:solidFill>
                    </w14:textFill>
                  </w:rPr>
                </w:pPr>
                <w:r>
                  <w:rPr>
                    <w:rFonts w:hint="eastAsia"/>
                    <w:color w:val="000000" w:themeColor="text1"/>
                    <w14:textFill>
                      <w14:solidFill>
                        <w14:schemeClr w14:val="tx1"/>
                      </w14:solidFill>
                    </w14:textFill>
                  </w:rPr>
                  <w:t>（一）</w:t>
                </w:r>
                <w:r>
                  <w:rPr>
                    <w:color w:val="000000" w:themeColor="text1"/>
                    <w14:textFill>
                      <w14:solidFill>
                        <w14:schemeClr w14:val="tx1"/>
                      </w14:solidFill>
                    </w14:textFill>
                  </w:rPr>
                  <w:t>按经营持续性分类</w:t>
                </w:r>
              </w:p>
            </w:tc>
          </w:sdtContent>
        </w:sdt>
      </w:tr>
      <w:tr w14:paraId="3F7143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21C23134">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1.持续经营净利润（净亏损以“</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31E66298"/>
        </w:tc>
        <w:tc>
          <w:tcPr>
            <w:tcW w:w="1110" w:type="pct"/>
            <w:tcBorders>
              <w:top w:val="outset" w:color="auto" w:sz="4" w:space="0"/>
              <w:left w:val="outset" w:color="auto" w:sz="4" w:space="0"/>
              <w:bottom w:val="outset" w:color="auto" w:sz="4" w:space="0"/>
              <w:right w:val="outset" w:color="auto" w:sz="4" w:space="0"/>
            </w:tcBorders>
            <w:vAlign w:val="center"/>
          </w:tcPr>
          <w:p w14:paraId="6E613EBA">
            <w:pPr>
              <w:jc w:val="right"/>
            </w:pPr>
            <w:r>
              <w:t>30,678,047.95</w:t>
            </w:r>
          </w:p>
        </w:tc>
        <w:tc>
          <w:tcPr>
            <w:tcW w:w="1114" w:type="pct"/>
            <w:tcBorders>
              <w:top w:val="outset" w:color="auto" w:sz="4" w:space="0"/>
              <w:left w:val="outset" w:color="auto" w:sz="4" w:space="0"/>
              <w:bottom w:val="outset" w:color="auto" w:sz="4" w:space="0"/>
              <w:right w:val="outset" w:color="auto" w:sz="4" w:space="0"/>
            </w:tcBorders>
            <w:vAlign w:val="center"/>
          </w:tcPr>
          <w:p w14:paraId="23B059C9">
            <w:pPr>
              <w:jc w:val="right"/>
            </w:pPr>
            <w:r>
              <w:t>25,604,323.64</w:t>
            </w:r>
          </w:p>
        </w:tc>
      </w:tr>
      <w:tr w14:paraId="6C506C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938" w:type="pct"/>
            <w:tcBorders>
              <w:top w:val="outset" w:color="auto" w:sz="4" w:space="0"/>
              <w:left w:val="outset" w:color="auto" w:sz="4" w:space="0"/>
              <w:bottom w:val="outset" w:color="auto" w:sz="4" w:space="0"/>
              <w:right w:val="outset" w:color="auto" w:sz="4" w:space="0"/>
            </w:tcBorders>
            <w:vAlign w:val="center"/>
          </w:tcPr>
          <w:p w14:paraId="773254B2">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2.终止经营净利润（净亏损以“</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60E831EA"/>
        </w:tc>
        <w:tc>
          <w:tcPr>
            <w:tcW w:w="1110" w:type="pct"/>
            <w:tcBorders>
              <w:top w:val="outset" w:color="auto" w:sz="4" w:space="0"/>
              <w:left w:val="outset" w:color="auto" w:sz="4" w:space="0"/>
              <w:bottom w:val="outset" w:color="auto" w:sz="4" w:space="0"/>
              <w:right w:val="outset" w:color="auto" w:sz="4" w:space="0"/>
            </w:tcBorders>
            <w:vAlign w:val="center"/>
          </w:tcPr>
          <w:p w14:paraId="46CFC496">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2BB57B85">
            <w:pPr>
              <w:jc w:val="right"/>
            </w:pPr>
          </w:p>
        </w:tc>
      </w:tr>
      <w:tr w14:paraId="2950BA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5da729560f54464cbcc9ce762078f9ba"/>
            <w:id w:val="493217427"/>
          </w:sdtPr>
          <w:sdtContent>
            <w:tc>
              <w:tcPr>
                <w:tcW w:w="5000" w:type="pct"/>
                <w:gridSpan w:val="4"/>
                <w:tcBorders>
                  <w:top w:val="outset" w:color="auto" w:sz="4" w:space="0"/>
                  <w:left w:val="outset" w:color="auto" w:sz="4" w:space="0"/>
                  <w:bottom w:val="outset" w:color="auto" w:sz="4" w:space="0"/>
                  <w:right w:val="outset" w:color="auto" w:sz="4" w:space="0"/>
                </w:tcBorders>
                <w:vAlign w:val="center"/>
              </w:tcPr>
              <w:p w14:paraId="64659D4F">
                <w:pPr>
                  <w:rPr>
                    <w:color w:val="000000" w:themeColor="text1"/>
                    <w14:textFill>
                      <w14:solidFill>
                        <w14:schemeClr w14:val="tx1"/>
                      </w14:solidFill>
                    </w14:textFill>
                  </w:rPr>
                </w:pPr>
                <w:r>
                  <w:rPr>
                    <w:rFonts w:hint="eastAsia"/>
                    <w:color w:val="000000" w:themeColor="text1"/>
                    <w14:textFill>
                      <w14:solidFill>
                        <w14:schemeClr w14:val="tx1"/>
                      </w14:solidFill>
                    </w14:textFill>
                  </w:rPr>
                  <w:t>（二）</w:t>
                </w:r>
                <w:r>
                  <w:rPr>
                    <w:color w:val="000000" w:themeColor="text1"/>
                    <w14:textFill>
                      <w14:solidFill>
                        <w14:schemeClr w14:val="tx1"/>
                      </w14:solidFill>
                    </w14:textFill>
                  </w:rPr>
                  <w:t>按所有权归属分类</w:t>
                </w:r>
              </w:p>
            </w:tc>
          </w:sdtContent>
        </w:sdt>
      </w:tr>
      <w:tr w14:paraId="118940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1918B2BD">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归属于母公司股东的净利润（净亏损以“</w:t>
            </w:r>
            <w:r>
              <w:rPr>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638DBA79"/>
        </w:tc>
        <w:tc>
          <w:tcPr>
            <w:tcW w:w="1110" w:type="pct"/>
            <w:tcBorders>
              <w:top w:val="outset" w:color="auto" w:sz="4" w:space="0"/>
              <w:left w:val="outset" w:color="auto" w:sz="4" w:space="0"/>
              <w:bottom w:val="outset" w:color="auto" w:sz="4" w:space="0"/>
              <w:right w:val="outset" w:color="auto" w:sz="4" w:space="0"/>
            </w:tcBorders>
            <w:vAlign w:val="center"/>
          </w:tcPr>
          <w:p w14:paraId="4F37AE8A">
            <w:pPr>
              <w:jc w:val="right"/>
            </w:pPr>
            <w:r>
              <w:t>29,978,804.61</w:t>
            </w:r>
          </w:p>
        </w:tc>
        <w:tc>
          <w:tcPr>
            <w:tcW w:w="1114" w:type="pct"/>
            <w:tcBorders>
              <w:top w:val="outset" w:color="auto" w:sz="4" w:space="0"/>
              <w:left w:val="outset" w:color="auto" w:sz="4" w:space="0"/>
              <w:bottom w:val="outset" w:color="auto" w:sz="4" w:space="0"/>
              <w:right w:val="outset" w:color="auto" w:sz="4" w:space="0"/>
            </w:tcBorders>
            <w:vAlign w:val="center"/>
          </w:tcPr>
          <w:p w14:paraId="262FC445">
            <w:pPr>
              <w:jc w:val="right"/>
            </w:pPr>
            <w:r>
              <w:t>24,624,735.65</w:t>
            </w:r>
          </w:p>
        </w:tc>
      </w:tr>
      <w:tr w14:paraId="3202F2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59734931">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少数股东损益（净亏损以“</w:t>
            </w:r>
            <w:r>
              <w:rPr>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36CBCA7F"/>
        </w:tc>
        <w:tc>
          <w:tcPr>
            <w:tcW w:w="1110" w:type="pct"/>
            <w:tcBorders>
              <w:top w:val="outset" w:color="auto" w:sz="4" w:space="0"/>
              <w:left w:val="outset" w:color="auto" w:sz="4" w:space="0"/>
              <w:bottom w:val="outset" w:color="auto" w:sz="4" w:space="0"/>
              <w:right w:val="outset" w:color="auto" w:sz="4" w:space="0"/>
            </w:tcBorders>
            <w:vAlign w:val="center"/>
          </w:tcPr>
          <w:p w14:paraId="432440FB">
            <w:pPr>
              <w:jc w:val="right"/>
            </w:pPr>
            <w:r>
              <w:t>699,243.34</w:t>
            </w:r>
          </w:p>
        </w:tc>
        <w:tc>
          <w:tcPr>
            <w:tcW w:w="1114" w:type="pct"/>
            <w:tcBorders>
              <w:top w:val="outset" w:color="auto" w:sz="4" w:space="0"/>
              <w:left w:val="outset" w:color="auto" w:sz="4" w:space="0"/>
              <w:bottom w:val="outset" w:color="auto" w:sz="4" w:space="0"/>
              <w:right w:val="outset" w:color="auto" w:sz="4" w:space="0"/>
            </w:tcBorders>
            <w:vAlign w:val="center"/>
          </w:tcPr>
          <w:p w14:paraId="60DDA4AA">
            <w:pPr>
              <w:jc w:val="right"/>
            </w:pPr>
            <w:r>
              <w:t>979,587.99</w:t>
            </w:r>
          </w:p>
        </w:tc>
      </w:tr>
      <w:tr w14:paraId="5976A1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361F5760">
            <w:pPr>
              <w:rPr>
                <w:color w:val="000000" w:themeColor="text1"/>
                <w14:textFill>
                  <w14:solidFill>
                    <w14:schemeClr w14:val="tx1"/>
                  </w14:solidFill>
                </w14:textFill>
              </w:rPr>
            </w:pPr>
            <w:r>
              <w:rPr>
                <w:rFonts w:hint="eastAsia"/>
                <w:color w:val="000000" w:themeColor="text1"/>
                <w14:textFill>
                  <w14:solidFill>
                    <w14:schemeClr w14:val="tx1"/>
                  </w14:solidFill>
                </w14:textFill>
              </w:rPr>
              <w:t>六、其他综合收益的税后净额</w:t>
            </w:r>
          </w:p>
        </w:tc>
        <w:tc>
          <w:tcPr>
            <w:tcW w:w="838" w:type="pct"/>
            <w:tcBorders>
              <w:top w:val="outset" w:color="auto" w:sz="4" w:space="0"/>
              <w:left w:val="outset" w:color="auto" w:sz="4" w:space="0"/>
              <w:bottom w:val="outset" w:color="auto" w:sz="4" w:space="0"/>
              <w:right w:val="outset" w:color="auto" w:sz="4" w:space="0"/>
            </w:tcBorders>
            <w:vAlign w:val="center"/>
          </w:tcPr>
          <w:p w14:paraId="6B67BD0A"/>
        </w:tc>
        <w:tc>
          <w:tcPr>
            <w:tcW w:w="1110" w:type="pct"/>
            <w:tcBorders>
              <w:top w:val="outset" w:color="auto" w:sz="4" w:space="0"/>
              <w:left w:val="outset" w:color="auto" w:sz="4" w:space="0"/>
              <w:bottom w:val="outset" w:color="auto" w:sz="4" w:space="0"/>
              <w:right w:val="outset" w:color="auto" w:sz="4" w:space="0"/>
            </w:tcBorders>
            <w:vAlign w:val="center"/>
          </w:tcPr>
          <w:p w14:paraId="05CC0732">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7F3CC5A1">
            <w:pPr>
              <w:jc w:val="right"/>
            </w:pPr>
          </w:p>
        </w:tc>
      </w:tr>
      <w:tr w14:paraId="623955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372760AB">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（一）归属母公司所有者的其他综合收益的税后净额</w:t>
            </w:r>
          </w:p>
        </w:tc>
        <w:tc>
          <w:tcPr>
            <w:tcW w:w="838" w:type="pct"/>
            <w:tcBorders>
              <w:top w:val="outset" w:color="auto" w:sz="4" w:space="0"/>
              <w:left w:val="outset" w:color="auto" w:sz="4" w:space="0"/>
              <w:bottom w:val="outset" w:color="auto" w:sz="4" w:space="0"/>
              <w:right w:val="outset" w:color="auto" w:sz="4" w:space="0"/>
            </w:tcBorders>
            <w:vAlign w:val="center"/>
          </w:tcPr>
          <w:p w14:paraId="7CB462E0"/>
        </w:tc>
        <w:tc>
          <w:tcPr>
            <w:tcW w:w="1110" w:type="pct"/>
            <w:tcBorders>
              <w:top w:val="outset" w:color="auto" w:sz="4" w:space="0"/>
              <w:left w:val="outset" w:color="auto" w:sz="4" w:space="0"/>
              <w:bottom w:val="outset" w:color="auto" w:sz="4" w:space="0"/>
              <w:right w:val="outset" w:color="auto" w:sz="4" w:space="0"/>
            </w:tcBorders>
            <w:vAlign w:val="center"/>
          </w:tcPr>
          <w:p w14:paraId="2F4214A7">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151F0617">
            <w:pPr>
              <w:jc w:val="right"/>
            </w:pPr>
          </w:p>
        </w:tc>
      </w:tr>
      <w:tr w14:paraId="66287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938" w:type="pct"/>
            <w:tcBorders>
              <w:top w:val="outset" w:color="auto" w:sz="4" w:space="0"/>
              <w:left w:val="outset" w:color="auto" w:sz="4" w:space="0"/>
              <w:bottom w:val="outset" w:color="auto" w:sz="4" w:space="0"/>
              <w:right w:val="outset" w:color="auto" w:sz="4" w:space="0"/>
            </w:tcBorders>
            <w:vAlign w:val="center"/>
          </w:tcPr>
          <w:p w14:paraId="4C8E4156">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不能重分类进损益的其他综合收益</w:t>
            </w:r>
          </w:p>
        </w:tc>
        <w:tc>
          <w:tcPr>
            <w:tcW w:w="838" w:type="pct"/>
            <w:tcBorders>
              <w:top w:val="outset" w:color="auto" w:sz="4" w:space="0"/>
              <w:left w:val="outset" w:color="auto" w:sz="4" w:space="0"/>
              <w:bottom w:val="outset" w:color="auto" w:sz="4" w:space="0"/>
              <w:right w:val="outset" w:color="auto" w:sz="4" w:space="0"/>
            </w:tcBorders>
            <w:vAlign w:val="center"/>
          </w:tcPr>
          <w:p w14:paraId="086D4FD2"/>
        </w:tc>
        <w:tc>
          <w:tcPr>
            <w:tcW w:w="1110" w:type="pct"/>
            <w:tcBorders>
              <w:top w:val="outset" w:color="auto" w:sz="4" w:space="0"/>
              <w:left w:val="outset" w:color="auto" w:sz="4" w:space="0"/>
              <w:bottom w:val="outset" w:color="auto" w:sz="4" w:space="0"/>
              <w:right w:val="outset" w:color="auto" w:sz="4" w:space="0"/>
            </w:tcBorders>
            <w:vAlign w:val="center"/>
          </w:tcPr>
          <w:p w14:paraId="649BDB04">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4A2E1D57">
            <w:pPr>
              <w:jc w:val="right"/>
            </w:pPr>
          </w:p>
        </w:tc>
      </w:tr>
      <w:tr w14:paraId="516829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39E60B4A">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重新计量设定受益计划变动额</w:t>
            </w:r>
          </w:p>
        </w:tc>
        <w:tc>
          <w:tcPr>
            <w:tcW w:w="838" w:type="pct"/>
            <w:tcBorders>
              <w:top w:val="outset" w:color="auto" w:sz="4" w:space="0"/>
              <w:left w:val="outset" w:color="auto" w:sz="4" w:space="0"/>
              <w:bottom w:val="outset" w:color="auto" w:sz="4" w:space="0"/>
              <w:right w:val="outset" w:color="auto" w:sz="4" w:space="0"/>
            </w:tcBorders>
            <w:vAlign w:val="center"/>
          </w:tcPr>
          <w:p w14:paraId="494BF843"/>
        </w:tc>
        <w:tc>
          <w:tcPr>
            <w:tcW w:w="1110" w:type="pct"/>
            <w:tcBorders>
              <w:top w:val="outset" w:color="auto" w:sz="4" w:space="0"/>
              <w:left w:val="outset" w:color="auto" w:sz="4" w:space="0"/>
              <w:bottom w:val="outset" w:color="auto" w:sz="4" w:space="0"/>
              <w:right w:val="outset" w:color="auto" w:sz="4" w:space="0"/>
            </w:tcBorders>
            <w:vAlign w:val="center"/>
          </w:tcPr>
          <w:p w14:paraId="02800F24">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05D181AB">
            <w:pPr>
              <w:jc w:val="right"/>
            </w:pPr>
          </w:p>
        </w:tc>
      </w:tr>
      <w:tr w14:paraId="519182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240672CB">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权益法下不能转损益的其他综合收益</w:t>
            </w:r>
          </w:p>
        </w:tc>
        <w:tc>
          <w:tcPr>
            <w:tcW w:w="838" w:type="pct"/>
            <w:tcBorders>
              <w:top w:val="outset" w:color="auto" w:sz="4" w:space="0"/>
              <w:left w:val="outset" w:color="auto" w:sz="4" w:space="0"/>
              <w:bottom w:val="outset" w:color="auto" w:sz="4" w:space="0"/>
              <w:right w:val="outset" w:color="auto" w:sz="4" w:space="0"/>
            </w:tcBorders>
            <w:vAlign w:val="center"/>
          </w:tcPr>
          <w:p w14:paraId="266EA6E5"/>
        </w:tc>
        <w:tc>
          <w:tcPr>
            <w:tcW w:w="1110" w:type="pct"/>
            <w:tcBorders>
              <w:top w:val="outset" w:color="auto" w:sz="4" w:space="0"/>
              <w:left w:val="outset" w:color="auto" w:sz="4" w:space="0"/>
              <w:bottom w:val="outset" w:color="auto" w:sz="4" w:space="0"/>
              <w:right w:val="outset" w:color="auto" w:sz="4" w:space="0"/>
            </w:tcBorders>
            <w:vAlign w:val="center"/>
          </w:tcPr>
          <w:p w14:paraId="7E056E2A">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31602C55">
            <w:pPr>
              <w:jc w:val="right"/>
            </w:pPr>
          </w:p>
        </w:tc>
      </w:tr>
      <w:tr w14:paraId="7141E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56384B3A">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其他权益工具投资公允价值变动</w:t>
            </w:r>
          </w:p>
        </w:tc>
        <w:tc>
          <w:tcPr>
            <w:tcW w:w="838" w:type="pct"/>
            <w:tcBorders>
              <w:top w:val="outset" w:color="auto" w:sz="4" w:space="0"/>
              <w:left w:val="outset" w:color="auto" w:sz="4" w:space="0"/>
              <w:bottom w:val="outset" w:color="auto" w:sz="4" w:space="0"/>
              <w:right w:val="outset" w:color="auto" w:sz="4" w:space="0"/>
            </w:tcBorders>
            <w:vAlign w:val="center"/>
          </w:tcPr>
          <w:p w14:paraId="48AAC39D"/>
        </w:tc>
        <w:tc>
          <w:tcPr>
            <w:tcW w:w="1110" w:type="pct"/>
            <w:tcBorders>
              <w:top w:val="outset" w:color="auto" w:sz="4" w:space="0"/>
              <w:left w:val="outset" w:color="auto" w:sz="4" w:space="0"/>
              <w:bottom w:val="outset" w:color="auto" w:sz="4" w:space="0"/>
              <w:right w:val="outset" w:color="auto" w:sz="4" w:space="0"/>
            </w:tcBorders>
            <w:vAlign w:val="center"/>
          </w:tcPr>
          <w:p w14:paraId="5A1F4C2E">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7DBA5AFF">
            <w:pPr>
              <w:jc w:val="right"/>
            </w:pPr>
          </w:p>
        </w:tc>
      </w:tr>
      <w:tr w14:paraId="29A241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07D939EE">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企业自身信用风险公允价值变动</w:t>
            </w:r>
          </w:p>
        </w:tc>
        <w:tc>
          <w:tcPr>
            <w:tcW w:w="838" w:type="pct"/>
            <w:tcBorders>
              <w:top w:val="outset" w:color="auto" w:sz="4" w:space="0"/>
              <w:left w:val="outset" w:color="auto" w:sz="4" w:space="0"/>
              <w:bottom w:val="outset" w:color="auto" w:sz="4" w:space="0"/>
              <w:right w:val="outset" w:color="auto" w:sz="4" w:space="0"/>
            </w:tcBorders>
            <w:vAlign w:val="center"/>
          </w:tcPr>
          <w:p w14:paraId="339009A6"/>
        </w:tc>
        <w:tc>
          <w:tcPr>
            <w:tcW w:w="1110" w:type="pct"/>
            <w:tcBorders>
              <w:top w:val="outset" w:color="auto" w:sz="4" w:space="0"/>
              <w:left w:val="outset" w:color="auto" w:sz="4" w:space="0"/>
              <w:bottom w:val="outset" w:color="auto" w:sz="4" w:space="0"/>
              <w:right w:val="outset" w:color="auto" w:sz="4" w:space="0"/>
            </w:tcBorders>
            <w:vAlign w:val="center"/>
          </w:tcPr>
          <w:p w14:paraId="37CEE2E6">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16E350DF">
            <w:pPr>
              <w:jc w:val="right"/>
            </w:pPr>
          </w:p>
        </w:tc>
      </w:tr>
      <w:tr w14:paraId="4411DE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50AA02E1">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将重分类进损益的其他综合收益</w:t>
            </w:r>
          </w:p>
        </w:tc>
        <w:tc>
          <w:tcPr>
            <w:tcW w:w="838" w:type="pct"/>
            <w:tcBorders>
              <w:top w:val="outset" w:color="auto" w:sz="4" w:space="0"/>
              <w:left w:val="outset" w:color="auto" w:sz="4" w:space="0"/>
              <w:bottom w:val="outset" w:color="auto" w:sz="4" w:space="0"/>
              <w:right w:val="outset" w:color="auto" w:sz="4" w:space="0"/>
            </w:tcBorders>
            <w:vAlign w:val="center"/>
          </w:tcPr>
          <w:p w14:paraId="253D54CC"/>
        </w:tc>
        <w:tc>
          <w:tcPr>
            <w:tcW w:w="1110" w:type="pct"/>
            <w:tcBorders>
              <w:top w:val="outset" w:color="auto" w:sz="4" w:space="0"/>
              <w:left w:val="outset" w:color="auto" w:sz="4" w:space="0"/>
              <w:bottom w:val="outset" w:color="auto" w:sz="4" w:space="0"/>
              <w:right w:val="outset" w:color="auto" w:sz="4" w:space="0"/>
            </w:tcBorders>
            <w:vAlign w:val="center"/>
          </w:tcPr>
          <w:p w14:paraId="3CEACE88">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170208A2">
            <w:pPr>
              <w:jc w:val="right"/>
            </w:pPr>
          </w:p>
        </w:tc>
      </w:tr>
      <w:tr w14:paraId="66B8F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7C8F08E9">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权益法下可转损益的其他综合收益</w:t>
            </w:r>
          </w:p>
        </w:tc>
        <w:tc>
          <w:tcPr>
            <w:tcW w:w="838" w:type="pct"/>
            <w:tcBorders>
              <w:top w:val="outset" w:color="auto" w:sz="4" w:space="0"/>
              <w:left w:val="outset" w:color="auto" w:sz="4" w:space="0"/>
              <w:bottom w:val="outset" w:color="auto" w:sz="4" w:space="0"/>
              <w:right w:val="outset" w:color="auto" w:sz="4" w:space="0"/>
            </w:tcBorders>
            <w:vAlign w:val="center"/>
          </w:tcPr>
          <w:p w14:paraId="1655C284"/>
        </w:tc>
        <w:tc>
          <w:tcPr>
            <w:tcW w:w="1110" w:type="pct"/>
            <w:tcBorders>
              <w:top w:val="outset" w:color="auto" w:sz="4" w:space="0"/>
              <w:left w:val="outset" w:color="auto" w:sz="4" w:space="0"/>
              <w:bottom w:val="outset" w:color="auto" w:sz="4" w:space="0"/>
              <w:right w:val="outset" w:color="auto" w:sz="4" w:space="0"/>
            </w:tcBorders>
            <w:vAlign w:val="center"/>
          </w:tcPr>
          <w:p w14:paraId="7313FCC5">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60D501F5">
            <w:pPr>
              <w:jc w:val="right"/>
            </w:pPr>
          </w:p>
        </w:tc>
      </w:tr>
      <w:tr w14:paraId="045073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622FAA9E">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其他债权投资公允价值变动</w:t>
            </w:r>
          </w:p>
        </w:tc>
        <w:tc>
          <w:tcPr>
            <w:tcW w:w="838" w:type="pct"/>
            <w:tcBorders>
              <w:top w:val="outset" w:color="auto" w:sz="4" w:space="0"/>
              <w:left w:val="outset" w:color="auto" w:sz="4" w:space="0"/>
              <w:bottom w:val="outset" w:color="auto" w:sz="4" w:space="0"/>
              <w:right w:val="outset" w:color="auto" w:sz="4" w:space="0"/>
            </w:tcBorders>
            <w:vAlign w:val="center"/>
          </w:tcPr>
          <w:p w14:paraId="59B161AA"/>
        </w:tc>
        <w:tc>
          <w:tcPr>
            <w:tcW w:w="1110" w:type="pct"/>
            <w:tcBorders>
              <w:top w:val="outset" w:color="auto" w:sz="4" w:space="0"/>
              <w:left w:val="outset" w:color="auto" w:sz="4" w:space="0"/>
              <w:bottom w:val="outset" w:color="auto" w:sz="4" w:space="0"/>
              <w:right w:val="outset" w:color="auto" w:sz="4" w:space="0"/>
            </w:tcBorders>
            <w:vAlign w:val="center"/>
          </w:tcPr>
          <w:p w14:paraId="04FC90AD">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6846EF1F">
            <w:pPr>
              <w:jc w:val="right"/>
            </w:pPr>
          </w:p>
        </w:tc>
      </w:tr>
      <w:tr w14:paraId="4BD6ED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1D7AE6CB">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金融资产重分类计入其他综合收益的金额</w:t>
            </w:r>
          </w:p>
        </w:tc>
        <w:tc>
          <w:tcPr>
            <w:tcW w:w="838" w:type="pct"/>
            <w:tcBorders>
              <w:top w:val="outset" w:color="auto" w:sz="4" w:space="0"/>
              <w:left w:val="outset" w:color="auto" w:sz="4" w:space="0"/>
              <w:bottom w:val="outset" w:color="auto" w:sz="4" w:space="0"/>
              <w:right w:val="outset" w:color="auto" w:sz="4" w:space="0"/>
            </w:tcBorders>
            <w:vAlign w:val="center"/>
          </w:tcPr>
          <w:p w14:paraId="0EF4C1FB"/>
        </w:tc>
        <w:tc>
          <w:tcPr>
            <w:tcW w:w="1110" w:type="pct"/>
            <w:tcBorders>
              <w:top w:val="outset" w:color="auto" w:sz="4" w:space="0"/>
              <w:left w:val="outset" w:color="auto" w:sz="4" w:space="0"/>
              <w:bottom w:val="outset" w:color="auto" w:sz="4" w:space="0"/>
              <w:right w:val="outset" w:color="auto" w:sz="4" w:space="0"/>
            </w:tcBorders>
            <w:vAlign w:val="center"/>
          </w:tcPr>
          <w:p w14:paraId="5EC2718E">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648B3757">
            <w:pPr>
              <w:jc w:val="right"/>
            </w:pPr>
          </w:p>
        </w:tc>
      </w:tr>
      <w:tr w14:paraId="446F33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0F70B273">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其他债权投资信用减值准备</w:t>
            </w:r>
          </w:p>
        </w:tc>
        <w:tc>
          <w:tcPr>
            <w:tcW w:w="838" w:type="pct"/>
            <w:tcBorders>
              <w:top w:val="outset" w:color="auto" w:sz="4" w:space="0"/>
              <w:left w:val="outset" w:color="auto" w:sz="4" w:space="0"/>
              <w:bottom w:val="outset" w:color="auto" w:sz="4" w:space="0"/>
              <w:right w:val="outset" w:color="auto" w:sz="4" w:space="0"/>
            </w:tcBorders>
            <w:vAlign w:val="center"/>
          </w:tcPr>
          <w:p w14:paraId="717A93DB"/>
        </w:tc>
        <w:tc>
          <w:tcPr>
            <w:tcW w:w="1110" w:type="pct"/>
            <w:tcBorders>
              <w:top w:val="outset" w:color="auto" w:sz="4" w:space="0"/>
              <w:left w:val="outset" w:color="auto" w:sz="4" w:space="0"/>
              <w:bottom w:val="outset" w:color="auto" w:sz="4" w:space="0"/>
              <w:right w:val="outset" w:color="auto" w:sz="4" w:space="0"/>
            </w:tcBorders>
            <w:vAlign w:val="center"/>
          </w:tcPr>
          <w:p w14:paraId="06872D9A">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0AED15EF">
            <w:pPr>
              <w:jc w:val="right"/>
            </w:pPr>
          </w:p>
        </w:tc>
      </w:tr>
      <w:tr w14:paraId="0015DD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7904D4FA">
            <w:pPr>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现金流量套期储备</w:t>
            </w:r>
          </w:p>
        </w:tc>
        <w:tc>
          <w:tcPr>
            <w:tcW w:w="838" w:type="pct"/>
            <w:tcBorders>
              <w:top w:val="outset" w:color="auto" w:sz="4" w:space="0"/>
              <w:left w:val="outset" w:color="auto" w:sz="4" w:space="0"/>
              <w:bottom w:val="outset" w:color="auto" w:sz="4" w:space="0"/>
              <w:right w:val="outset" w:color="auto" w:sz="4" w:space="0"/>
            </w:tcBorders>
            <w:vAlign w:val="center"/>
          </w:tcPr>
          <w:p w14:paraId="496B6152"/>
        </w:tc>
        <w:tc>
          <w:tcPr>
            <w:tcW w:w="1110" w:type="pct"/>
            <w:tcBorders>
              <w:top w:val="outset" w:color="auto" w:sz="4" w:space="0"/>
              <w:left w:val="outset" w:color="auto" w:sz="4" w:space="0"/>
              <w:bottom w:val="outset" w:color="auto" w:sz="4" w:space="0"/>
              <w:right w:val="outset" w:color="auto" w:sz="4" w:space="0"/>
            </w:tcBorders>
            <w:vAlign w:val="center"/>
          </w:tcPr>
          <w:p w14:paraId="37817336">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7C2DB215">
            <w:pPr>
              <w:jc w:val="right"/>
            </w:pPr>
          </w:p>
        </w:tc>
      </w:tr>
      <w:tr w14:paraId="11BE6E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61D2991B">
            <w:pPr>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外币财务报表折算差额</w:t>
            </w:r>
          </w:p>
        </w:tc>
        <w:tc>
          <w:tcPr>
            <w:tcW w:w="838" w:type="pct"/>
            <w:tcBorders>
              <w:top w:val="outset" w:color="auto" w:sz="4" w:space="0"/>
              <w:left w:val="outset" w:color="auto" w:sz="4" w:space="0"/>
              <w:bottom w:val="outset" w:color="auto" w:sz="4" w:space="0"/>
              <w:right w:val="outset" w:color="auto" w:sz="4" w:space="0"/>
            </w:tcBorders>
            <w:vAlign w:val="center"/>
          </w:tcPr>
          <w:p w14:paraId="67487C85"/>
        </w:tc>
        <w:tc>
          <w:tcPr>
            <w:tcW w:w="1110" w:type="pct"/>
            <w:tcBorders>
              <w:top w:val="outset" w:color="auto" w:sz="4" w:space="0"/>
              <w:left w:val="outset" w:color="auto" w:sz="4" w:space="0"/>
              <w:bottom w:val="outset" w:color="auto" w:sz="4" w:space="0"/>
              <w:right w:val="outset" w:color="auto" w:sz="4" w:space="0"/>
            </w:tcBorders>
            <w:vAlign w:val="center"/>
          </w:tcPr>
          <w:p w14:paraId="62DDEE61">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770EE6F0">
            <w:pPr>
              <w:jc w:val="right"/>
            </w:pPr>
          </w:p>
        </w:tc>
      </w:tr>
      <w:tr w14:paraId="0CAA3A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518F476C">
            <w:pPr>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其他</w:t>
            </w:r>
          </w:p>
        </w:tc>
        <w:tc>
          <w:tcPr>
            <w:tcW w:w="838" w:type="pct"/>
            <w:tcBorders>
              <w:top w:val="outset" w:color="auto" w:sz="4" w:space="0"/>
              <w:left w:val="outset" w:color="auto" w:sz="4" w:space="0"/>
              <w:bottom w:val="outset" w:color="auto" w:sz="4" w:space="0"/>
              <w:right w:val="outset" w:color="auto" w:sz="4" w:space="0"/>
            </w:tcBorders>
            <w:vAlign w:val="center"/>
          </w:tcPr>
          <w:p w14:paraId="00B3EE61"/>
        </w:tc>
        <w:tc>
          <w:tcPr>
            <w:tcW w:w="1110" w:type="pct"/>
            <w:tcBorders>
              <w:top w:val="outset" w:color="auto" w:sz="4" w:space="0"/>
              <w:left w:val="outset" w:color="auto" w:sz="4" w:space="0"/>
              <w:bottom w:val="outset" w:color="auto" w:sz="4" w:space="0"/>
              <w:right w:val="outset" w:color="auto" w:sz="4" w:space="0"/>
            </w:tcBorders>
            <w:vAlign w:val="center"/>
          </w:tcPr>
          <w:p w14:paraId="11CCA12F">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7250466A">
            <w:pPr>
              <w:jc w:val="right"/>
            </w:pPr>
          </w:p>
        </w:tc>
      </w:tr>
      <w:tr w14:paraId="58DF54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938" w:type="pct"/>
            <w:tcBorders>
              <w:top w:val="outset" w:color="auto" w:sz="4" w:space="0"/>
              <w:left w:val="outset" w:color="auto" w:sz="4" w:space="0"/>
              <w:bottom w:val="outset" w:color="auto" w:sz="4" w:space="0"/>
              <w:right w:val="outset" w:color="auto" w:sz="4" w:space="0"/>
            </w:tcBorders>
            <w:vAlign w:val="center"/>
          </w:tcPr>
          <w:p w14:paraId="79989DFC">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（二）归属于少数股东的其他综合收益的税后净额</w:t>
            </w:r>
          </w:p>
        </w:tc>
        <w:tc>
          <w:tcPr>
            <w:tcW w:w="838" w:type="pct"/>
            <w:tcBorders>
              <w:top w:val="outset" w:color="auto" w:sz="4" w:space="0"/>
              <w:left w:val="outset" w:color="auto" w:sz="4" w:space="0"/>
              <w:bottom w:val="outset" w:color="auto" w:sz="4" w:space="0"/>
              <w:right w:val="outset" w:color="auto" w:sz="4" w:space="0"/>
            </w:tcBorders>
            <w:vAlign w:val="center"/>
          </w:tcPr>
          <w:p w14:paraId="6EF1C8C7"/>
        </w:tc>
        <w:tc>
          <w:tcPr>
            <w:tcW w:w="1110" w:type="pct"/>
            <w:tcBorders>
              <w:top w:val="outset" w:color="auto" w:sz="4" w:space="0"/>
              <w:left w:val="outset" w:color="auto" w:sz="4" w:space="0"/>
              <w:bottom w:val="outset" w:color="auto" w:sz="4" w:space="0"/>
              <w:right w:val="outset" w:color="auto" w:sz="4" w:space="0"/>
            </w:tcBorders>
            <w:vAlign w:val="center"/>
          </w:tcPr>
          <w:p w14:paraId="4CB05A6D">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2489E33D">
            <w:pPr>
              <w:jc w:val="right"/>
            </w:pPr>
          </w:p>
        </w:tc>
      </w:tr>
      <w:tr w14:paraId="2D9710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938" w:type="pct"/>
            <w:tcBorders>
              <w:top w:val="outset" w:color="auto" w:sz="4" w:space="0"/>
              <w:left w:val="outset" w:color="auto" w:sz="4" w:space="0"/>
              <w:bottom w:val="outset" w:color="auto" w:sz="4" w:space="0"/>
              <w:right w:val="outset" w:color="auto" w:sz="4" w:space="0"/>
            </w:tcBorders>
            <w:vAlign w:val="center"/>
          </w:tcPr>
          <w:p w14:paraId="0AB02B31">
            <w:pPr>
              <w:rPr>
                <w:color w:val="000000" w:themeColor="text1"/>
                <w14:textFill>
                  <w14:solidFill>
                    <w14:schemeClr w14:val="tx1"/>
                  </w14:solidFill>
                </w14:textFill>
              </w:rPr>
            </w:pPr>
            <w:r>
              <w:rPr>
                <w:rFonts w:hint="eastAsia"/>
                <w:color w:val="000000" w:themeColor="text1"/>
                <w14:textFill>
                  <w14:solidFill>
                    <w14:schemeClr w14:val="tx1"/>
                  </w14:solidFill>
                </w14:textFill>
              </w:rPr>
              <w:t>七、综合收益总额</w:t>
            </w:r>
          </w:p>
        </w:tc>
        <w:tc>
          <w:tcPr>
            <w:tcW w:w="838" w:type="pct"/>
            <w:tcBorders>
              <w:top w:val="outset" w:color="auto" w:sz="4" w:space="0"/>
              <w:left w:val="outset" w:color="auto" w:sz="4" w:space="0"/>
              <w:bottom w:val="outset" w:color="auto" w:sz="4" w:space="0"/>
              <w:right w:val="outset" w:color="auto" w:sz="4" w:space="0"/>
            </w:tcBorders>
            <w:vAlign w:val="center"/>
          </w:tcPr>
          <w:p w14:paraId="2375A7A8"/>
        </w:tc>
        <w:tc>
          <w:tcPr>
            <w:tcW w:w="1110" w:type="pct"/>
            <w:tcBorders>
              <w:top w:val="outset" w:color="auto" w:sz="4" w:space="0"/>
              <w:left w:val="outset" w:color="auto" w:sz="4" w:space="0"/>
              <w:bottom w:val="outset" w:color="auto" w:sz="4" w:space="0"/>
              <w:right w:val="outset" w:color="auto" w:sz="4" w:space="0"/>
            </w:tcBorders>
            <w:vAlign w:val="center"/>
          </w:tcPr>
          <w:p w14:paraId="73AD9BFD">
            <w:pPr>
              <w:jc w:val="right"/>
            </w:pPr>
            <w:r>
              <w:t>30,678,047.95</w:t>
            </w:r>
          </w:p>
        </w:tc>
        <w:tc>
          <w:tcPr>
            <w:tcW w:w="1114" w:type="pct"/>
            <w:tcBorders>
              <w:top w:val="outset" w:color="auto" w:sz="4" w:space="0"/>
              <w:left w:val="outset" w:color="auto" w:sz="4" w:space="0"/>
              <w:bottom w:val="outset" w:color="auto" w:sz="4" w:space="0"/>
              <w:right w:val="outset" w:color="auto" w:sz="4" w:space="0"/>
            </w:tcBorders>
            <w:vAlign w:val="center"/>
          </w:tcPr>
          <w:p w14:paraId="66462F72">
            <w:pPr>
              <w:jc w:val="right"/>
            </w:pPr>
            <w:r>
              <w:t>25,604,323.64</w:t>
            </w:r>
          </w:p>
        </w:tc>
      </w:tr>
      <w:tr w14:paraId="0A7EDE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174F317E">
            <w:pPr>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（一）</w:t>
            </w:r>
            <w:r>
              <w:rPr>
                <w:rFonts w:hint="eastAsia"/>
                <w:color w:val="000000" w:themeColor="text1"/>
                <w14:textFill>
                  <w14:solidFill>
                    <w14:schemeClr w14:val="tx1"/>
                  </w14:solidFill>
                </w14:textFill>
              </w:rPr>
              <w:t>归属于母公司所有者的综合收益总额</w:t>
            </w:r>
          </w:p>
        </w:tc>
        <w:tc>
          <w:tcPr>
            <w:tcW w:w="838" w:type="pct"/>
            <w:tcBorders>
              <w:top w:val="outset" w:color="auto" w:sz="4" w:space="0"/>
              <w:left w:val="outset" w:color="auto" w:sz="4" w:space="0"/>
              <w:bottom w:val="outset" w:color="auto" w:sz="4" w:space="0"/>
              <w:right w:val="outset" w:color="auto" w:sz="4" w:space="0"/>
            </w:tcBorders>
            <w:vAlign w:val="center"/>
          </w:tcPr>
          <w:p w14:paraId="542A6ACA"/>
        </w:tc>
        <w:tc>
          <w:tcPr>
            <w:tcW w:w="1110" w:type="pct"/>
            <w:tcBorders>
              <w:top w:val="outset" w:color="auto" w:sz="4" w:space="0"/>
              <w:left w:val="outset" w:color="auto" w:sz="4" w:space="0"/>
              <w:bottom w:val="outset" w:color="auto" w:sz="4" w:space="0"/>
              <w:right w:val="outset" w:color="auto" w:sz="4" w:space="0"/>
            </w:tcBorders>
            <w:vAlign w:val="center"/>
          </w:tcPr>
          <w:p w14:paraId="7A4FB42D">
            <w:pPr>
              <w:jc w:val="right"/>
            </w:pPr>
            <w:r>
              <w:t>29,978,804.61</w:t>
            </w:r>
          </w:p>
        </w:tc>
        <w:tc>
          <w:tcPr>
            <w:tcW w:w="1114" w:type="pct"/>
            <w:tcBorders>
              <w:top w:val="outset" w:color="auto" w:sz="4" w:space="0"/>
              <w:left w:val="outset" w:color="auto" w:sz="4" w:space="0"/>
              <w:bottom w:val="outset" w:color="auto" w:sz="4" w:space="0"/>
              <w:right w:val="outset" w:color="auto" w:sz="4" w:space="0"/>
            </w:tcBorders>
            <w:vAlign w:val="center"/>
          </w:tcPr>
          <w:p w14:paraId="5EC018A8">
            <w:pPr>
              <w:jc w:val="right"/>
            </w:pPr>
            <w:r>
              <w:t>24,624,735.65</w:t>
            </w:r>
          </w:p>
        </w:tc>
      </w:tr>
      <w:tr w14:paraId="299D26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40190CE2">
            <w:pPr>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（二）</w:t>
            </w:r>
            <w:r>
              <w:rPr>
                <w:rFonts w:hint="eastAsia"/>
                <w:color w:val="000000" w:themeColor="text1"/>
                <w14:textFill>
                  <w14:solidFill>
                    <w14:schemeClr w14:val="tx1"/>
                  </w14:solidFill>
                </w14:textFill>
              </w:rPr>
              <w:t>归属于少数股东的综合收益总额</w:t>
            </w:r>
          </w:p>
        </w:tc>
        <w:tc>
          <w:tcPr>
            <w:tcW w:w="838" w:type="pct"/>
            <w:tcBorders>
              <w:top w:val="outset" w:color="auto" w:sz="4" w:space="0"/>
              <w:left w:val="outset" w:color="auto" w:sz="4" w:space="0"/>
              <w:bottom w:val="outset" w:color="auto" w:sz="4" w:space="0"/>
              <w:right w:val="outset" w:color="auto" w:sz="4" w:space="0"/>
            </w:tcBorders>
            <w:vAlign w:val="center"/>
          </w:tcPr>
          <w:p w14:paraId="1C101F7B"/>
        </w:tc>
        <w:tc>
          <w:tcPr>
            <w:tcW w:w="1110" w:type="pct"/>
            <w:tcBorders>
              <w:top w:val="outset" w:color="auto" w:sz="4" w:space="0"/>
              <w:left w:val="outset" w:color="auto" w:sz="4" w:space="0"/>
              <w:bottom w:val="outset" w:color="auto" w:sz="4" w:space="0"/>
              <w:right w:val="outset" w:color="auto" w:sz="4" w:space="0"/>
            </w:tcBorders>
            <w:vAlign w:val="center"/>
          </w:tcPr>
          <w:p w14:paraId="3194824F">
            <w:pPr>
              <w:jc w:val="right"/>
            </w:pPr>
            <w:r>
              <w:t>699,243.34</w:t>
            </w:r>
          </w:p>
        </w:tc>
        <w:tc>
          <w:tcPr>
            <w:tcW w:w="1114" w:type="pct"/>
            <w:tcBorders>
              <w:top w:val="outset" w:color="auto" w:sz="4" w:space="0"/>
              <w:left w:val="outset" w:color="auto" w:sz="4" w:space="0"/>
              <w:bottom w:val="outset" w:color="auto" w:sz="4" w:space="0"/>
              <w:right w:val="outset" w:color="auto" w:sz="4" w:space="0"/>
            </w:tcBorders>
            <w:vAlign w:val="center"/>
          </w:tcPr>
          <w:p w14:paraId="2957D543">
            <w:pPr>
              <w:jc w:val="right"/>
            </w:pPr>
            <w:r>
              <w:t>979,587.99</w:t>
            </w:r>
          </w:p>
        </w:tc>
      </w:tr>
      <w:tr w14:paraId="7335A6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2faba48500f741229b3467bfe3ce2495"/>
            <w:id w:val="-61640202"/>
          </w:sdtPr>
          <w:sdtContent>
            <w:tc>
              <w:tcPr>
                <w:tcW w:w="5000" w:type="pct"/>
                <w:gridSpan w:val="4"/>
                <w:tcBorders>
                  <w:top w:val="outset" w:color="auto" w:sz="4" w:space="0"/>
                  <w:left w:val="outset" w:color="auto" w:sz="4" w:space="0"/>
                  <w:bottom w:val="outset" w:color="auto" w:sz="4" w:space="0"/>
                  <w:right w:val="outset" w:color="auto" w:sz="4" w:space="0"/>
                </w:tcBorders>
                <w:vAlign w:val="center"/>
              </w:tcPr>
              <w:p w14:paraId="0CDC1C48">
                <w:pPr>
                  <w:rPr>
                    <w:color w:val="000000" w:themeColor="text1"/>
                    <w14:textFill>
                      <w14:solidFill>
                        <w14:schemeClr w14:val="tx1"/>
                      </w14:solidFill>
                    </w14:textFill>
                  </w:rPr>
                </w:pPr>
                <w:r>
                  <w:rPr>
                    <w:rFonts w:hint="eastAsia"/>
                    <w:color w:val="000000" w:themeColor="text1"/>
                    <w14:textFill>
                      <w14:solidFill>
                        <w14:schemeClr w14:val="tx1"/>
                      </w14:solidFill>
                    </w14:textFill>
                  </w:rPr>
                  <w:t>八、每股收益：</w:t>
                </w:r>
              </w:p>
            </w:tc>
          </w:sdtContent>
        </w:sdt>
      </w:tr>
      <w:tr w14:paraId="46B78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6C496291">
            <w:pPr>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（一）</w:t>
            </w:r>
            <w:bookmarkStart w:id="122" w:name="OLE_LINK12"/>
            <w:r>
              <w:rPr>
                <w:color w:val="000000" w:themeColor="text1"/>
                <w14:textFill>
                  <w14:solidFill>
                    <w14:schemeClr w14:val="tx1"/>
                  </w14:solidFill>
                </w14:textFill>
              </w:rPr>
              <w:t>基本每股收益</w:t>
            </w:r>
            <w:r>
              <w:rPr>
                <w:rFonts w:hint="eastAsia"/>
                <w:color w:val="000000" w:themeColor="text1"/>
                <w14:textFill>
                  <w14:solidFill>
                    <w14:schemeClr w14:val="tx1"/>
                  </w14:solidFill>
                </w14:textFill>
              </w:rPr>
              <w:t>(元/股)</w:t>
            </w:r>
            <w:bookmarkEnd w:id="122"/>
          </w:p>
        </w:tc>
        <w:tc>
          <w:tcPr>
            <w:tcW w:w="838" w:type="pct"/>
            <w:tcBorders>
              <w:top w:val="outset" w:color="auto" w:sz="4" w:space="0"/>
              <w:left w:val="outset" w:color="auto" w:sz="4" w:space="0"/>
              <w:bottom w:val="outset" w:color="auto" w:sz="4" w:space="0"/>
              <w:right w:val="outset" w:color="auto" w:sz="4" w:space="0"/>
            </w:tcBorders>
            <w:vAlign w:val="center"/>
          </w:tcPr>
          <w:p w14:paraId="56573568"/>
        </w:tc>
        <w:tc>
          <w:tcPr>
            <w:tcW w:w="1110" w:type="pct"/>
            <w:tcBorders>
              <w:top w:val="outset" w:color="auto" w:sz="4" w:space="0"/>
              <w:left w:val="outset" w:color="auto" w:sz="4" w:space="0"/>
              <w:bottom w:val="outset" w:color="auto" w:sz="4" w:space="0"/>
              <w:right w:val="outset" w:color="auto" w:sz="4" w:space="0"/>
            </w:tcBorders>
            <w:vAlign w:val="center"/>
          </w:tcPr>
          <w:p w14:paraId="6AA8C3CD">
            <w:pPr>
              <w:jc w:val="right"/>
            </w:pPr>
            <w:r>
              <w:rPr>
                <w:rFonts w:hint="eastAsia"/>
              </w:rPr>
              <w:t>0.0205</w:t>
            </w:r>
          </w:p>
        </w:tc>
        <w:tc>
          <w:tcPr>
            <w:tcW w:w="1114" w:type="pct"/>
            <w:tcBorders>
              <w:top w:val="outset" w:color="auto" w:sz="4" w:space="0"/>
              <w:left w:val="outset" w:color="auto" w:sz="4" w:space="0"/>
              <w:bottom w:val="outset" w:color="auto" w:sz="4" w:space="0"/>
              <w:right w:val="outset" w:color="auto" w:sz="4" w:space="0"/>
            </w:tcBorders>
            <w:vAlign w:val="center"/>
          </w:tcPr>
          <w:p w14:paraId="676C7453">
            <w:pPr>
              <w:jc w:val="right"/>
            </w:pPr>
            <w:r>
              <w:rPr>
                <w:rFonts w:hint="eastAsia"/>
              </w:rPr>
              <w:t>0.0169</w:t>
            </w:r>
          </w:p>
        </w:tc>
      </w:tr>
      <w:tr w14:paraId="7E7A6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08D21A9E">
            <w:pPr>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（二）稀释每股收益</w:t>
            </w:r>
            <w:r>
              <w:rPr>
                <w:rFonts w:hint="eastAsia"/>
                <w:color w:val="000000" w:themeColor="text1"/>
                <w14:textFill>
                  <w14:solidFill>
                    <w14:schemeClr w14:val="tx1"/>
                  </w14:solidFill>
                </w14:textFill>
              </w:rPr>
              <w:t>(元/股)</w:t>
            </w:r>
          </w:p>
        </w:tc>
        <w:tc>
          <w:tcPr>
            <w:tcW w:w="838" w:type="pct"/>
            <w:tcBorders>
              <w:top w:val="outset" w:color="auto" w:sz="4" w:space="0"/>
              <w:left w:val="outset" w:color="auto" w:sz="4" w:space="0"/>
              <w:bottom w:val="outset" w:color="auto" w:sz="4" w:space="0"/>
              <w:right w:val="outset" w:color="auto" w:sz="4" w:space="0"/>
            </w:tcBorders>
            <w:vAlign w:val="center"/>
          </w:tcPr>
          <w:p w14:paraId="7F53D7F7"/>
        </w:tc>
        <w:tc>
          <w:tcPr>
            <w:tcW w:w="1110" w:type="pct"/>
            <w:tcBorders>
              <w:top w:val="outset" w:color="auto" w:sz="4" w:space="0"/>
              <w:left w:val="outset" w:color="auto" w:sz="4" w:space="0"/>
              <w:bottom w:val="outset" w:color="auto" w:sz="4" w:space="0"/>
              <w:right w:val="outset" w:color="auto" w:sz="4" w:space="0"/>
            </w:tcBorders>
            <w:vAlign w:val="center"/>
          </w:tcPr>
          <w:p w14:paraId="4E912441">
            <w:pPr>
              <w:jc w:val="right"/>
            </w:pPr>
            <w:r>
              <w:rPr>
                <w:rFonts w:hint="eastAsia"/>
              </w:rPr>
              <w:t>0.0205</w:t>
            </w:r>
          </w:p>
        </w:tc>
        <w:tc>
          <w:tcPr>
            <w:tcW w:w="1114" w:type="pct"/>
            <w:tcBorders>
              <w:top w:val="outset" w:color="auto" w:sz="4" w:space="0"/>
              <w:left w:val="outset" w:color="auto" w:sz="4" w:space="0"/>
              <w:bottom w:val="outset" w:color="auto" w:sz="4" w:space="0"/>
              <w:right w:val="outset" w:color="auto" w:sz="4" w:space="0"/>
            </w:tcBorders>
            <w:vAlign w:val="center"/>
          </w:tcPr>
          <w:p w14:paraId="31289F77">
            <w:pPr>
              <w:jc w:val="right"/>
            </w:pPr>
            <w:r>
              <w:rPr>
                <w:rFonts w:hint="eastAsia"/>
              </w:rPr>
              <w:t>0.0169</w:t>
            </w:r>
          </w:p>
        </w:tc>
      </w:tr>
      <w:bookmarkEnd w:id="121"/>
    </w:tbl>
    <w:p w14:paraId="38E1A072">
      <w:pPr>
        <w:rPr>
          <w:color w:val="000000" w:themeColor="text1"/>
          <w14:textFill>
            <w14:solidFill>
              <w14:schemeClr w14:val="tx1"/>
            </w14:solidFill>
          </w14:textFill>
        </w:rPr>
      </w:pPr>
    </w:p>
    <w:p w14:paraId="42D51480">
      <w:pPr>
        <w:rPr>
          <w:b/>
          <w:bCs w:val="0"/>
          <w:color w:val="000000" w:themeColor="text1"/>
          <w14:textFill>
            <w14:solidFill>
              <w14:schemeClr w14:val="tx1"/>
            </w14:solidFill>
          </w14:textFill>
        </w:rPr>
      </w:pPr>
      <w:r>
        <w:rPr>
          <w:rFonts w:hint="eastAsia"/>
          <w:color w:val="000000" w:themeColor="text1"/>
          <w14:textFill>
            <w14:solidFill>
              <w14:schemeClr w14:val="tx1"/>
            </w14:solidFill>
          </w14:textFill>
        </w:rPr>
        <w:t>本期发生同一控制下企业合并的，被合并方在合并前实现的净利润为：</w:t>
      </w:r>
      <w:sdt>
        <w:sdtPr>
          <w:rPr>
            <w:rFonts w:hint="eastAsia"/>
            <w:color w:val="000000" w:themeColor="text1"/>
            <w14:textFill>
              <w14:solidFill>
                <w14:schemeClr w14:val="tx1"/>
              </w14:solidFill>
            </w14:textFill>
          </w:rPr>
          <w:alias w:val="同一控制下的企业合并中被合并方在合并前实现的净利润"/>
          <w:tag w:val="_GBC_0d3f3004d896427080339d4b0e2d499c"/>
          <w:id w:val="1426768143"/>
          <w:placeholder>
            <w:docPart w:val="GBC22222222222222222222222222222"/>
          </w:placeholder>
        </w:sdtPr>
        <w:sdtEndPr>
          <w:rPr>
            <w:rFonts w:hint="eastAsia"/>
            <w:color w:val="000000" w:themeColor="text1"/>
            <w14:textFill>
              <w14:solidFill>
                <w14:schemeClr w14:val="tx1"/>
              </w14:solidFill>
            </w14:textFill>
          </w:rPr>
        </w:sdtEndPr>
        <w:sdtContent>
          <w:r>
            <w:rPr>
              <w:color w:val="000000" w:themeColor="text1"/>
              <w14:textFill>
                <w14:solidFill>
                  <w14:schemeClr w14:val="tx1"/>
                </w14:solidFill>
              </w14:textFill>
            </w:rPr>
            <w:t>8,359,678.34</w:t>
          </w:r>
        </w:sdtContent>
      </w:sdt>
      <w:r>
        <w:rPr>
          <w:rFonts w:hint="eastAsia"/>
          <w:color w:val="000000" w:themeColor="text1"/>
          <w14:textFill>
            <w14:solidFill>
              <w14:schemeClr w14:val="tx1"/>
            </w14:solidFill>
          </w14:textFill>
        </w:rPr>
        <w:t xml:space="preserve"> 元, 上期被合并方实现的净利润为： </w:t>
      </w:r>
      <w:sdt>
        <w:sdtPr>
          <w:rPr>
            <w:rFonts w:hint="eastAsia"/>
            <w:color w:val="000000" w:themeColor="text1"/>
            <w14:textFill>
              <w14:solidFill>
                <w14:schemeClr w14:val="tx1"/>
              </w14:solidFill>
            </w14:textFill>
          </w:rPr>
          <w:alias w:val="同一控制下的企业合并中被合并方在合并前实现的净利润"/>
          <w:tag w:val="_GBC_7e8cf02e71b9434883c60dcb8fb33270"/>
          <w:id w:val="-950464842"/>
          <w:placeholder>
            <w:docPart w:val="GBC22222222222222222222222222222"/>
          </w:placeholder>
        </w:sdtPr>
        <w:sdtEndPr>
          <w:rPr>
            <w:rFonts w:hint="default"/>
            <w:color w:val="000000" w:themeColor="text1"/>
            <w14:textFill>
              <w14:solidFill>
                <w14:schemeClr w14:val="tx1"/>
              </w14:solidFill>
            </w14:textFill>
          </w:rPr>
        </w:sdtEndPr>
        <w:sdtContent>
          <w:r>
            <w:rPr>
              <w:color w:val="000000" w:themeColor="text1"/>
              <w14:textFill>
                <w14:solidFill>
                  <w14:schemeClr w14:val="tx1"/>
                </w14:solidFill>
              </w14:textFill>
            </w:rPr>
            <w:t>-19,373,806.86</w:t>
          </w:r>
        </w:sdtContent>
      </w:sdt>
      <w:r>
        <w:rPr>
          <w:rFonts w:hint="eastAsia"/>
          <w:color w:val="000000" w:themeColor="text1"/>
          <w14:textFill>
            <w14:solidFill>
              <w14:schemeClr w14:val="tx1"/>
            </w14:solidFill>
          </w14:textFill>
        </w:rPr>
        <w:t xml:space="preserve"> 元。</w:t>
      </w:r>
    </w:p>
    <w:p w14:paraId="0380393C">
      <w:pPr>
        <w:rPr>
          <w:color w:val="000000" w:themeColor="text1"/>
          <w14:textFill>
            <w14:solidFill>
              <w14:schemeClr w14:val="tx1"/>
            </w14:solidFill>
          </w14:textFill>
        </w:rPr>
      </w:pPr>
    </w:p>
    <w:p w14:paraId="69207841">
      <w:pPr>
        <w:rPr>
          <w:color w:val="000000" w:themeColor="text1"/>
          <w:u w:val="single"/>
          <w14:textFill>
            <w14:solidFill>
              <w14:schemeClr w14:val="tx1"/>
            </w14:solidFill>
          </w14:textFill>
        </w:rPr>
      </w:pPr>
      <w:r>
        <w:rPr>
          <w:color w:val="000000" w:themeColor="text1"/>
          <w14:textFill>
            <w14:solidFill>
              <w14:schemeClr w14:val="tx1"/>
            </w14:solidFill>
          </w14:textFill>
        </w:rPr>
        <w:t>公司负责人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公司负责人"/>
          <w:tag w:val="_GBC_84d2ead02dbe49699dff5184a9cd1bd3"/>
          <w:id w:val="-1722120966"/>
          <w:placeholder>
            <w:docPart w:val="GBC22222222222222222222222222222"/>
          </w:placeholder>
          <w:dataBinding w:prefixMappings="xmlns:clcid-mr='clcid-mr'" w:xpath="/*/clcid-mr:GongSi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唐传勤</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主管会计工作负责人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主管会计工作负责人姓名"/>
          <w:tag w:val="_GBC_e958f3d59232458da90c4799548d15ea"/>
          <w:id w:val="-754896672"/>
          <w:placeholder>
            <w:docPart w:val="GBC22222222222222222222222222222"/>
          </w:placeholder>
          <w:dataBinding w:prefixMappings="xmlns:clcid-mr='clcid-mr'" w:xpath="/*/clcid-mr:ZhuGuanKuaiJiGongZuo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宋荣超</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会计机构负责人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会计机构负责人姓名"/>
          <w:tag w:val="_GBC_83eea96809554a8b86e8c53c6e3da040"/>
          <w:id w:val="1057361967"/>
          <w:placeholder>
            <w:docPart w:val="GBC22222222222222222222222222222"/>
          </w:placeholder>
          <w:dataBinding w:prefixMappings="xmlns:clcid-mr='clcid-mr'" w:xpath="/*/clcid-mr:KuaiJiJiGou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张小嫘</w:t>
          </w:r>
        </w:sdtContent>
      </w:sdt>
    </w:p>
    <w:p w14:paraId="1DB23E11">
      <w:pPr>
        <w:rPr>
          <w:color w:val="000000" w:themeColor="text1"/>
          <w:u w:val="single"/>
          <w14:textFill>
            <w14:solidFill>
              <w14:schemeClr w14:val="tx1"/>
            </w14:solidFill>
          </w14:textFill>
        </w:rPr>
      </w:pPr>
    </w:p>
    <w:p w14:paraId="5A03CD98">
      <w:pPr>
        <w:rPr>
          <w:color w:val="000000" w:themeColor="text1"/>
          <w:u w:val="single"/>
          <w14:textFill>
            <w14:solidFill>
              <w14:schemeClr w14:val="tx1"/>
            </w14:solidFill>
          </w14:textFill>
        </w:rPr>
      </w:pPr>
    </w:p>
    <w:p w14:paraId="5EF31BA1">
      <w:pPr>
        <w:pStyle w:val="4"/>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母公司</w:t>
      </w:r>
      <w:r>
        <w:rPr>
          <w:rFonts w:ascii="宋体" w:hAnsi="宋体"/>
          <w:color w:val="000000" w:themeColor="text1"/>
          <w14:textFill>
            <w14:solidFill>
              <w14:schemeClr w14:val="tx1"/>
            </w14:solidFill>
          </w14:textFill>
        </w:rPr>
        <w:t>利润表</w:t>
      </w:r>
    </w:p>
    <w:p w14:paraId="2F77E068">
      <w:pPr>
        <w:jc w:val="center"/>
        <w:rPr>
          <w:b/>
          <w:bCs w:val="0"/>
          <w:color w:val="000000" w:themeColor="text1"/>
          <w14:textFill>
            <w14:solidFill>
              <w14:schemeClr w14:val="tx1"/>
            </w14:solidFill>
          </w14:textFill>
        </w:rPr>
      </w:pPr>
      <w:r>
        <w:rPr>
          <w:color w:val="000000" w:themeColor="text1"/>
          <w14:textFill>
            <w14:solidFill>
              <w14:schemeClr w14:val="tx1"/>
            </w14:solidFill>
          </w14:textFill>
        </w:rPr>
        <w:t>2026年</w:t>
      </w:r>
      <w:r>
        <w:rPr>
          <w:rFonts w:hint="eastAsia"/>
          <w:color w:val="000000" w:themeColor="text1"/>
          <w14:textFill>
            <w14:solidFill>
              <w14:schemeClr w14:val="tx1"/>
            </w14:solidFill>
          </w14:textFill>
        </w:rPr>
        <w:t>1—6</w:t>
      </w:r>
      <w:r>
        <w:rPr>
          <w:color w:val="000000" w:themeColor="text1"/>
          <w14:textFill>
            <w14:solidFill>
              <w14:schemeClr w14:val="tx1"/>
            </w14:solidFill>
          </w14:textFill>
        </w:rPr>
        <w:t>月</w:t>
      </w:r>
    </w:p>
    <w:p w14:paraId="24E8C55B">
      <w:pPr>
        <w:snapToGrid w:val="0"/>
        <w:spacing w:line="240" w:lineRule="atLeast"/>
        <w:jc w:val="right"/>
        <w:rPr>
          <w:b/>
          <w:bCs w:val="0"/>
          <w:color w:val="000000" w:themeColor="text1"/>
          <w14:textFill>
            <w14:solidFill>
              <w14:schemeClr w14:val="tx1"/>
            </w14:solidFill>
          </w14:textFill>
        </w:rPr>
      </w:pPr>
      <w:r>
        <w:rPr>
          <w:color w:val="000000" w:themeColor="text1"/>
          <w14:textFill>
            <w14:solidFill>
              <w14:schemeClr w14:val="tx1"/>
            </w14:solidFill>
          </w14:textFill>
        </w:rPr>
        <w:t>单位：</w:t>
      </w:r>
      <w:sdt>
        <w:sdtPr>
          <w:rPr>
            <w:color w:val="000000" w:themeColor="text1"/>
            <w14:textFill>
              <w14:solidFill>
                <w14:schemeClr w14:val="tx1"/>
              </w14:solidFill>
            </w14:textFill>
          </w:rPr>
          <w:alias w:val="单位：母公司利润表"/>
          <w:tag w:val="_GBC_955732cd74ff4f1f9b098e70c1b85c60"/>
          <w:id w:val="5084904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元</w:t>
          </w:r>
        </w:sdtContent>
      </w:sdt>
      <w:r>
        <w:rPr>
          <w:color w:val="000000" w:themeColor="text1"/>
          <w14:textFill>
            <w14:solidFill>
              <w14:schemeClr w14:val="tx1"/>
            </w14:solidFill>
          </w14:textFill>
        </w:rPr>
        <w:t xml:space="preserve"> 币种：</w:t>
      </w:r>
      <w:sdt>
        <w:sdtPr>
          <w:rPr>
            <w:color w:val="000000" w:themeColor="text1"/>
            <w14:textFill>
              <w14:solidFill>
                <w14:schemeClr w14:val="tx1"/>
              </w14:solidFill>
            </w14:textFill>
          </w:rPr>
          <w:alias w:val="币种：母公司利润表"/>
          <w:tag w:val="_GBC_125a2547934143ccb384434361f57d37"/>
          <w:id w:val="-19109164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419"/>
        <w:gridCol w:w="1479"/>
        <w:gridCol w:w="1959"/>
        <w:gridCol w:w="1966"/>
      </w:tblGrid>
      <w:tr w14:paraId="3FB521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sdt>
            <w:sdtPr>
              <w:tag w:val="_PLD_2746da9ce382479bbcc34de94cc91419"/>
              <w:id w:val="-441220534"/>
            </w:sdtPr>
            <w:sdtContent>
              <w:p w14:paraId="10E80A28">
                <w:pPr>
                  <w:ind w:left="40" w:hanging="39" w:hangingChars="19"/>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项目</w:t>
                </w:r>
              </w:p>
            </w:sdtContent>
          </w:sdt>
        </w:tc>
        <w:tc>
          <w:tcPr>
            <w:tcW w:w="838" w:type="pct"/>
            <w:tcBorders>
              <w:top w:val="outset" w:color="auto" w:sz="4" w:space="0"/>
              <w:left w:val="outset" w:color="auto" w:sz="4" w:space="0"/>
              <w:bottom w:val="outset" w:color="auto" w:sz="4" w:space="0"/>
              <w:right w:val="outset" w:color="auto" w:sz="4" w:space="0"/>
            </w:tcBorders>
            <w:vAlign w:val="center"/>
          </w:tcPr>
          <w:sdt>
            <w:sdtPr>
              <w:tag w:val="_PLD_353d1b95815e4cb9bce619c23384aae7"/>
              <w:id w:val="-1188828819"/>
            </w:sdtPr>
            <w:sdtContent>
              <w:p w14:paraId="30DA48B2">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附注</w:t>
                </w:r>
              </w:p>
            </w:sdtContent>
          </w:sdt>
        </w:tc>
        <w:tc>
          <w:tcPr>
            <w:tcW w:w="1110" w:type="pct"/>
            <w:tcBorders>
              <w:top w:val="outset" w:color="auto" w:sz="4" w:space="0"/>
              <w:left w:val="outset" w:color="auto" w:sz="4" w:space="0"/>
              <w:bottom w:val="outset" w:color="auto" w:sz="4" w:space="0"/>
              <w:right w:val="outset" w:color="auto" w:sz="4" w:space="0"/>
            </w:tcBorders>
            <w:vAlign w:val="center"/>
          </w:tcPr>
          <w:sdt>
            <w:sdtPr>
              <w:tag w:val="_PLD_aa6da19e961f4f0aa9c1f47a5d8bdb21"/>
              <w:id w:val="1660042878"/>
            </w:sdtPr>
            <w:sdtContent>
              <w:p w14:paraId="412395ED">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2026年半年度</w:t>
                </w:r>
              </w:p>
            </w:sdtContent>
          </w:sdt>
        </w:tc>
        <w:tc>
          <w:tcPr>
            <w:tcW w:w="1114" w:type="pct"/>
            <w:tcBorders>
              <w:top w:val="outset" w:color="auto" w:sz="4" w:space="0"/>
              <w:left w:val="outset" w:color="auto" w:sz="4" w:space="0"/>
              <w:bottom w:val="outset" w:color="auto" w:sz="4" w:space="0"/>
              <w:right w:val="outset" w:color="auto" w:sz="4" w:space="0"/>
            </w:tcBorders>
            <w:vAlign w:val="center"/>
          </w:tcPr>
          <w:sdt>
            <w:sdtPr>
              <w:tag w:val="_PLD_fd6f3d63a7544a05b6f572cee64f39fb"/>
              <w:id w:val="-1429042663"/>
            </w:sdtPr>
            <w:sdtContent>
              <w:p w14:paraId="0D3B86F5">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2025年半年度</w:t>
                </w:r>
              </w:p>
            </w:sdtContent>
          </w:sdt>
        </w:tc>
      </w:tr>
      <w:tr w14:paraId="7221BE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22C0A99D">
            <w:pPr>
              <w:rPr>
                <w:color w:val="000000" w:themeColor="text1"/>
                <w14:textFill>
                  <w14:solidFill>
                    <w14:schemeClr w14:val="tx1"/>
                  </w14:solidFill>
                </w14:textFill>
              </w:rPr>
            </w:pPr>
            <w:r>
              <w:rPr>
                <w:rFonts w:hint="eastAsia"/>
                <w:color w:val="000000" w:themeColor="text1"/>
                <w14:textFill>
                  <w14:solidFill>
                    <w14:schemeClr w14:val="tx1"/>
                  </w14:solidFill>
                </w14:textFill>
              </w:rPr>
              <w:t>一、营业收入</w:t>
            </w:r>
          </w:p>
        </w:tc>
        <w:tc>
          <w:tcPr>
            <w:tcW w:w="838" w:type="pct"/>
            <w:tcBorders>
              <w:top w:val="outset" w:color="auto" w:sz="4" w:space="0"/>
              <w:left w:val="outset" w:color="auto" w:sz="4" w:space="0"/>
              <w:bottom w:val="outset" w:color="auto" w:sz="4" w:space="0"/>
              <w:right w:val="outset" w:color="auto" w:sz="4" w:space="0"/>
            </w:tcBorders>
            <w:vAlign w:val="center"/>
          </w:tcPr>
          <w:p w14:paraId="5437BBFC"/>
        </w:tc>
        <w:tc>
          <w:tcPr>
            <w:tcW w:w="1110" w:type="pct"/>
            <w:tcBorders>
              <w:top w:val="outset" w:color="auto" w:sz="4" w:space="0"/>
              <w:left w:val="outset" w:color="auto" w:sz="4" w:space="0"/>
              <w:bottom w:val="outset" w:color="auto" w:sz="4" w:space="0"/>
              <w:right w:val="outset" w:color="auto" w:sz="4" w:space="0"/>
            </w:tcBorders>
            <w:vAlign w:val="center"/>
          </w:tcPr>
          <w:p w14:paraId="7933851D">
            <w:pPr>
              <w:jc w:val="right"/>
            </w:pPr>
            <w:r>
              <w:t>567,570,525.31</w:t>
            </w:r>
          </w:p>
        </w:tc>
        <w:tc>
          <w:tcPr>
            <w:tcW w:w="1114" w:type="pct"/>
            <w:tcBorders>
              <w:top w:val="outset" w:color="auto" w:sz="4" w:space="0"/>
              <w:left w:val="outset" w:color="auto" w:sz="4" w:space="0"/>
              <w:bottom w:val="outset" w:color="auto" w:sz="4" w:space="0"/>
              <w:right w:val="outset" w:color="auto" w:sz="4" w:space="0"/>
            </w:tcBorders>
            <w:vAlign w:val="center"/>
          </w:tcPr>
          <w:p w14:paraId="4886B02E">
            <w:pPr>
              <w:jc w:val="right"/>
            </w:pPr>
            <w:r>
              <w:t>520,219,423.62</w:t>
            </w:r>
          </w:p>
        </w:tc>
      </w:tr>
      <w:tr w14:paraId="1772F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138DCDB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减：营业成本</w:t>
            </w:r>
          </w:p>
        </w:tc>
        <w:tc>
          <w:tcPr>
            <w:tcW w:w="838" w:type="pct"/>
            <w:tcBorders>
              <w:top w:val="outset" w:color="auto" w:sz="4" w:space="0"/>
              <w:left w:val="outset" w:color="auto" w:sz="4" w:space="0"/>
              <w:bottom w:val="outset" w:color="auto" w:sz="4" w:space="0"/>
              <w:right w:val="outset" w:color="auto" w:sz="4" w:space="0"/>
            </w:tcBorders>
            <w:vAlign w:val="center"/>
          </w:tcPr>
          <w:p w14:paraId="421A8F9F"/>
        </w:tc>
        <w:tc>
          <w:tcPr>
            <w:tcW w:w="1110" w:type="pct"/>
            <w:tcBorders>
              <w:top w:val="outset" w:color="auto" w:sz="4" w:space="0"/>
              <w:left w:val="outset" w:color="auto" w:sz="4" w:space="0"/>
              <w:bottom w:val="outset" w:color="auto" w:sz="4" w:space="0"/>
              <w:right w:val="outset" w:color="auto" w:sz="4" w:space="0"/>
            </w:tcBorders>
            <w:vAlign w:val="center"/>
          </w:tcPr>
          <w:p w14:paraId="100496F0">
            <w:pPr>
              <w:jc w:val="right"/>
            </w:pPr>
            <w:r>
              <w:t>466,565,239.90</w:t>
            </w:r>
          </w:p>
        </w:tc>
        <w:tc>
          <w:tcPr>
            <w:tcW w:w="1114" w:type="pct"/>
            <w:tcBorders>
              <w:top w:val="outset" w:color="auto" w:sz="4" w:space="0"/>
              <w:left w:val="outset" w:color="auto" w:sz="4" w:space="0"/>
              <w:bottom w:val="outset" w:color="auto" w:sz="4" w:space="0"/>
              <w:right w:val="outset" w:color="auto" w:sz="4" w:space="0"/>
            </w:tcBorders>
            <w:vAlign w:val="center"/>
          </w:tcPr>
          <w:p w14:paraId="1B1F364E">
            <w:pPr>
              <w:jc w:val="right"/>
            </w:pPr>
            <w:r>
              <w:t>393,814,867.40</w:t>
            </w:r>
          </w:p>
        </w:tc>
      </w:tr>
      <w:tr w14:paraId="3BFABC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31364474">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税金及附加</w:t>
            </w:r>
          </w:p>
        </w:tc>
        <w:tc>
          <w:tcPr>
            <w:tcW w:w="838" w:type="pct"/>
            <w:tcBorders>
              <w:top w:val="outset" w:color="auto" w:sz="4" w:space="0"/>
              <w:left w:val="outset" w:color="auto" w:sz="4" w:space="0"/>
              <w:bottom w:val="outset" w:color="auto" w:sz="4" w:space="0"/>
              <w:right w:val="outset" w:color="auto" w:sz="4" w:space="0"/>
            </w:tcBorders>
            <w:vAlign w:val="center"/>
          </w:tcPr>
          <w:p w14:paraId="09ECDBD4"/>
        </w:tc>
        <w:tc>
          <w:tcPr>
            <w:tcW w:w="1110" w:type="pct"/>
            <w:tcBorders>
              <w:top w:val="outset" w:color="auto" w:sz="4" w:space="0"/>
              <w:left w:val="outset" w:color="auto" w:sz="4" w:space="0"/>
              <w:bottom w:val="outset" w:color="auto" w:sz="4" w:space="0"/>
              <w:right w:val="outset" w:color="auto" w:sz="4" w:space="0"/>
            </w:tcBorders>
            <w:vAlign w:val="center"/>
          </w:tcPr>
          <w:p w14:paraId="5EBA04A4">
            <w:pPr>
              <w:jc w:val="right"/>
            </w:pPr>
            <w:r>
              <w:t>1,171,496.53</w:t>
            </w:r>
          </w:p>
        </w:tc>
        <w:tc>
          <w:tcPr>
            <w:tcW w:w="1114" w:type="pct"/>
            <w:tcBorders>
              <w:top w:val="outset" w:color="auto" w:sz="4" w:space="0"/>
              <w:left w:val="outset" w:color="auto" w:sz="4" w:space="0"/>
              <w:bottom w:val="outset" w:color="auto" w:sz="4" w:space="0"/>
              <w:right w:val="outset" w:color="auto" w:sz="4" w:space="0"/>
            </w:tcBorders>
            <w:vAlign w:val="center"/>
          </w:tcPr>
          <w:p w14:paraId="2151035D">
            <w:pPr>
              <w:jc w:val="right"/>
            </w:pPr>
            <w:r>
              <w:t>1,164,120.99</w:t>
            </w:r>
          </w:p>
        </w:tc>
      </w:tr>
      <w:tr w14:paraId="502F0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1D2FE95C">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销售费用</w:t>
            </w:r>
          </w:p>
        </w:tc>
        <w:tc>
          <w:tcPr>
            <w:tcW w:w="838" w:type="pct"/>
            <w:tcBorders>
              <w:top w:val="outset" w:color="auto" w:sz="4" w:space="0"/>
              <w:left w:val="outset" w:color="auto" w:sz="4" w:space="0"/>
              <w:bottom w:val="outset" w:color="auto" w:sz="4" w:space="0"/>
              <w:right w:val="outset" w:color="auto" w:sz="4" w:space="0"/>
            </w:tcBorders>
            <w:vAlign w:val="center"/>
          </w:tcPr>
          <w:p w14:paraId="5218268B"/>
        </w:tc>
        <w:tc>
          <w:tcPr>
            <w:tcW w:w="1110" w:type="pct"/>
            <w:tcBorders>
              <w:top w:val="outset" w:color="auto" w:sz="4" w:space="0"/>
              <w:left w:val="outset" w:color="auto" w:sz="4" w:space="0"/>
              <w:bottom w:val="outset" w:color="auto" w:sz="4" w:space="0"/>
              <w:right w:val="outset" w:color="auto" w:sz="4" w:space="0"/>
            </w:tcBorders>
            <w:vAlign w:val="center"/>
          </w:tcPr>
          <w:p w14:paraId="038B7E36">
            <w:pPr>
              <w:jc w:val="right"/>
            </w:pPr>
            <w:r>
              <w:t>6,204,072.40</w:t>
            </w:r>
          </w:p>
        </w:tc>
        <w:tc>
          <w:tcPr>
            <w:tcW w:w="1114" w:type="pct"/>
            <w:tcBorders>
              <w:top w:val="outset" w:color="auto" w:sz="4" w:space="0"/>
              <w:left w:val="outset" w:color="auto" w:sz="4" w:space="0"/>
              <w:bottom w:val="outset" w:color="auto" w:sz="4" w:space="0"/>
              <w:right w:val="outset" w:color="auto" w:sz="4" w:space="0"/>
            </w:tcBorders>
            <w:vAlign w:val="center"/>
          </w:tcPr>
          <w:p w14:paraId="19759DAF">
            <w:pPr>
              <w:jc w:val="right"/>
            </w:pPr>
            <w:r>
              <w:t>6,178,547.66</w:t>
            </w:r>
          </w:p>
        </w:tc>
      </w:tr>
      <w:tr w14:paraId="7547CD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365FAE5A">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管理费用</w:t>
            </w:r>
          </w:p>
        </w:tc>
        <w:tc>
          <w:tcPr>
            <w:tcW w:w="838" w:type="pct"/>
            <w:tcBorders>
              <w:top w:val="outset" w:color="auto" w:sz="4" w:space="0"/>
              <w:left w:val="outset" w:color="auto" w:sz="4" w:space="0"/>
              <w:bottom w:val="outset" w:color="auto" w:sz="4" w:space="0"/>
              <w:right w:val="outset" w:color="auto" w:sz="4" w:space="0"/>
            </w:tcBorders>
            <w:vAlign w:val="center"/>
          </w:tcPr>
          <w:p w14:paraId="0FB07323"/>
        </w:tc>
        <w:tc>
          <w:tcPr>
            <w:tcW w:w="1110" w:type="pct"/>
            <w:tcBorders>
              <w:top w:val="outset" w:color="auto" w:sz="4" w:space="0"/>
              <w:left w:val="outset" w:color="auto" w:sz="4" w:space="0"/>
              <w:bottom w:val="outset" w:color="auto" w:sz="4" w:space="0"/>
              <w:right w:val="outset" w:color="auto" w:sz="4" w:space="0"/>
            </w:tcBorders>
            <w:vAlign w:val="center"/>
          </w:tcPr>
          <w:p w14:paraId="7F3DC148">
            <w:pPr>
              <w:jc w:val="right"/>
            </w:pPr>
            <w:r>
              <w:t>14,007,135.79</w:t>
            </w:r>
          </w:p>
        </w:tc>
        <w:tc>
          <w:tcPr>
            <w:tcW w:w="1114" w:type="pct"/>
            <w:tcBorders>
              <w:top w:val="outset" w:color="auto" w:sz="4" w:space="0"/>
              <w:left w:val="outset" w:color="auto" w:sz="4" w:space="0"/>
              <w:bottom w:val="outset" w:color="auto" w:sz="4" w:space="0"/>
              <w:right w:val="outset" w:color="auto" w:sz="4" w:space="0"/>
            </w:tcBorders>
            <w:vAlign w:val="center"/>
          </w:tcPr>
          <w:p w14:paraId="7F2CD080">
            <w:pPr>
              <w:jc w:val="right"/>
            </w:pPr>
            <w:r>
              <w:t>20,921,812.77</w:t>
            </w:r>
          </w:p>
        </w:tc>
      </w:tr>
      <w:tr w14:paraId="0CFD1E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5EAAB745">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研发费用</w:t>
            </w:r>
          </w:p>
        </w:tc>
        <w:tc>
          <w:tcPr>
            <w:tcW w:w="838" w:type="pct"/>
            <w:tcBorders>
              <w:top w:val="outset" w:color="auto" w:sz="4" w:space="0"/>
              <w:left w:val="outset" w:color="auto" w:sz="4" w:space="0"/>
              <w:bottom w:val="outset" w:color="auto" w:sz="4" w:space="0"/>
              <w:right w:val="outset" w:color="auto" w:sz="4" w:space="0"/>
            </w:tcBorders>
            <w:vAlign w:val="center"/>
          </w:tcPr>
          <w:p w14:paraId="5645C647"/>
        </w:tc>
        <w:tc>
          <w:tcPr>
            <w:tcW w:w="1110" w:type="pct"/>
            <w:tcBorders>
              <w:top w:val="outset" w:color="auto" w:sz="4" w:space="0"/>
              <w:left w:val="outset" w:color="auto" w:sz="4" w:space="0"/>
              <w:bottom w:val="outset" w:color="auto" w:sz="4" w:space="0"/>
              <w:right w:val="outset" w:color="auto" w:sz="4" w:space="0"/>
            </w:tcBorders>
            <w:vAlign w:val="center"/>
          </w:tcPr>
          <w:p w14:paraId="4DD4876E">
            <w:pPr>
              <w:jc w:val="right"/>
            </w:pPr>
            <w:r>
              <w:t>2,522,291.24</w:t>
            </w:r>
          </w:p>
        </w:tc>
        <w:tc>
          <w:tcPr>
            <w:tcW w:w="1114" w:type="pct"/>
            <w:tcBorders>
              <w:top w:val="outset" w:color="auto" w:sz="4" w:space="0"/>
              <w:left w:val="outset" w:color="auto" w:sz="4" w:space="0"/>
              <w:bottom w:val="outset" w:color="auto" w:sz="4" w:space="0"/>
              <w:right w:val="outset" w:color="auto" w:sz="4" w:space="0"/>
            </w:tcBorders>
            <w:vAlign w:val="center"/>
          </w:tcPr>
          <w:p w14:paraId="6D5C678B">
            <w:pPr>
              <w:jc w:val="right"/>
            </w:pPr>
            <w:r>
              <w:t>2,584,153.68</w:t>
            </w:r>
          </w:p>
        </w:tc>
      </w:tr>
      <w:tr w14:paraId="544B9A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658820FD">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财务费用</w:t>
            </w:r>
          </w:p>
        </w:tc>
        <w:tc>
          <w:tcPr>
            <w:tcW w:w="838" w:type="pct"/>
            <w:tcBorders>
              <w:top w:val="outset" w:color="auto" w:sz="4" w:space="0"/>
              <w:left w:val="outset" w:color="auto" w:sz="4" w:space="0"/>
              <w:bottom w:val="outset" w:color="auto" w:sz="4" w:space="0"/>
              <w:right w:val="outset" w:color="auto" w:sz="4" w:space="0"/>
            </w:tcBorders>
            <w:vAlign w:val="center"/>
          </w:tcPr>
          <w:p w14:paraId="326679DB"/>
        </w:tc>
        <w:tc>
          <w:tcPr>
            <w:tcW w:w="1110" w:type="pct"/>
            <w:tcBorders>
              <w:top w:val="outset" w:color="auto" w:sz="4" w:space="0"/>
              <w:left w:val="outset" w:color="auto" w:sz="4" w:space="0"/>
              <w:bottom w:val="outset" w:color="auto" w:sz="4" w:space="0"/>
              <w:right w:val="outset" w:color="auto" w:sz="4" w:space="0"/>
            </w:tcBorders>
            <w:vAlign w:val="center"/>
          </w:tcPr>
          <w:p w14:paraId="205D8846">
            <w:pPr>
              <w:jc w:val="right"/>
            </w:pPr>
            <w:r>
              <w:t>62,494,057.79</w:t>
            </w:r>
          </w:p>
        </w:tc>
        <w:tc>
          <w:tcPr>
            <w:tcW w:w="1114" w:type="pct"/>
            <w:tcBorders>
              <w:top w:val="outset" w:color="auto" w:sz="4" w:space="0"/>
              <w:left w:val="outset" w:color="auto" w:sz="4" w:space="0"/>
              <w:bottom w:val="outset" w:color="auto" w:sz="4" w:space="0"/>
              <w:right w:val="outset" w:color="auto" w:sz="4" w:space="0"/>
            </w:tcBorders>
            <w:vAlign w:val="center"/>
          </w:tcPr>
          <w:p w14:paraId="3F41A45F">
            <w:pPr>
              <w:jc w:val="right"/>
            </w:pPr>
            <w:r>
              <w:t>65,125,840.89</w:t>
            </w:r>
          </w:p>
        </w:tc>
      </w:tr>
      <w:tr w14:paraId="73ACB8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73662C4C">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其中：利息费用</w:t>
            </w:r>
          </w:p>
        </w:tc>
        <w:tc>
          <w:tcPr>
            <w:tcW w:w="838" w:type="pct"/>
            <w:tcBorders>
              <w:top w:val="outset" w:color="auto" w:sz="4" w:space="0"/>
              <w:left w:val="outset" w:color="auto" w:sz="4" w:space="0"/>
              <w:bottom w:val="outset" w:color="auto" w:sz="4" w:space="0"/>
              <w:right w:val="outset" w:color="auto" w:sz="4" w:space="0"/>
            </w:tcBorders>
            <w:vAlign w:val="center"/>
          </w:tcPr>
          <w:p w14:paraId="31BE6728"/>
        </w:tc>
        <w:tc>
          <w:tcPr>
            <w:tcW w:w="1110" w:type="pct"/>
            <w:tcBorders>
              <w:top w:val="outset" w:color="auto" w:sz="4" w:space="0"/>
              <w:left w:val="outset" w:color="auto" w:sz="4" w:space="0"/>
              <w:bottom w:val="outset" w:color="auto" w:sz="4" w:space="0"/>
              <w:right w:val="outset" w:color="auto" w:sz="4" w:space="0"/>
            </w:tcBorders>
            <w:vAlign w:val="center"/>
          </w:tcPr>
          <w:p w14:paraId="708833A2">
            <w:pPr>
              <w:jc w:val="right"/>
            </w:pPr>
            <w:r>
              <w:t>58,883,097.36</w:t>
            </w:r>
          </w:p>
        </w:tc>
        <w:tc>
          <w:tcPr>
            <w:tcW w:w="1114" w:type="pct"/>
            <w:tcBorders>
              <w:top w:val="outset" w:color="auto" w:sz="4" w:space="0"/>
              <w:left w:val="outset" w:color="auto" w:sz="4" w:space="0"/>
              <w:bottom w:val="outset" w:color="auto" w:sz="4" w:space="0"/>
              <w:right w:val="outset" w:color="auto" w:sz="4" w:space="0"/>
            </w:tcBorders>
            <w:vAlign w:val="center"/>
          </w:tcPr>
          <w:p w14:paraId="3431C058">
            <w:pPr>
              <w:jc w:val="right"/>
            </w:pPr>
            <w:r>
              <w:t>67,820,969.67</w:t>
            </w:r>
          </w:p>
        </w:tc>
      </w:tr>
      <w:tr w14:paraId="7C24CB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442BF9E0">
            <w:pPr>
              <w:ind w:firstLine="1260" w:firstLineChars="600"/>
              <w:rPr>
                <w:color w:val="000000" w:themeColor="text1"/>
                <w14:textFill>
                  <w14:solidFill>
                    <w14:schemeClr w14:val="tx1"/>
                  </w14:solidFill>
                </w14:textFill>
              </w:rPr>
            </w:pPr>
            <w:r>
              <w:rPr>
                <w:rFonts w:hint="eastAsia"/>
                <w:color w:val="000000" w:themeColor="text1"/>
                <w14:textFill>
                  <w14:solidFill>
                    <w14:schemeClr w14:val="tx1"/>
                  </w14:solidFill>
                </w14:textFill>
              </w:rPr>
              <w:t>利息收入</w:t>
            </w:r>
          </w:p>
        </w:tc>
        <w:tc>
          <w:tcPr>
            <w:tcW w:w="838" w:type="pct"/>
            <w:tcBorders>
              <w:top w:val="outset" w:color="auto" w:sz="4" w:space="0"/>
              <w:left w:val="outset" w:color="auto" w:sz="4" w:space="0"/>
              <w:bottom w:val="outset" w:color="auto" w:sz="4" w:space="0"/>
              <w:right w:val="outset" w:color="auto" w:sz="4" w:space="0"/>
            </w:tcBorders>
            <w:vAlign w:val="center"/>
          </w:tcPr>
          <w:p w14:paraId="661DDCEA"/>
        </w:tc>
        <w:tc>
          <w:tcPr>
            <w:tcW w:w="1110" w:type="pct"/>
            <w:tcBorders>
              <w:top w:val="outset" w:color="auto" w:sz="4" w:space="0"/>
              <w:left w:val="outset" w:color="auto" w:sz="4" w:space="0"/>
              <w:bottom w:val="outset" w:color="auto" w:sz="4" w:space="0"/>
              <w:right w:val="outset" w:color="auto" w:sz="4" w:space="0"/>
            </w:tcBorders>
            <w:vAlign w:val="center"/>
          </w:tcPr>
          <w:p w14:paraId="22B0F558">
            <w:pPr>
              <w:jc w:val="right"/>
            </w:pPr>
            <w:r>
              <w:t>-3,415,836.62</w:t>
            </w:r>
          </w:p>
        </w:tc>
        <w:tc>
          <w:tcPr>
            <w:tcW w:w="1114" w:type="pct"/>
            <w:tcBorders>
              <w:top w:val="outset" w:color="auto" w:sz="4" w:space="0"/>
              <w:left w:val="outset" w:color="auto" w:sz="4" w:space="0"/>
              <w:bottom w:val="outset" w:color="auto" w:sz="4" w:space="0"/>
              <w:right w:val="outset" w:color="auto" w:sz="4" w:space="0"/>
            </w:tcBorders>
            <w:vAlign w:val="center"/>
          </w:tcPr>
          <w:p w14:paraId="79C0FFDD">
            <w:pPr>
              <w:jc w:val="right"/>
            </w:pPr>
            <w:r>
              <w:t>-6,737,240.19</w:t>
            </w:r>
          </w:p>
        </w:tc>
      </w:tr>
      <w:tr w14:paraId="4B770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2AA9785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加：其他收益</w:t>
            </w:r>
          </w:p>
        </w:tc>
        <w:tc>
          <w:tcPr>
            <w:tcW w:w="838" w:type="pct"/>
            <w:tcBorders>
              <w:top w:val="outset" w:color="auto" w:sz="4" w:space="0"/>
              <w:left w:val="outset" w:color="auto" w:sz="4" w:space="0"/>
              <w:bottom w:val="outset" w:color="auto" w:sz="4" w:space="0"/>
              <w:right w:val="outset" w:color="auto" w:sz="4" w:space="0"/>
            </w:tcBorders>
            <w:vAlign w:val="center"/>
          </w:tcPr>
          <w:p w14:paraId="427B6C1D"/>
        </w:tc>
        <w:tc>
          <w:tcPr>
            <w:tcW w:w="1110" w:type="pct"/>
            <w:tcBorders>
              <w:top w:val="outset" w:color="auto" w:sz="4" w:space="0"/>
              <w:left w:val="outset" w:color="auto" w:sz="4" w:space="0"/>
              <w:bottom w:val="outset" w:color="auto" w:sz="4" w:space="0"/>
              <w:right w:val="outset" w:color="auto" w:sz="4" w:space="0"/>
            </w:tcBorders>
            <w:vAlign w:val="center"/>
          </w:tcPr>
          <w:p w14:paraId="13EF76B2">
            <w:pPr>
              <w:jc w:val="right"/>
            </w:pPr>
            <w:r>
              <w:t>3,548,713.15</w:t>
            </w:r>
          </w:p>
        </w:tc>
        <w:tc>
          <w:tcPr>
            <w:tcW w:w="1114" w:type="pct"/>
            <w:tcBorders>
              <w:top w:val="outset" w:color="auto" w:sz="4" w:space="0"/>
              <w:left w:val="outset" w:color="auto" w:sz="4" w:space="0"/>
              <w:bottom w:val="outset" w:color="auto" w:sz="4" w:space="0"/>
              <w:right w:val="outset" w:color="auto" w:sz="4" w:space="0"/>
            </w:tcBorders>
            <w:vAlign w:val="center"/>
          </w:tcPr>
          <w:p w14:paraId="64A93C31">
            <w:pPr>
              <w:jc w:val="right"/>
            </w:pPr>
            <w:r>
              <w:t>1,932,113.15</w:t>
            </w:r>
          </w:p>
        </w:tc>
      </w:tr>
      <w:tr w14:paraId="7B6FD5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2F4C29FC">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投资收益（损失以“-”号填列）</w:t>
            </w:r>
          </w:p>
        </w:tc>
        <w:tc>
          <w:tcPr>
            <w:tcW w:w="838" w:type="pct"/>
            <w:tcBorders>
              <w:top w:val="outset" w:color="auto" w:sz="4" w:space="0"/>
              <w:left w:val="outset" w:color="auto" w:sz="4" w:space="0"/>
              <w:bottom w:val="outset" w:color="auto" w:sz="4" w:space="0"/>
              <w:right w:val="outset" w:color="auto" w:sz="4" w:space="0"/>
            </w:tcBorders>
            <w:vAlign w:val="center"/>
          </w:tcPr>
          <w:p w14:paraId="17F36D09"/>
        </w:tc>
        <w:tc>
          <w:tcPr>
            <w:tcW w:w="1110" w:type="pct"/>
            <w:tcBorders>
              <w:top w:val="outset" w:color="auto" w:sz="4" w:space="0"/>
              <w:left w:val="outset" w:color="auto" w:sz="4" w:space="0"/>
              <w:bottom w:val="outset" w:color="auto" w:sz="4" w:space="0"/>
              <w:right w:val="outset" w:color="auto" w:sz="4" w:space="0"/>
            </w:tcBorders>
            <w:vAlign w:val="center"/>
          </w:tcPr>
          <w:p w14:paraId="70AAA67E">
            <w:pPr>
              <w:jc w:val="right"/>
            </w:pPr>
            <w:r>
              <w:t>7,146,354.60</w:t>
            </w:r>
          </w:p>
        </w:tc>
        <w:tc>
          <w:tcPr>
            <w:tcW w:w="1114" w:type="pct"/>
            <w:tcBorders>
              <w:top w:val="outset" w:color="auto" w:sz="4" w:space="0"/>
              <w:left w:val="outset" w:color="auto" w:sz="4" w:space="0"/>
              <w:bottom w:val="outset" w:color="auto" w:sz="4" w:space="0"/>
              <w:right w:val="outset" w:color="auto" w:sz="4" w:space="0"/>
            </w:tcBorders>
            <w:vAlign w:val="center"/>
          </w:tcPr>
          <w:p w14:paraId="5DC220C4">
            <w:pPr>
              <w:jc w:val="right"/>
            </w:pPr>
            <w:r>
              <w:t>58,933,523.76</w:t>
            </w:r>
          </w:p>
        </w:tc>
      </w:tr>
      <w:tr w14:paraId="2CCB18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0C67D25D">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其中：对联营企业和合营企业的投资收益</w:t>
            </w:r>
          </w:p>
        </w:tc>
        <w:tc>
          <w:tcPr>
            <w:tcW w:w="838" w:type="pct"/>
            <w:tcBorders>
              <w:top w:val="outset" w:color="auto" w:sz="4" w:space="0"/>
              <w:left w:val="outset" w:color="auto" w:sz="4" w:space="0"/>
              <w:bottom w:val="outset" w:color="auto" w:sz="4" w:space="0"/>
              <w:right w:val="outset" w:color="auto" w:sz="4" w:space="0"/>
            </w:tcBorders>
            <w:vAlign w:val="center"/>
          </w:tcPr>
          <w:p w14:paraId="05FDE27A"/>
        </w:tc>
        <w:tc>
          <w:tcPr>
            <w:tcW w:w="1110" w:type="pct"/>
            <w:tcBorders>
              <w:top w:val="outset" w:color="auto" w:sz="4" w:space="0"/>
              <w:left w:val="outset" w:color="auto" w:sz="4" w:space="0"/>
              <w:bottom w:val="outset" w:color="auto" w:sz="4" w:space="0"/>
              <w:right w:val="outset" w:color="auto" w:sz="4" w:space="0"/>
            </w:tcBorders>
            <w:vAlign w:val="center"/>
          </w:tcPr>
          <w:p w14:paraId="77E607A2">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4EBFBD39">
            <w:pPr>
              <w:jc w:val="right"/>
            </w:pPr>
          </w:p>
        </w:tc>
      </w:tr>
      <w:tr w14:paraId="205D83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0682B223">
            <w:pPr>
              <w:ind w:firstLine="1155" w:firstLineChars="550"/>
              <w:rPr>
                <w:color w:val="000000" w:themeColor="text1"/>
                <w14:textFill>
                  <w14:solidFill>
                    <w14:schemeClr w14:val="tx1"/>
                  </w14:solidFill>
                </w14:textFill>
              </w:rPr>
            </w:pPr>
            <w:r>
              <w:rPr>
                <w:rFonts w:hint="eastAsia"/>
                <w:color w:val="000000" w:themeColor="text1"/>
                <w14:textFill>
                  <w14:solidFill>
                    <w14:schemeClr w14:val="tx1"/>
                  </w14:solidFill>
                </w14:textFill>
              </w:rPr>
              <w:t>以摊余成本计量的金融资产终止确认收益（损失以“</w:t>
            </w:r>
            <w:r>
              <w:rPr>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5EF89765"/>
        </w:tc>
        <w:tc>
          <w:tcPr>
            <w:tcW w:w="1110" w:type="pct"/>
            <w:tcBorders>
              <w:top w:val="outset" w:color="auto" w:sz="4" w:space="0"/>
              <w:left w:val="outset" w:color="auto" w:sz="4" w:space="0"/>
              <w:bottom w:val="outset" w:color="auto" w:sz="4" w:space="0"/>
              <w:right w:val="outset" w:color="auto" w:sz="4" w:space="0"/>
            </w:tcBorders>
            <w:vAlign w:val="center"/>
          </w:tcPr>
          <w:p w14:paraId="01D4DDC1">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5E4BE358">
            <w:pPr>
              <w:jc w:val="right"/>
              <w:rPr>
                <w:bCs w:val="0"/>
              </w:rPr>
            </w:pPr>
          </w:p>
        </w:tc>
      </w:tr>
      <w:tr w14:paraId="03E02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3E8DC917">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净敞口套期收益（损失以“</w:t>
            </w:r>
            <w:r>
              <w:rPr>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606848A7"/>
        </w:tc>
        <w:tc>
          <w:tcPr>
            <w:tcW w:w="1110" w:type="pct"/>
            <w:tcBorders>
              <w:top w:val="outset" w:color="auto" w:sz="4" w:space="0"/>
              <w:left w:val="outset" w:color="auto" w:sz="4" w:space="0"/>
              <w:bottom w:val="outset" w:color="auto" w:sz="4" w:space="0"/>
              <w:right w:val="outset" w:color="auto" w:sz="4" w:space="0"/>
            </w:tcBorders>
            <w:vAlign w:val="center"/>
          </w:tcPr>
          <w:p w14:paraId="1BB80B95">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7EA10F98">
            <w:pPr>
              <w:jc w:val="right"/>
            </w:pPr>
          </w:p>
        </w:tc>
      </w:tr>
      <w:tr w14:paraId="106D5E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49C9CE9A">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公允价值变动收益（损失以“-”号填列）</w:t>
            </w:r>
          </w:p>
        </w:tc>
        <w:tc>
          <w:tcPr>
            <w:tcW w:w="838" w:type="pct"/>
            <w:tcBorders>
              <w:top w:val="outset" w:color="auto" w:sz="4" w:space="0"/>
              <w:left w:val="outset" w:color="auto" w:sz="4" w:space="0"/>
              <w:bottom w:val="outset" w:color="auto" w:sz="4" w:space="0"/>
              <w:right w:val="outset" w:color="auto" w:sz="4" w:space="0"/>
            </w:tcBorders>
            <w:vAlign w:val="center"/>
          </w:tcPr>
          <w:p w14:paraId="5E07CCB3"/>
        </w:tc>
        <w:tc>
          <w:tcPr>
            <w:tcW w:w="1110" w:type="pct"/>
            <w:tcBorders>
              <w:top w:val="outset" w:color="auto" w:sz="4" w:space="0"/>
              <w:left w:val="outset" w:color="auto" w:sz="4" w:space="0"/>
              <w:bottom w:val="outset" w:color="auto" w:sz="4" w:space="0"/>
              <w:right w:val="outset" w:color="auto" w:sz="4" w:space="0"/>
            </w:tcBorders>
            <w:vAlign w:val="center"/>
          </w:tcPr>
          <w:p w14:paraId="6C44D84D">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282AE3AE">
            <w:pPr>
              <w:jc w:val="right"/>
            </w:pPr>
          </w:p>
        </w:tc>
      </w:tr>
      <w:tr w14:paraId="592E4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4ED521B5">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信用减值损失（损失以“</w:t>
            </w:r>
            <w:r>
              <w:rPr>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617AEBF4"/>
        </w:tc>
        <w:tc>
          <w:tcPr>
            <w:tcW w:w="1110" w:type="pct"/>
            <w:tcBorders>
              <w:top w:val="outset" w:color="auto" w:sz="4" w:space="0"/>
              <w:left w:val="outset" w:color="auto" w:sz="4" w:space="0"/>
              <w:bottom w:val="outset" w:color="auto" w:sz="4" w:space="0"/>
              <w:right w:val="outset" w:color="auto" w:sz="4" w:space="0"/>
            </w:tcBorders>
            <w:vAlign w:val="center"/>
          </w:tcPr>
          <w:p w14:paraId="43BAC941">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6FC7A5BE">
            <w:pPr>
              <w:jc w:val="right"/>
            </w:pPr>
          </w:p>
        </w:tc>
      </w:tr>
      <w:tr w14:paraId="29053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60B7528B">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资产减值损失（损失以“</w:t>
            </w:r>
            <w:r>
              <w:rPr>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73E682BF"/>
        </w:tc>
        <w:tc>
          <w:tcPr>
            <w:tcW w:w="1110" w:type="pct"/>
            <w:tcBorders>
              <w:top w:val="outset" w:color="auto" w:sz="4" w:space="0"/>
              <w:left w:val="outset" w:color="auto" w:sz="4" w:space="0"/>
              <w:bottom w:val="outset" w:color="auto" w:sz="4" w:space="0"/>
              <w:right w:val="outset" w:color="auto" w:sz="4" w:space="0"/>
            </w:tcBorders>
            <w:vAlign w:val="center"/>
          </w:tcPr>
          <w:p w14:paraId="6D32DAEF">
            <w:pPr>
              <w:jc w:val="right"/>
            </w:pPr>
            <w:r>
              <w:t>-3,490,906.31</w:t>
            </w:r>
          </w:p>
        </w:tc>
        <w:tc>
          <w:tcPr>
            <w:tcW w:w="1114" w:type="pct"/>
            <w:tcBorders>
              <w:top w:val="outset" w:color="auto" w:sz="4" w:space="0"/>
              <w:left w:val="outset" w:color="auto" w:sz="4" w:space="0"/>
              <w:bottom w:val="outset" w:color="auto" w:sz="4" w:space="0"/>
              <w:right w:val="outset" w:color="auto" w:sz="4" w:space="0"/>
            </w:tcBorders>
            <w:vAlign w:val="center"/>
          </w:tcPr>
          <w:p w14:paraId="53060546">
            <w:pPr>
              <w:jc w:val="right"/>
            </w:pPr>
            <w:r>
              <w:t>-336,636.60</w:t>
            </w:r>
          </w:p>
        </w:tc>
      </w:tr>
      <w:tr w14:paraId="0556CB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474560F6">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资产处置收益（损失以“-”号填列）</w:t>
            </w:r>
          </w:p>
        </w:tc>
        <w:tc>
          <w:tcPr>
            <w:tcW w:w="838" w:type="pct"/>
            <w:tcBorders>
              <w:top w:val="outset" w:color="auto" w:sz="4" w:space="0"/>
              <w:left w:val="outset" w:color="auto" w:sz="4" w:space="0"/>
              <w:bottom w:val="outset" w:color="auto" w:sz="4" w:space="0"/>
              <w:right w:val="outset" w:color="auto" w:sz="4" w:space="0"/>
            </w:tcBorders>
            <w:vAlign w:val="center"/>
          </w:tcPr>
          <w:p w14:paraId="4BA592B6"/>
        </w:tc>
        <w:tc>
          <w:tcPr>
            <w:tcW w:w="1110" w:type="pct"/>
            <w:tcBorders>
              <w:top w:val="outset" w:color="auto" w:sz="4" w:space="0"/>
              <w:left w:val="outset" w:color="auto" w:sz="4" w:space="0"/>
              <w:bottom w:val="outset" w:color="auto" w:sz="4" w:space="0"/>
              <w:right w:val="outset" w:color="auto" w:sz="4" w:space="0"/>
            </w:tcBorders>
            <w:vAlign w:val="center"/>
          </w:tcPr>
          <w:p w14:paraId="29FA25B0">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7C84950B">
            <w:pPr>
              <w:jc w:val="right"/>
            </w:pPr>
          </w:p>
        </w:tc>
      </w:tr>
      <w:tr w14:paraId="5BF78C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6DC899D3">
            <w:pPr>
              <w:rPr>
                <w:color w:val="000000" w:themeColor="text1"/>
                <w14:textFill>
                  <w14:solidFill>
                    <w14:schemeClr w14:val="tx1"/>
                  </w14:solidFill>
                </w14:textFill>
              </w:rPr>
            </w:pPr>
            <w:r>
              <w:rPr>
                <w:rFonts w:hint="eastAsia"/>
                <w:color w:val="000000" w:themeColor="text1"/>
                <w14:textFill>
                  <w14:solidFill>
                    <w14:schemeClr w14:val="tx1"/>
                  </w14:solidFill>
                </w14:textFill>
              </w:rPr>
              <w:t>二、营业利润（亏损以“-”号填列）</w:t>
            </w:r>
          </w:p>
        </w:tc>
        <w:tc>
          <w:tcPr>
            <w:tcW w:w="838" w:type="pct"/>
            <w:tcBorders>
              <w:top w:val="outset" w:color="auto" w:sz="4" w:space="0"/>
              <w:left w:val="outset" w:color="auto" w:sz="4" w:space="0"/>
              <w:bottom w:val="outset" w:color="auto" w:sz="4" w:space="0"/>
              <w:right w:val="outset" w:color="auto" w:sz="4" w:space="0"/>
            </w:tcBorders>
            <w:vAlign w:val="center"/>
          </w:tcPr>
          <w:p w14:paraId="43C22EAF"/>
        </w:tc>
        <w:tc>
          <w:tcPr>
            <w:tcW w:w="1110" w:type="pct"/>
            <w:tcBorders>
              <w:top w:val="outset" w:color="auto" w:sz="4" w:space="0"/>
              <w:left w:val="outset" w:color="auto" w:sz="4" w:space="0"/>
              <w:bottom w:val="outset" w:color="auto" w:sz="4" w:space="0"/>
              <w:right w:val="outset" w:color="auto" w:sz="4" w:space="0"/>
            </w:tcBorders>
            <w:vAlign w:val="center"/>
          </w:tcPr>
          <w:p w14:paraId="0B85D34F">
            <w:pPr>
              <w:jc w:val="right"/>
            </w:pPr>
            <w:r>
              <w:t>21,810,393.10</w:t>
            </w:r>
          </w:p>
        </w:tc>
        <w:tc>
          <w:tcPr>
            <w:tcW w:w="1114" w:type="pct"/>
            <w:tcBorders>
              <w:top w:val="outset" w:color="auto" w:sz="4" w:space="0"/>
              <w:left w:val="outset" w:color="auto" w:sz="4" w:space="0"/>
              <w:bottom w:val="outset" w:color="auto" w:sz="4" w:space="0"/>
              <w:right w:val="outset" w:color="auto" w:sz="4" w:space="0"/>
            </w:tcBorders>
            <w:vAlign w:val="center"/>
          </w:tcPr>
          <w:p w14:paraId="2808281C">
            <w:pPr>
              <w:jc w:val="right"/>
            </w:pPr>
            <w:r>
              <w:t>90,959,080.54</w:t>
            </w:r>
          </w:p>
        </w:tc>
      </w:tr>
      <w:tr w14:paraId="782693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42DC557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加：营业外收入</w:t>
            </w:r>
          </w:p>
        </w:tc>
        <w:tc>
          <w:tcPr>
            <w:tcW w:w="838" w:type="pct"/>
            <w:tcBorders>
              <w:top w:val="outset" w:color="auto" w:sz="4" w:space="0"/>
              <w:left w:val="outset" w:color="auto" w:sz="4" w:space="0"/>
              <w:bottom w:val="outset" w:color="auto" w:sz="4" w:space="0"/>
              <w:right w:val="outset" w:color="auto" w:sz="4" w:space="0"/>
            </w:tcBorders>
            <w:vAlign w:val="center"/>
          </w:tcPr>
          <w:p w14:paraId="19C670F2"/>
        </w:tc>
        <w:tc>
          <w:tcPr>
            <w:tcW w:w="1110" w:type="pct"/>
            <w:tcBorders>
              <w:top w:val="outset" w:color="auto" w:sz="4" w:space="0"/>
              <w:left w:val="outset" w:color="auto" w:sz="4" w:space="0"/>
              <w:bottom w:val="outset" w:color="auto" w:sz="4" w:space="0"/>
              <w:right w:val="outset" w:color="auto" w:sz="4" w:space="0"/>
            </w:tcBorders>
            <w:vAlign w:val="center"/>
          </w:tcPr>
          <w:p w14:paraId="6CE7C3C9">
            <w:pPr>
              <w:jc w:val="right"/>
            </w:pPr>
            <w:r>
              <w:t>213,847.34</w:t>
            </w:r>
          </w:p>
        </w:tc>
        <w:tc>
          <w:tcPr>
            <w:tcW w:w="1114" w:type="pct"/>
            <w:tcBorders>
              <w:top w:val="outset" w:color="auto" w:sz="4" w:space="0"/>
              <w:left w:val="outset" w:color="auto" w:sz="4" w:space="0"/>
              <w:bottom w:val="outset" w:color="auto" w:sz="4" w:space="0"/>
              <w:right w:val="outset" w:color="auto" w:sz="4" w:space="0"/>
            </w:tcBorders>
            <w:vAlign w:val="center"/>
          </w:tcPr>
          <w:p w14:paraId="124EE7FD">
            <w:pPr>
              <w:jc w:val="right"/>
            </w:pPr>
            <w:r>
              <w:t>464,995.64</w:t>
            </w:r>
          </w:p>
        </w:tc>
      </w:tr>
      <w:tr w14:paraId="527D53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7AE33D4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减：营业外支出</w:t>
            </w:r>
          </w:p>
        </w:tc>
        <w:tc>
          <w:tcPr>
            <w:tcW w:w="838" w:type="pct"/>
            <w:tcBorders>
              <w:top w:val="outset" w:color="auto" w:sz="4" w:space="0"/>
              <w:left w:val="outset" w:color="auto" w:sz="4" w:space="0"/>
              <w:bottom w:val="outset" w:color="auto" w:sz="4" w:space="0"/>
              <w:right w:val="outset" w:color="auto" w:sz="4" w:space="0"/>
            </w:tcBorders>
            <w:vAlign w:val="center"/>
          </w:tcPr>
          <w:p w14:paraId="7AB27613"/>
        </w:tc>
        <w:tc>
          <w:tcPr>
            <w:tcW w:w="1110" w:type="pct"/>
            <w:tcBorders>
              <w:top w:val="outset" w:color="auto" w:sz="4" w:space="0"/>
              <w:left w:val="outset" w:color="auto" w:sz="4" w:space="0"/>
              <w:bottom w:val="outset" w:color="auto" w:sz="4" w:space="0"/>
              <w:right w:val="outset" w:color="auto" w:sz="4" w:space="0"/>
            </w:tcBorders>
            <w:vAlign w:val="center"/>
          </w:tcPr>
          <w:p w14:paraId="2B68BA67">
            <w:pPr>
              <w:jc w:val="right"/>
            </w:pPr>
            <w:r>
              <w:t>4,917.03</w:t>
            </w:r>
          </w:p>
        </w:tc>
        <w:tc>
          <w:tcPr>
            <w:tcW w:w="1114" w:type="pct"/>
            <w:tcBorders>
              <w:top w:val="outset" w:color="auto" w:sz="4" w:space="0"/>
              <w:left w:val="outset" w:color="auto" w:sz="4" w:space="0"/>
              <w:bottom w:val="outset" w:color="auto" w:sz="4" w:space="0"/>
              <w:right w:val="outset" w:color="auto" w:sz="4" w:space="0"/>
            </w:tcBorders>
            <w:vAlign w:val="center"/>
          </w:tcPr>
          <w:p w14:paraId="6BC3D2DD">
            <w:pPr>
              <w:jc w:val="right"/>
            </w:pPr>
            <w:r>
              <w:t>1,139,946.45</w:t>
            </w:r>
          </w:p>
        </w:tc>
      </w:tr>
      <w:tr w14:paraId="0990A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2CEB1A17">
            <w:pPr>
              <w:rPr>
                <w:color w:val="000000" w:themeColor="text1"/>
                <w14:textFill>
                  <w14:solidFill>
                    <w14:schemeClr w14:val="tx1"/>
                  </w14:solidFill>
                </w14:textFill>
              </w:rPr>
            </w:pPr>
            <w:r>
              <w:rPr>
                <w:rFonts w:hint="eastAsia"/>
                <w:color w:val="000000" w:themeColor="text1"/>
                <w14:textFill>
                  <w14:solidFill>
                    <w14:schemeClr w14:val="tx1"/>
                  </w14:solidFill>
                </w14:textFill>
              </w:rPr>
              <w:t>三、利润总额（亏损总额以“-”号填列）</w:t>
            </w:r>
          </w:p>
        </w:tc>
        <w:tc>
          <w:tcPr>
            <w:tcW w:w="838" w:type="pct"/>
            <w:tcBorders>
              <w:top w:val="outset" w:color="auto" w:sz="4" w:space="0"/>
              <w:left w:val="outset" w:color="auto" w:sz="4" w:space="0"/>
              <w:bottom w:val="outset" w:color="auto" w:sz="4" w:space="0"/>
              <w:right w:val="outset" w:color="auto" w:sz="4" w:space="0"/>
            </w:tcBorders>
            <w:vAlign w:val="center"/>
          </w:tcPr>
          <w:p w14:paraId="5254BCEB"/>
        </w:tc>
        <w:tc>
          <w:tcPr>
            <w:tcW w:w="1110" w:type="pct"/>
            <w:tcBorders>
              <w:top w:val="outset" w:color="auto" w:sz="4" w:space="0"/>
              <w:left w:val="outset" w:color="auto" w:sz="4" w:space="0"/>
              <w:bottom w:val="outset" w:color="auto" w:sz="4" w:space="0"/>
              <w:right w:val="outset" w:color="auto" w:sz="4" w:space="0"/>
            </w:tcBorders>
            <w:vAlign w:val="center"/>
          </w:tcPr>
          <w:p w14:paraId="17E0780A">
            <w:pPr>
              <w:jc w:val="right"/>
            </w:pPr>
            <w:r>
              <w:t>22,019,323.41</w:t>
            </w:r>
          </w:p>
        </w:tc>
        <w:tc>
          <w:tcPr>
            <w:tcW w:w="1114" w:type="pct"/>
            <w:tcBorders>
              <w:top w:val="outset" w:color="auto" w:sz="4" w:space="0"/>
              <w:left w:val="outset" w:color="auto" w:sz="4" w:space="0"/>
              <w:bottom w:val="outset" w:color="auto" w:sz="4" w:space="0"/>
              <w:right w:val="outset" w:color="auto" w:sz="4" w:space="0"/>
            </w:tcBorders>
            <w:vAlign w:val="center"/>
          </w:tcPr>
          <w:p w14:paraId="1969C3FE">
            <w:pPr>
              <w:jc w:val="right"/>
            </w:pPr>
            <w:r>
              <w:t>90,284,129.73</w:t>
            </w:r>
          </w:p>
        </w:tc>
      </w:tr>
      <w:tr w14:paraId="45074F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0E9B664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减：所得税费用</w:t>
            </w:r>
          </w:p>
        </w:tc>
        <w:tc>
          <w:tcPr>
            <w:tcW w:w="838" w:type="pct"/>
            <w:tcBorders>
              <w:top w:val="outset" w:color="auto" w:sz="4" w:space="0"/>
              <w:left w:val="outset" w:color="auto" w:sz="4" w:space="0"/>
              <w:bottom w:val="outset" w:color="auto" w:sz="4" w:space="0"/>
              <w:right w:val="outset" w:color="auto" w:sz="4" w:space="0"/>
            </w:tcBorders>
            <w:vAlign w:val="center"/>
          </w:tcPr>
          <w:p w14:paraId="7AAE4FE2"/>
        </w:tc>
        <w:tc>
          <w:tcPr>
            <w:tcW w:w="1110" w:type="pct"/>
            <w:tcBorders>
              <w:top w:val="outset" w:color="auto" w:sz="4" w:space="0"/>
              <w:left w:val="outset" w:color="auto" w:sz="4" w:space="0"/>
              <w:bottom w:val="outset" w:color="auto" w:sz="4" w:space="0"/>
              <w:right w:val="outset" w:color="auto" w:sz="4" w:space="0"/>
            </w:tcBorders>
            <w:vAlign w:val="center"/>
          </w:tcPr>
          <w:p w14:paraId="0C3B7882">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608AB9D0">
            <w:pPr>
              <w:jc w:val="right"/>
            </w:pPr>
          </w:p>
        </w:tc>
      </w:tr>
      <w:tr w14:paraId="546595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447A4F02">
            <w:pPr>
              <w:rPr>
                <w:color w:val="000000" w:themeColor="text1"/>
                <w14:textFill>
                  <w14:solidFill>
                    <w14:schemeClr w14:val="tx1"/>
                  </w14:solidFill>
                </w14:textFill>
              </w:rPr>
            </w:pPr>
            <w:r>
              <w:rPr>
                <w:rFonts w:hint="eastAsia"/>
                <w:color w:val="000000" w:themeColor="text1"/>
                <w14:textFill>
                  <w14:solidFill>
                    <w14:schemeClr w14:val="tx1"/>
                  </w14:solidFill>
                </w14:textFill>
              </w:rPr>
              <w:t>四、净利润（净亏损以“-”号填列）</w:t>
            </w:r>
          </w:p>
        </w:tc>
        <w:tc>
          <w:tcPr>
            <w:tcW w:w="838" w:type="pct"/>
            <w:tcBorders>
              <w:top w:val="outset" w:color="auto" w:sz="4" w:space="0"/>
              <w:left w:val="outset" w:color="auto" w:sz="4" w:space="0"/>
              <w:bottom w:val="outset" w:color="auto" w:sz="4" w:space="0"/>
              <w:right w:val="outset" w:color="auto" w:sz="4" w:space="0"/>
            </w:tcBorders>
            <w:vAlign w:val="center"/>
          </w:tcPr>
          <w:p w14:paraId="2335DA3E"/>
        </w:tc>
        <w:tc>
          <w:tcPr>
            <w:tcW w:w="1110" w:type="pct"/>
            <w:tcBorders>
              <w:top w:val="outset" w:color="auto" w:sz="4" w:space="0"/>
              <w:left w:val="outset" w:color="auto" w:sz="4" w:space="0"/>
              <w:bottom w:val="outset" w:color="auto" w:sz="4" w:space="0"/>
              <w:right w:val="outset" w:color="auto" w:sz="4" w:space="0"/>
            </w:tcBorders>
            <w:vAlign w:val="center"/>
          </w:tcPr>
          <w:p w14:paraId="6402402F">
            <w:pPr>
              <w:jc w:val="right"/>
            </w:pPr>
            <w:r>
              <w:t>22,019,323.41</w:t>
            </w:r>
          </w:p>
        </w:tc>
        <w:tc>
          <w:tcPr>
            <w:tcW w:w="1114" w:type="pct"/>
            <w:tcBorders>
              <w:top w:val="outset" w:color="auto" w:sz="4" w:space="0"/>
              <w:left w:val="outset" w:color="auto" w:sz="4" w:space="0"/>
              <w:bottom w:val="outset" w:color="auto" w:sz="4" w:space="0"/>
              <w:right w:val="outset" w:color="auto" w:sz="4" w:space="0"/>
            </w:tcBorders>
            <w:vAlign w:val="center"/>
          </w:tcPr>
          <w:p w14:paraId="456525BD">
            <w:pPr>
              <w:jc w:val="right"/>
            </w:pPr>
            <w:r>
              <w:t>90,284,129.73</w:t>
            </w:r>
          </w:p>
        </w:tc>
      </w:tr>
      <w:tr w14:paraId="102804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581BD766">
            <w:pPr>
              <w:ind w:firstLine="226" w:firstLineChars="108"/>
              <w:rPr>
                <w:color w:val="000000" w:themeColor="text1"/>
                <w14:textFill>
                  <w14:solidFill>
                    <w14:schemeClr w14:val="tx1"/>
                  </w14:solidFill>
                </w14:textFill>
              </w:rPr>
            </w:pPr>
            <w:r>
              <w:rPr>
                <w:rFonts w:hint="eastAsia"/>
                <w:color w:val="000000" w:themeColor="text1"/>
                <w14:textFill>
                  <w14:solidFill>
                    <w14:schemeClr w14:val="tx1"/>
                  </w14:solidFill>
                </w14:textFill>
              </w:rPr>
              <w:t>（一）</w:t>
            </w:r>
            <w:r>
              <w:rPr>
                <w:color w:val="000000" w:themeColor="text1"/>
                <w14:textFill>
                  <w14:solidFill>
                    <w14:schemeClr w14:val="tx1"/>
                  </w14:solidFill>
                </w14:textFill>
              </w:rPr>
              <w:t>持续经营净利润（净亏损以“</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”号填列）</w:t>
            </w:r>
          </w:p>
        </w:tc>
        <w:tc>
          <w:tcPr>
            <w:tcW w:w="838" w:type="pct"/>
            <w:tcBorders>
              <w:top w:val="outset" w:color="auto" w:sz="4" w:space="0"/>
              <w:left w:val="outset" w:color="auto" w:sz="4" w:space="0"/>
              <w:bottom w:val="outset" w:color="auto" w:sz="4" w:space="0"/>
              <w:right w:val="outset" w:color="auto" w:sz="4" w:space="0"/>
            </w:tcBorders>
            <w:vAlign w:val="center"/>
          </w:tcPr>
          <w:p w14:paraId="3F233667"/>
        </w:tc>
        <w:tc>
          <w:tcPr>
            <w:tcW w:w="1110" w:type="pct"/>
            <w:tcBorders>
              <w:top w:val="outset" w:color="auto" w:sz="4" w:space="0"/>
              <w:left w:val="outset" w:color="auto" w:sz="4" w:space="0"/>
              <w:bottom w:val="outset" w:color="auto" w:sz="4" w:space="0"/>
              <w:right w:val="outset" w:color="auto" w:sz="4" w:space="0"/>
            </w:tcBorders>
            <w:vAlign w:val="center"/>
          </w:tcPr>
          <w:p w14:paraId="44EAD8CC">
            <w:pPr>
              <w:jc w:val="right"/>
            </w:pPr>
            <w:r>
              <w:t>22,019,323.41</w:t>
            </w:r>
          </w:p>
        </w:tc>
        <w:tc>
          <w:tcPr>
            <w:tcW w:w="1114" w:type="pct"/>
            <w:tcBorders>
              <w:top w:val="outset" w:color="auto" w:sz="4" w:space="0"/>
              <w:left w:val="outset" w:color="auto" w:sz="4" w:space="0"/>
              <w:bottom w:val="outset" w:color="auto" w:sz="4" w:space="0"/>
              <w:right w:val="outset" w:color="auto" w:sz="4" w:space="0"/>
            </w:tcBorders>
            <w:vAlign w:val="center"/>
          </w:tcPr>
          <w:p w14:paraId="008BD99D">
            <w:pPr>
              <w:jc w:val="right"/>
            </w:pPr>
            <w:r>
              <w:t>90,284,129.73</w:t>
            </w:r>
          </w:p>
        </w:tc>
      </w:tr>
      <w:tr w14:paraId="1DE00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6A4CD8C1">
            <w:pPr>
              <w:ind w:firstLine="226" w:firstLineChars="108"/>
              <w:rPr>
                <w:color w:val="000000" w:themeColor="text1"/>
                <w14:textFill>
                  <w14:solidFill>
                    <w14:schemeClr w14:val="tx1"/>
                  </w14:solidFill>
                </w14:textFill>
              </w:rPr>
            </w:pPr>
            <w:r>
              <w:rPr>
                <w:rFonts w:hint="eastAsia"/>
                <w:color w:val="000000" w:themeColor="text1"/>
                <w14:textFill>
                  <w14:solidFill>
                    <w14:schemeClr w14:val="tx1"/>
                  </w14:solidFill>
                </w14:textFill>
              </w:rPr>
              <w:t>（二）终止经营净利润（净亏损以“-”号填列）</w:t>
            </w:r>
          </w:p>
        </w:tc>
        <w:tc>
          <w:tcPr>
            <w:tcW w:w="838" w:type="pct"/>
            <w:tcBorders>
              <w:top w:val="outset" w:color="auto" w:sz="4" w:space="0"/>
              <w:left w:val="outset" w:color="auto" w:sz="4" w:space="0"/>
              <w:bottom w:val="outset" w:color="auto" w:sz="4" w:space="0"/>
              <w:right w:val="outset" w:color="auto" w:sz="4" w:space="0"/>
            </w:tcBorders>
            <w:vAlign w:val="center"/>
          </w:tcPr>
          <w:p w14:paraId="212456DE"/>
        </w:tc>
        <w:tc>
          <w:tcPr>
            <w:tcW w:w="1110" w:type="pct"/>
            <w:tcBorders>
              <w:top w:val="outset" w:color="auto" w:sz="4" w:space="0"/>
              <w:left w:val="outset" w:color="auto" w:sz="4" w:space="0"/>
              <w:bottom w:val="outset" w:color="auto" w:sz="4" w:space="0"/>
              <w:right w:val="outset" w:color="auto" w:sz="4" w:space="0"/>
            </w:tcBorders>
            <w:vAlign w:val="center"/>
          </w:tcPr>
          <w:p w14:paraId="0A255047">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54856E29">
            <w:pPr>
              <w:jc w:val="right"/>
            </w:pPr>
          </w:p>
        </w:tc>
      </w:tr>
      <w:tr w14:paraId="2F103C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3699A0FE">
            <w:pPr>
              <w:rPr>
                <w:color w:val="000000" w:themeColor="text1"/>
                <w14:textFill>
                  <w14:solidFill>
                    <w14:schemeClr w14:val="tx1"/>
                  </w14:solidFill>
                </w14:textFill>
              </w:rPr>
            </w:pPr>
            <w:r>
              <w:rPr>
                <w:rFonts w:hint="eastAsia"/>
                <w:color w:val="000000" w:themeColor="text1"/>
                <w14:textFill>
                  <w14:solidFill>
                    <w14:schemeClr w14:val="tx1"/>
                  </w14:solidFill>
                </w14:textFill>
              </w:rPr>
              <w:t>五、其他综合收益的税后净额</w:t>
            </w:r>
          </w:p>
        </w:tc>
        <w:tc>
          <w:tcPr>
            <w:tcW w:w="838" w:type="pct"/>
            <w:tcBorders>
              <w:top w:val="outset" w:color="auto" w:sz="4" w:space="0"/>
              <w:left w:val="outset" w:color="auto" w:sz="4" w:space="0"/>
              <w:bottom w:val="outset" w:color="auto" w:sz="4" w:space="0"/>
              <w:right w:val="outset" w:color="auto" w:sz="4" w:space="0"/>
            </w:tcBorders>
            <w:vAlign w:val="center"/>
          </w:tcPr>
          <w:p w14:paraId="3EC1FA9A"/>
        </w:tc>
        <w:tc>
          <w:tcPr>
            <w:tcW w:w="1110" w:type="pct"/>
            <w:tcBorders>
              <w:top w:val="outset" w:color="auto" w:sz="4" w:space="0"/>
              <w:left w:val="outset" w:color="auto" w:sz="4" w:space="0"/>
              <w:bottom w:val="outset" w:color="auto" w:sz="4" w:space="0"/>
              <w:right w:val="outset" w:color="auto" w:sz="4" w:space="0"/>
            </w:tcBorders>
            <w:vAlign w:val="center"/>
          </w:tcPr>
          <w:p w14:paraId="32B7C6FB">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4F594747">
            <w:pPr>
              <w:jc w:val="right"/>
            </w:pPr>
          </w:p>
        </w:tc>
      </w:tr>
      <w:tr w14:paraId="7292C8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1CE215F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（一）不能重分类进损益的其他综合收益</w:t>
            </w:r>
          </w:p>
        </w:tc>
        <w:tc>
          <w:tcPr>
            <w:tcW w:w="838" w:type="pct"/>
            <w:tcBorders>
              <w:top w:val="outset" w:color="auto" w:sz="4" w:space="0"/>
              <w:left w:val="outset" w:color="auto" w:sz="4" w:space="0"/>
              <w:bottom w:val="outset" w:color="auto" w:sz="4" w:space="0"/>
              <w:right w:val="outset" w:color="auto" w:sz="4" w:space="0"/>
            </w:tcBorders>
            <w:vAlign w:val="center"/>
          </w:tcPr>
          <w:p w14:paraId="28728439"/>
        </w:tc>
        <w:tc>
          <w:tcPr>
            <w:tcW w:w="1110" w:type="pct"/>
            <w:tcBorders>
              <w:top w:val="outset" w:color="auto" w:sz="4" w:space="0"/>
              <w:left w:val="outset" w:color="auto" w:sz="4" w:space="0"/>
              <w:bottom w:val="outset" w:color="auto" w:sz="4" w:space="0"/>
              <w:right w:val="outset" w:color="auto" w:sz="4" w:space="0"/>
            </w:tcBorders>
            <w:vAlign w:val="center"/>
          </w:tcPr>
          <w:p w14:paraId="4C47351B">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62CD21B3">
            <w:pPr>
              <w:jc w:val="right"/>
            </w:pPr>
          </w:p>
        </w:tc>
      </w:tr>
      <w:tr w14:paraId="257374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0423266E">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1.重新计量设定受益计划变动额</w:t>
            </w:r>
          </w:p>
        </w:tc>
        <w:tc>
          <w:tcPr>
            <w:tcW w:w="838" w:type="pct"/>
            <w:tcBorders>
              <w:top w:val="outset" w:color="auto" w:sz="4" w:space="0"/>
              <w:left w:val="outset" w:color="auto" w:sz="4" w:space="0"/>
              <w:bottom w:val="outset" w:color="auto" w:sz="4" w:space="0"/>
              <w:right w:val="outset" w:color="auto" w:sz="4" w:space="0"/>
            </w:tcBorders>
            <w:vAlign w:val="center"/>
          </w:tcPr>
          <w:p w14:paraId="5385FF89"/>
        </w:tc>
        <w:tc>
          <w:tcPr>
            <w:tcW w:w="1110" w:type="pct"/>
            <w:tcBorders>
              <w:top w:val="outset" w:color="auto" w:sz="4" w:space="0"/>
              <w:left w:val="outset" w:color="auto" w:sz="4" w:space="0"/>
              <w:bottom w:val="outset" w:color="auto" w:sz="4" w:space="0"/>
              <w:right w:val="outset" w:color="auto" w:sz="4" w:space="0"/>
            </w:tcBorders>
            <w:vAlign w:val="center"/>
          </w:tcPr>
          <w:p w14:paraId="56A8FFBD">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2C67CEC0">
            <w:pPr>
              <w:jc w:val="right"/>
            </w:pPr>
          </w:p>
        </w:tc>
      </w:tr>
      <w:tr w14:paraId="593ECA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5947D577">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2.权益法下不能转损益的其他综合收益</w:t>
            </w:r>
          </w:p>
        </w:tc>
        <w:tc>
          <w:tcPr>
            <w:tcW w:w="838" w:type="pct"/>
            <w:tcBorders>
              <w:top w:val="outset" w:color="auto" w:sz="4" w:space="0"/>
              <w:left w:val="outset" w:color="auto" w:sz="4" w:space="0"/>
              <w:bottom w:val="outset" w:color="auto" w:sz="4" w:space="0"/>
              <w:right w:val="outset" w:color="auto" w:sz="4" w:space="0"/>
            </w:tcBorders>
            <w:vAlign w:val="center"/>
          </w:tcPr>
          <w:p w14:paraId="33D52713"/>
        </w:tc>
        <w:tc>
          <w:tcPr>
            <w:tcW w:w="1110" w:type="pct"/>
            <w:tcBorders>
              <w:top w:val="outset" w:color="auto" w:sz="4" w:space="0"/>
              <w:left w:val="outset" w:color="auto" w:sz="4" w:space="0"/>
              <w:bottom w:val="outset" w:color="auto" w:sz="4" w:space="0"/>
              <w:right w:val="outset" w:color="auto" w:sz="4" w:space="0"/>
            </w:tcBorders>
            <w:vAlign w:val="center"/>
          </w:tcPr>
          <w:p w14:paraId="1348CC83">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6ADA7170">
            <w:pPr>
              <w:jc w:val="right"/>
            </w:pPr>
          </w:p>
        </w:tc>
      </w:tr>
      <w:tr w14:paraId="4EE37B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58DFF1C0">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3.其他权益工具投资公允价值变动</w:t>
            </w:r>
          </w:p>
        </w:tc>
        <w:tc>
          <w:tcPr>
            <w:tcW w:w="838" w:type="pct"/>
            <w:tcBorders>
              <w:top w:val="outset" w:color="auto" w:sz="4" w:space="0"/>
              <w:left w:val="outset" w:color="auto" w:sz="4" w:space="0"/>
              <w:bottom w:val="outset" w:color="auto" w:sz="4" w:space="0"/>
              <w:right w:val="outset" w:color="auto" w:sz="4" w:space="0"/>
            </w:tcBorders>
            <w:vAlign w:val="center"/>
          </w:tcPr>
          <w:p w14:paraId="224A29D2"/>
        </w:tc>
        <w:tc>
          <w:tcPr>
            <w:tcW w:w="1110" w:type="pct"/>
            <w:tcBorders>
              <w:top w:val="outset" w:color="auto" w:sz="4" w:space="0"/>
              <w:left w:val="outset" w:color="auto" w:sz="4" w:space="0"/>
              <w:bottom w:val="outset" w:color="auto" w:sz="4" w:space="0"/>
              <w:right w:val="outset" w:color="auto" w:sz="4" w:space="0"/>
            </w:tcBorders>
            <w:vAlign w:val="center"/>
          </w:tcPr>
          <w:p w14:paraId="12331351">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4C78BC7A">
            <w:pPr>
              <w:jc w:val="right"/>
            </w:pPr>
          </w:p>
        </w:tc>
      </w:tr>
      <w:tr w14:paraId="586200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07F45653">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4.企业自身信用风险公允价值变动</w:t>
            </w:r>
          </w:p>
        </w:tc>
        <w:tc>
          <w:tcPr>
            <w:tcW w:w="838" w:type="pct"/>
            <w:tcBorders>
              <w:top w:val="outset" w:color="auto" w:sz="4" w:space="0"/>
              <w:left w:val="outset" w:color="auto" w:sz="4" w:space="0"/>
              <w:bottom w:val="outset" w:color="auto" w:sz="4" w:space="0"/>
              <w:right w:val="outset" w:color="auto" w:sz="4" w:space="0"/>
            </w:tcBorders>
            <w:vAlign w:val="center"/>
          </w:tcPr>
          <w:p w14:paraId="43A07542"/>
        </w:tc>
        <w:tc>
          <w:tcPr>
            <w:tcW w:w="1110" w:type="pct"/>
            <w:tcBorders>
              <w:top w:val="outset" w:color="auto" w:sz="4" w:space="0"/>
              <w:left w:val="outset" w:color="auto" w:sz="4" w:space="0"/>
              <w:bottom w:val="outset" w:color="auto" w:sz="4" w:space="0"/>
              <w:right w:val="outset" w:color="auto" w:sz="4" w:space="0"/>
            </w:tcBorders>
            <w:vAlign w:val="center"/>
          </w:tcPr>
          <w:p w14:paraId="7DBF4D46">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2F0470A4">
            <w:pPr>
              <w:jc w:val="right"/>
            </w:pPr>
          </w:p>
        </w:tc>
      </w:tr>
      <w:tr w14:paraId="6FBA7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42CB14B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（二）将重分类进损益的其他综合收益</w:t>
            </w:r>
          </w:p>
        </w:tc>
        <w:tc>
          <w:tcPr>
            <w:tcW w:w="838" w:type="pct"/>
            <w:tcBorders>
              <w:top w:val="outset" w:color="auto" w:sz="4" w:space="0"/>
              <w:left w:val="outset" w:color="auto" w:sz="4" w:space="0"/>
              <w:bottom w:val="outset" w:color="auto" w:sz="4" w:space="0"/>
              <w:right w:val="outset" w:color="auto" w:sz="4" w:space="0"/>
            </w:tcBorders>
            <w:vAlign w:val="center"/>
          </w:tcPr>
          <w:p w14:paraId="03E57670"/>
        </w:tc>
        <w:tc>
          <w:tcPr>
            <w:tcW w:w="1110" w:type="pct"/>
            <w:tcBorders>
              <w:top w:val="outset" w:color="auto" w:sz="4" w:space="0"/>
              <w:left w:val="outset" w:color="auto" w:sz="4" w:space="0"/>
              <w:bottom w:val="outset" w:color="auto" w:sz="4" w:space="0"/>
              <w:right w:val="outset" w:color="auto" w:sz="4" w:space="0"/>
            </w:tcBorders>
            <w:vAlign w:val="center"/>
          </w:tcPr>
          <w:p w14:paraId="14FD59A4">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5664AFD5">
            <w:pPr>
              <w:jc w:val="right"/>
            </w:pPr>
          </w:p>
        </w:tc>
      </w:tr>
      <w:tr w14:paraId="066A1E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5F189D00">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1.权益法下可转损益的其他综合收益</w:t>
            </w:r>
          </w:p>
        </w:tc>
        <w:tc>
          <w:tcPr>
            <w:tcW w:w="838" w:type="pct"/>
            <w:tcBorders>
              <w:top w:val="outset" w:color="auto" w:sz="4" w:space="0"/>
              <w:left w:val="outset" w:color="auto" w:sz="4" w:space="0"/>
              <w:bottom w:val="outset" w:color="auto" w:sz="4" w:space="0"/>
              <w:right w:val="outset" w:color="auto" w:sz="4" w:space="0"/>
            </w:tcBorders>
            <w:vAlign w:val="center"/>
          </w:tcPr>
          <w:p w14:paraId="4E4BED7A"/>
        </w:tc>
        <w:tc>
          <w:tcPr>
            <w:tcW w:w="1110" w:type="pct"/>
            <w:tcBorders>
              <w:top w:val="outset" w:color="auto" w:sz="4" w:space="0"/>
              <w:left w:val="outset" w:color="auto" w:sz="4" w:space="0"/>
              <w:bottom w:val="outset" w:color="auto" w:sz="4" w:space="0"/>
              <w:right w:val="outset" w:color="auto" w:sz="4" w:space="0"/>
            </w:tcBorders>
            <w:vAlign w:val="center"/>
          </w:tcPr>
          <w:p w14:paraId="51E2516A">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725A1F27">
            <w:pPr>
              <w:jc w:val="right"/>
            </w:pPr>
          </w:p>
        </w:tc>
      </w:tr>
      <w:tr w14:paraId="29B212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302477C6">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2.其他债权投资公允价值变动</w:t>
            </w:r>
          </w:p>
        </w:tc>
        <w:tc>
          <w:tcPr>
            <w:tcW w:w="838" w:type="pct"/>
            <w:tcBorders>
              <w:top w:val="outset" w:color="auto" w:sz="4" w:space="0"/>
              <w:left w:val="outset" w:color="auto" w:sz="4" w:space="0"/>
              <w:bottom w:val="outset" w:color="auto" w:sz="4" w:space="0"/>
              <w:right w:val="outset" w:color="auto" w:sz="4" w:space="0"/>
            </w:tcBorders>
            <w:vAlign w:val="center"/>
          </w:tcPr>
          <w:p w14:paraId="0213B682"/>
        </w:tc>
        <w:tc>
          <w:tcPr>
            <w:tcW w:w="1110" w:type="pct"/>
            <w:tcBorders>
              <w:top w:val="outset" w:color="auto" w:sz="4" w:space="0"/>
              <w:left w:val="outset" w:color="auto" w:sz="4" w:space="0"/>
              <w:bottom w:val="outset" w:color="auto" w:sz="4" w:space="0"/>
              <w:right w:val="outset" w:color="auto" w:sz="4" w:space="0"/>
            </w:tcBorders>
            <w:vAlign w:val="center"/>
          </w:tcPr>
          <w:p w14:paraId="494D48F5">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34F4AD88">
            <w:pPr>
              <w:jc w:val="right"/>
            </w:pPr>
          </w:p>
        </w:tc>
      </w:tr>
      <w:tr w14:paraId="0F857A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2F832947">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3.金融资产重分类计入其他综合收益的金额</w:t>
            </w:r>
          </w:p>
        </w:tc>
        <w:tc>
          <w:tcPr>
            <w:tcW w:w="838" w:type="pct"/>
            <w:tcBorders>
              <w:top w:val="outset" w:color="auto" w:sz="4" w:space="0"/>
              <w:left w:val="outset" w:color="auto" w:sz="4" w:space="0"/>
              <w:bottom w:val="outset" w:color="auto" w:sz="4" w:space="0"/>
              <w:right w:val="outset" w:color="auto" w:sz="4" w:space="0"/>
            </w:tcBorders>
            <w:vAlign w:val="center"/>
          </w:tcPr>
          <w:p w14:paraId="55D345A2"/>
        </w:tc>
        <w:tc>
          <w:tcPr>
            <w:tcW w:w="1110" w:type="pct"/>
            <w:tcBorders>
              <w:top w:val="outset" w:color="auto" w:sz="4" w:space="0"/>
              <w:left w:val="outset" w:color="auto" w:sz="4" w:space="0"/>
              <w:bottom w:val="outset" w:color="auto" w:sz="4" w:space="0"/>
              <w:right w:val="outset" w:color="auto" w:sz="4" w:space="0"/>
            </w:tcBorders>
            <w:vAlign w:val="center"/>
          </w:tcPr>
          <w:p w14:paraId="25234493">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550A8462">
            <w:pPr>
              <w:jc w:val="right"/>
            </w:pPr>
          </w:p>
        </w:tc>
      </w:tr>
      <w:tr w14:paraId="571718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0EB16F28">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4.其他债权投资信用减值准备</w:t>
            </w:r>
          </w:p>
        </w:tc>
        <w:tc>
          <w:tcPr>
            <w:tcW w:w="838" w:type="pct"/>
            <w:tcBorders>
              <w:top w:val="outset" w:color="auto" w:sz="4" w:space="0"/>
              <w:left w:val="outset" w:color="auto" w:sz="4" w:space="0"/>
              <w:bottom w:val="outset" w:color="auto" w:sz="4" w:space="0"/>
              <w:right w:val="outset" w:color="auto" w:sz="4" w:space="0"/>
            </w:tcBorders>
            <w:vAlign w:val="center"/>
          </w:tcPr>
          <w:p w14:paraId="48021830"/>
        </w:tc>
        <w:tc>
          <w:tcPr>
            <w:tcW w:w="1110" w:type="pct"/>
            <w:tcBorders>
              <w:top w:val="outset" w:color="auto" w:sz="4" w:space="0"/>
              <w:left w:val="outset" w:color="auto" w:sz="4" w:space="0"/>
              <w:bottom w:val="outset" w:color="auto" w:sz="4" w:space="0"/>
              <w:right w:val="outset" w:color="auto" w:sz="4" w:space="0"/>
            </w:tcBorders>
            <w:vAlign w:val="center"/>
          </w:tcPr>
          <w:p w14:paraId="1366CE4B">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6A04D974">
            <w:pPr>
              <w:jc w:val="right"/>
            </w:pPr>
          </w:p>
        </w:tc>
      </w:tr>
      <w:tr w14:paraId="442166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2C1591CC">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5.现金流量套期储备</w:t>
            </w:r>
          </w:p>
        </w:tc>
        <w:tc>
          <w:tcPr>
            <w:tcW w:w="838" w:type="pct"/>
            <w:tcBorders>
              <w:top w:val="outset" w:color="auto" w:sz="4" w:space="0"/>
              <w:left w:val="outset" w:color="auto" w:sz="4" w:space="0"/>
              <w:bottom w:val="outset" w:color="auto" w:sz="4" w:space="0"/>
              <w:right w:val="outset" w:color="auto" w:sz="4" w:space="0"/>
            </w:tcBorders>
            <w:vAlign w:val="center"/>
          </w:tcPr>
          <w:p w14:paraId="5286F7E7"/>
        </w:tc>
        <w:tc>
          <w:tcPr>
            <w:tcW w:w="1110" w:type="pct"/>
            <w:tcBorders>
              <w:top w:val="outset" w:color="auto" w:sz="4" w:space="0"/>
              <w:left w:val="outset" w:color="auto" w:sz="4" w:space="0"/>
              <w:bottom w:val="outset" w:color="auto" w:sz="4" w:space="0"/>
              <w:right w:val="outset" w:color="auto" w:sz="4" w:space="0"/>
            </w:tcBorders>
            <w:vAlign w:val="center"/>
          </w:tcPr>
          <w:p w14:paraId="1EE14CFC">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445320E2">
            <w:pPr>
              <w:jc w:val="right"/>
            </w:pPr>
          </w:p>
        </w:tc>
      </w:tr>
      <w:tr w14:paraId="7381A0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5076705B">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6.外币财务报表折算差额</w:t>
            </w:r>
          </w:p>
        </w:tc>
        <w:tc>
          <w:tcPr>
            <w:tcW w:w="838" w:type="pct"/>
            <w:tcBorders>
              <w:top w:val="outset" w:color="auto" w:sz="4" w:space="0"/>
              <w:left w:val="outset" w:color="auto" w:sz="4" w:space="0"/>
              <w:bottom w:val="outset" w:color="auto" w:sz="4" w:space="0"/>
              <w:right w:val="outset" w:color="auto" w:sz="4" w:space="0"/>
            </w:tcBorders>
            <w:vAlign w:val="center"/>
          </w:tcPr>
          <w:p w14:paraId="6AC1403A"/>
        </w:tc>
        <w:tc>
          <w:tcPr>
            <w:tcW w:w="1110" w:type="pct"/>
            <w:tcBorders>
              <w:top w:val="outset" w:color="auto" w:sz="4" w:space="0"/>
              <w:left w:val="outset" w:color="auto" w:sz="4" w:space="0"/>
              <w:bottom w:val="outset" w:color="auto" w:sz="4" w:space="0"/>
              <w:right w:val="outset" w:color="auto" w:sz="4" w:space="0"/>
            </w:tcBorders>
            <w:vAlign w:val="center"/>
          </w:tcPr>
          <w:p w14:paraId="12C9E3DD">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66375340">
            <w:pPr>
              <w:jc w:val="right"/>
            </w:pPr>
          </w:p>
        </w:tc>
      </w:tr>
      <w:tr w14:paraId="164BF9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4EF38DAC">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7.其他</w:t>
            </w:r>
          </w:p>
        </w:tc>
        <w:tc>
          <w:tcPr>
            <w:tcW w:w="838" w:type="pct"/>
            <w:tcBorders>
              <w:top w:val="outset" w:color="auto" w:sz="4" w:space="0"/>
              <w:left w:val="outset" w:color="auto" w:sz="4" w:space="0"/>
              <w:bottom w:val="outset" w:color="auto" w:sz="4" w:space="0"/>
              <w:right w:val="outset" w:color="auto" w:sz="4" w:space="0"/>
            </w:tcBorders>
            <w:vAlign w:val="center"/>
          </w:tcPr>
          <w:p w14:paraId="708EDBDE"/>
        </w:tc>
        <w:tc>
          <w:tcPr>
            <w:tcW w:w="1110" w:type="pct"/>
            <w:tcBorders>
              <w:top w:val="outset" w:color="auto" w:sz="4" w:space="0"/>
              <w:left w:val="outset" w:color="auto" w:sz="4" w:space="0"/>
              <w:bottom w:val="outset" w:color="auto" w:sz="4" w:space="0"/>
              <w:right w:val="outset" w:color="auto" w:sz="4" w:space="0"/>
            </w:tcBorders>
            <w:vAlign w:val="center"/>
          </w:tcPr>
          <w:p w14:paraId="3395D26E">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15B68654">
            <w:pPr>
              <w:jc w:val="right"/>
            </w:pPr>
          </w:p>
        </w:tc>
      </w:tr>
      <w:tr w14:paraId="1670FE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7BA0BB01">
            <w:pPr>
              <w:rPr>
                <w:color w:val="000000" w:themeColor="text1"/>
                <w14:textFill>
                  <w14:solidFill>
                    <w14:schemeClr w14:val="tx1"/>
                  </w14:solidFill>
                </w14:textFill>
              </w:rPr>
            </w:pPr>
            <w:r>
              <w:rPr>
                <w:rFonts w:hint="eastAsia"/>
                <w:color w:val="000000" w:themeColor="text1"/>
                <w14:textFill>
                  <w14:solidFill>
                    <w14:schemeClr w14:val="tx1"/>
                  </w14:solidFill>
                </w14:textFill>
              </w:rPr>
              <w:t>六、综合收益总额</w:t>
            </w:r>
          </w:p>
        </w:tc>
        <w:tc>
          <w:tcPr>
            <w:tcW w:w="838" w:type="pct"/>
            <w:tcBorders>
              <w:top w:val="outset" w:color="auto" w:sz="4" w:space="0"/>
              <w:left w:val="outset" w:color="auto" w:sz="4" w:space="0"/>
              <w:bottom w:val="outset" w:color="auto" w:sz="4" w:space="0"/>
              <w:right w:val="outset" w:color="auto" w:sz="4" w:space="0"/>
            </w:tcBorders>
            <w:vAlign w:val="center"/>
          </w:tcPr>
          <w:p w14:paraId="6032FDA9"/>
        </w:tc>
        <w:tc>
          <w:tcPr>
            <w:tcW w:w="1110" w:type="pct"/>
            <w:tcBorders>
              <w:top w:val="outset" w:color="auto" w:sz="4" w:space="0"/>
              <w:left w:val="outset" w:color="auto" w:sz="4" w:space="0"/>
              <w:bottom w:val="outset" w:color="auto" w:sz="4" w:space="0"/>
              <w:right w:val="outset" w:color="auto" w:sz="4" w:space="0"/>
            </w:tcBorders>
            <w:vAlign w:val="center"/>
          </w:tcPr>
          <w:p w14:paraId="1F3A369B">
            <w:pPr>
              <w:jc w:val="right"/>
            </w:pPr>
            <w:r>
              <w:t>22,019,323.41</w:t>
            </w:r>
          </w:p>
        </w:tc>
        <w:tc>
          <w:tcPr>
            <w:tcW w:w="1114" w:type="pct"/>
            <w:tcBorders>
              <w:top w:val="outset" w:color="auto" w:sz="4" w:space="0"/>
              <w:left w:val="outset" w:color="auto" w:sz="4" w:space="0"/>
              <w:bottom w:val="outset" w:color="auto" w:sz="4" w:space="0"/>
              <w:right w:val="outset" w:color="auto" w:sz="4" w:space="0"/>
            </w:tcBorders>
            <w:vAlign w:val="center"/>
          </w:tcPr>
          <w:p w14:paraId="174D959A">
            <w:pPr>
              <w:jc w:val="right"/>
            </w:pPr>
            <w:r>
              <w:t>90,284,129.73</w:t>
            </w:r>
          </w:p>
        </w:tc>
      </w:tr>
      <w:tr w14:paraId="329E09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302a225367d84b88a766d8daaf22e468"/>
            <w:id w:val="949280827"/>
          </w:sdtPr>
          <w:sdtContent>
            <w:tc>
              <w:tcPr>
                <w:tcW w:w="5000" w:type="pct"/>
                <w:gridSpan w:val="4"/>
                <w:tcBorders>
                  <w:top w:val="outset" w:color="auto" w:sz="4" w:space="0"/>
                  <w:left w:val="outset" w:color="auto" w:sz="4" w:space="0"/>
                  <w:bottom w:val="outset" w:color="auto" w:sz="4" w:space="0"/>
                  <w:right w:val="outset" w:color="auto" w:sz="4" w:space="0"/>
                </w:tcBorders>
                <w:vAlign w:val="center"/>
              </w:tcPr>
              <w:p w14:paraId="07E9E25F">
                <w:pPr>
                  <w:rPr>
                    <w:color w:val="000000" w:themeColor="text1"/>
                    <w14:textFill>
                      <w14:solidFill>
                        <w14:schemeClr w14:val="tx1"/>
                      </w14:solidFill>
                    </w14:textFill>
                  </w:rPr>
                </w:pPr>
                <w:r>
                  <w:rPr>
                    <w:rFonts w:hint="eastAsia"/>
                    <w:color w:val="000000" w:themeColor="text1"/>
                    <w14:textFill>
                      <w14:solidFill>
                        <w14:schemeClr w14:val="tx1"/>
                      </w14:solidFill>
                    </w14:textFill>
                  </w:rPr>
                  <w:t>七</w:t>
                </w:r>
                <w:r>
                  <w:rPr>
                    <w:color w:val="000000" w:themeColor="text1"/>
                    <w14:textFill>
                      <w14:solidFill>
                        <w14:schemeClr w14:val="tx1"/>
                      </w14:solidFill>
                    </w14:textFill>
                  </w:rPr>
                  <w:t>、每股收益：</w:t>
                </w:r>
              </w:p>
            </w:tc>
          </w:sdtContent>
        </w:sdt>
      </w:tr>
      <w:tr w14:paraId="597527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73CF8222">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（一）基本每股收益</w:t>
            </w:r>
            <w:r>
              <w:rPr>
                <w:rFonts w:hint="eastAsia"/>
                <w:color w:val="000000" w:themeColor="text1"/>
                <w14:textFill>
                  <w14:solidFill>
                    <w14:schemeClr w14:val="tx1"/>
                  </w14:solidFill>
                </w14:textFill>
              </w:rPr>
              <w:t>(元/股)</w:t>
            </w:r>
          </w:p>
        </w:tc>
        <w:tc>
          <w:tcPr>
            <w:tcW w:w="838" w:type="pct"/>
            <w:tcBorders>
              <w:top w:val="outset" w:color="auto" w:sz="4" w:space="0"/>
              <w:left w:val="outset" w:color="auto" w:sz="4" w:space="0"/>
              <w:bottom w:val="outset" w:color="auto" w:sz="4" w:space="0"/>
              <w:right w:val="outset" w:color="auto" w:sz="4" w:space="0"/>
            </w:tcBorders>
            <w:vAlign w:val="center"/>
          </w:tcPr>
          <w:p w14:paraId="7AC036D4"/>
        </w:tc>
        <w:tc>
          <w:tcPr>
            <w:tcW w:w="1110" w:type="pct"/>
            <w:tcBorders>
              <w:top w:val="outset" w:color="auto" w:sz="4" w:space="0"/>
              <w:left w:val="outset" w:color="auto" w:sz="4" w:space="0"/>
              <w:bottom w:val="outset" w:color="auto" w:sz="4" w:space="0"/>
              <w:right w:val="outset" w:color="auto" w:sz="4" w:space="0"/>
            </w:tcBorders>
            <w:vAlign w:val="center"/>
          </w:tcPr>
          <w:p w14:paraId="3B04532F">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2FF808C4">
            <w:pPr>
              <w:jc w:val="right"/>
            </w:pPr>
          </w:p>
        </w:tc>
      </w:tr>
      <w:tr w14:paraId="38719F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38" w:type="pct"/>
            <w:tcBorders>
              <w:top w:val="outset" w:color="auto" w:sz="4" w:space="0"/>
              <w:left w:val="outset" w:color="auto" w:sz="4" w:space="0"/>
              <w:bottom w:val="outset" w:color="auto" w:sz="4" w:space="0"/>
              <w:right w:val="outset" w:color="auto" w:sz="4" w:space="0"/>
            </w:tcBorders>
            <w:vAlign w:val="center"/>
          </w:tcPr>
          <w:p w14:paraId="7E6A4A30">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（二）稀释每股收益</w:t>
            </w:r>
            <w:r>
              <w:rPr>
                <w:rFonts w:hint="eastAsia"/>
                <w:color w:val="000000" w:themeColor="text1"/>
                <w14:textFill>
                  <w14:solidFill>
                    <w14:schemeClr w14:val="tx1"/>
                  </w14:solidFill>
                </w14:textFill>
              </w:rPr>
              <w:t>(元/股)</w:t>
            </w:r>
          </w:p>
        </w:tc>
        <w:tc>
          <w:tcPr>
            <w:tcW w:w="838" w:type="pct"/>
            <w:tcBorders>
              <w:top w:val="outset" w:color="auto" w:sz="4" w:space="0"/>
              <w:left w:val="outset" w:color="auto" w:sz="4" w:space="0"/>
              <w:bottom w:val="outset" w:color="auto" w:sz="4" w:space="0"/>
              <w:right w:val="outset" w:color="auto" w:sz="4" w:space="0"/>
            </w:tcBorders>
            <w:vAlign w:val="center"/>
          </w:tcPr>
          <w:p w14:paraId="4EAD1EA7"/>
        </w:tc>
        <w:tc>
          <w:tcPr>
            <w:tcW w:w="1110" w:type="pct"/>
            <w:tcBorders>
              <w:top w:val="outset" w:color="auto" w:sz="4" w:space="0"/>
              <w:left w:val="outset" w:color="auto" w:sz="4" w:space="0"/>
              <w:bottom w:val="outset" w:color="auto" w:sz="4" w:space="0"/>
              <w:right w:val="outset" w:color="auto" w:sz="4" w:space="0"/>
            </w:tcBorders>
            <w:vAlign w:val="center"/>
          </w:tcPr>
          <w:p w14:paraId="627DD963">
            <w:pPr>
              <w:jc w:val="right"/>
            </w:pPr>
          </w:p>
        </w:tc>
        <w:tc>
          <w:tcPr>
            <w:tcW w:w="1114" w:type="pct"/>
            <w:tcBorders>
              <w:top w:val="outset" w:color="auto" w:sz="4" w:space="0"/>
              <w:left w:val="outset" w:color="auto" w:sz="4" w:space="0"/>
              <w:bottom w:val="outset" w:color="auto" w:sz="4" w:space="0"/>
              <w:right w:val="outset" w:color="auto" w:sz="4" w:space="0"/>
            </w:tcBorders>
            <w:vAlign w:val="center"/>
          </w:tcPr>
          <w:p w14:paraId="11099A50">
            <w:pPr>
              <w:jc w:val="right"/>
            </w:pPr>
          </w:p>
        </w:tc>
      </w:tr>
    </w:tbl>
    <w:p w14:paraId="79FC9F3C">
      <w:pPr>
        <w:rPr>
          <w:color w:val="000000" w:themeColor="text1"/>
          <w14:textFill>
            <w14:solidFill>
              <w14:schemeClr w14:val="tx1"/>
            </w14:solidFill>
          </w14:textFill>
        </w:rPr>
      </w:pPr>
    </w:p>
    <w:p w14:paraId="6B75ADD1">
      <w:pPr>
        <w:snapToGrid w:val="0"/>
        <w:spacing w:line="240" w:lineRule="atLeast"/>
        <w:ind w:right="-153" w:rightChars="-73"/>
        <w:rPr>
          <w:rFonts w:cs="宋体-方正超大字符集"/>
          <w:color w:val="000000" w:themeColor="text1"/>
          <w14:textFill>
            <w14:solidFill>
              <w14:schemeClr w14:val="tx1"/>
            </w14:solidFill>
          </w14:textFill>
        </w:rPr>
      </w:pPr>
      <w:r>
        <w:rPr>
          <w:color w:val="000000" w:themeColor="text1"/>
          <w14:textFill>
            <w14:solidFill>
              <w14:schemeClr w14:val="tx1"/>
            </w14:solidFill>
          </w14:textFill>
        </w:rPr>
        <w:t>公司负责人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公司负责人"/>
          <w:tag w:val="_GBC_6be9c51ef68a40f0b60486f4414f2413"/>
          <w:id w:val="-1616981033"/>
          <w:placeholder>
            <w:docPart w:val="GBC22222222222222222222222222222"/>
          </w:placeholder>
          <w:dataBinding w:prefixMappings="xmlns:clcid-mr='clcid-mr'" w:xpath="/*/clcid-mr:GongSi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唐传勤</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主管会计工作负责人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主管会计工作负责人姓名"/>
          <w:tag w:val="_GBC_ac91a6c67f0a401ab312a449bd87b833"/>
          <w:id w:val="967091061"/>
          <w:placeholder>
            <w:docPart w:val="GBC22222222222222222222222222222"/>
          </w:placeholder>
          <w:dataBinding w:prefixMappings="xmlns:clcid-mr='clcid-mr'" w:xpath="/*/clcid-mr:ZhuGuanKuaiJiGongZuo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宋荣超</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会计机构负责人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会计机构负责人姓名"/>
          <w:tag w:val="_GBC_60f6b900783346cfad817de4d84acf5e"/>
          <w:id w:val="766966238"/>
          <w:placeholder>
            <w:docPart w:val="GBC22222222222222222222222222222"/>
          </w:placeholder>
          <w:dataBinding w:prefixMappings="xmlns:clcid-mr='clcid-mr'" w:xpath="/*/clcid-mr:KuaiJiJiGou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张小嫘</w:t>
          </w:r>
        </w:sdtContent>
      </w:sdt>
    </w:p>
    <w:p w14:paraId="1C9A0FDB">
      <w:pPr>
        <w:snapToGrid w:val="0"/>
        <w:spacing w:line="240" w:lineRule="atLeast"/>
        <w:ind w:right="-153" w:rightChars="-73"/>
        <w:rPr>
          <w:b/>
          <w:bCs w:val="0"/>
          <w:color w:val="000000" w:themeColor="text1"/>
          <w14:textFill>
            <w14:solidFill>
              <w14:schemeClr w14:val="tx1"/>
            </w14:solidFill>
          </w14:textFill>
        </w:rPr>
      </w:pPr>
    </w:p>
    <w:bookmarkEnd w:id="120"/>
    <w:p w14:paraId="5D5F11CF">
      <w:pPr>
        <w:rPr>
          <w:color w:val="000000" w:themeColor="text1"/>
          <w14:textFill>
            <w14:solidFill>
              <w14:schemeClr w14:val="tx1"/>
            </w14:solidFill>
          </w14:textFill>
        </w:rPr>
      </w:pPr>
      <w:bookmarkStart w:id="123" w:name="_Hlk10211424"/>
      <w:bookmarkEnd w:id="123"/>
    </w:p>
    <w:p w14:paraId="233B1675">
      <w:pPr>
        <w:rPr>
          <w:color w:val="000000" w:themeColor="text1"/>
          <w14:textFill>
            <w14:solidFill>
              <w14:schemeClr w14:val="tx1"/>
            </w14:solidFill>
          </w14:textFill>
        </w:rPr>
      </w:pPr>
    </w:p>
    <w:p w14:paraId="2CD93B54">
      <w:pPr>
        <w:pStyle w:val="4"/>
        <w:jc w:val="center"/>
        <w:rPr>
          <w:rFonts w:hint="eastAsia" w:ascii="宋体" w:hAnsi="宋体"/>
          <w:color w:val="000000" w:themeColor="text1"/>
          <w14:textFill>
            <w14:solidFill>
              <w14:schemeClr w14:val="tx1"/>
            </w14:solidFill>
          </w14:textFill>
        </w:rPr>
      </w:pPr>
      <w:bookmarkStart w:id="124" w:name="_Hlk10211590"/>
      <w:r>
        <w:rPr>
          <w:rFonts w:hint="eastAsia" w:ascii="宋体" w:hAnsi="宋体"/>
          <w:color w:val="000000" w:themeColor="text1"/>
          <w14:textFill>
            <w14:solidFill>
              <w14:schemeClr w14:val="tx1"/>
            </w14:solidFill>
          </w14:textFill>
        </w:rPr>
        <w:t>合并</w:t>
      </w:r>
      <w:r>
        <w:rPr>
          <w:rFonts w:ascii="宋体" w:hAnsi="宋体"/>
          <w:color w:val="000000" w:themeColor="text1"/>
          <w14:textFill>
            <w14:solidFill>
              <w14:schemeClr w14:val="tx1"/>
            </w14:solidFill>
          </w14:textFill>
        </w:rPr>
        <w:t>现金流量表</w:t>
      </w:r>
    </w:p>
    <w:p w14:paraId="24C5E188">
      <w:pPr>
        <w:jc w:val="center"/>
        <w:rPr>
          <w:b/>
          <w:bCs w:val="0"/>
          <w:color w:val="000000" w:themeColor="text1"/>
          <w14:textFill>
            <w14:solidFill>
              <w14:schemeClr w14:val="tx1"/>
            </w14:solidFill>
          </w14:textFill>
        </w:rPr>
      </w:pPr>
      <w:r>
        <w:rPr>
          <w:color w:val="000000" w:themeColor="text1"/>
          <w14:textFill>
            <w14:solidFill>
              <w14:schemeClr w14:val="tx1"/>
            </w14:solidFill>
          </w14:textFill>
        </w:rPr>
        <w:t>2026年</w:t>
      </w:r>
      <w:r>
        <w:rPr>
          <w:rFonts w:hint="eastAsia"/>
          <w:color w:val="000000" w:themeColor="text1"/>
          <w14:textFill>
            <w14:solidFill>
              <w14:schemeClr w14:val="tx1"/>
            </w14:solidFill>
          </w14:textFill>
        </w:rPr>
        <w:t>1—6</w:t>
      </w:r>
      <w:r>
        <w:rPr>
          <w:color w:val="000000" w:themeColor="text1"/>
          <w14:textFill>
            <w14:solidFill>
              <w14:schemeClr w14:val="tx1"/>
            </w14:solidFill>
          </w14:textFill>
        </w:rPr>
        <w:t>月</w:t>
      </w:r>
    </w:p>
    <w:p w14:paraId="5669D3FB">
      <w:pPr>
        <w:jc w:val="right"/>
        <w:rPr>
          <w:color w:val="000000" w:themeColor="text1"/>
          <w14:textFill>
            <w14:solidFill>
              <w14:schemeClr w14:val="tx1"/>
            </w14:solidFill>
          </w14:textFill>
        </w:rPr>
      </w:pPr>
      <w:r>
        <w:rPr>
          <w:color w:val="000000" w:themeColor="text1"/>
          <w14:textFill>
            <w14:solidFill>
              <w14:schemeClr w14:val="tx1"/>
            </w14:solidFill>
          </w14:textFill>
        </w:rPr>
        <w:t>单位</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单位：合并现金流量表"/>
          <w:tag w:val="_GBC_7049413ddb8f4e5eac9cb9fb4f802433"/>
          <w:id w:val="9218427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合并现金流量表"/>
          <w:tag w:val="_GBC_5ab1c6e244484b228b8cdc6ee3840fd6"/>
          <w:id w:val="20516475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063"/>
        <w:gridCol w:w="1528"/>
        <w:gridCol w:w="2119"/>
        <w:gridCol w:w="2113"/>
      </w:tblGrid>
      <w:tr w14:paraId="08408C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2a3b6af3ab824e2db1022630f7a58e18"/>
            <w:id w:val="-940756183"/>
          </w:sdtPr>
          <w:sdtContent>
            <w:tc>
              <w:tcPr>
                <w:tcW w:w="1736" w:type="pct"/>
                <w:tcBorders>
                  <w:top w:val="outset" w:color="auto" w:sz="4" w:space="0"/>
                  <w:left w:val="outset" w:color="auto" w:sz="4" w:space="0"/>
                  <w:bottom w:val="outset" w:color="auto" w:sz="4" w:space="0"/>
                  <w:right w:val="outset" w:color="auto" w:sz="4" w:space="0"/>
                </w:tcBorders>
                <w:vAlign w:val="center"/>
              </w:tcPr>
              <w:p w14:paraId="34F61927">
                <w:pPr>
                  <w:jc w:val="center"/>
                  <w:rPr>
                    <w:b/>
                    <w:bCs w:val="0"/>
                    <w:color w:val="000000" w:themeColor="text1"/>
                    <w14:textFill>
                      <w14:solidFill>
                        <w14:schemeClr w14:val="tx1"/>
                      </w14:solidFill>
                    </w14:textFill>
                  </w:rPr>
                </w:pPr>
                <w:bookmarkStart w:id="125" w:name="OLE_LINK22"/>
                <w:r>
                  <w:rPr>
                    <w:b/>
                    <w:color w:val="000000" w:themeColor="text1"/>
                    <w14:textFill>
                      <w14:solidFill>
                        <w14:schemeClr w14:val="tx1"/>
                      </w14:solidFill>
                    </w14:textFill>
                  </w:rPr>
                  <w:t>项目</w:t>
                </w:r>
              </w:p>
            </w:tc>
          </w:sdtContent>
        </w:sdt>
        <w:sdt>
          <w:sdtPr>
            <w:tag w:val="_PLD_49df1a6f5a224085bdcd56671a898d47"/>
            <w:id w:val="35706705"/>
          </w:sdtPr>
          <w:sdtContent>
            <w:tc>
              <w:tcPr>
                <w:tcW w:w="866" w:type="pct"/>
                <w:tcBorders>
                  <w:top w:val="outset" w:color="auto" w:sz="4" w:space="0"/>
                  <w:left w:val="outset" w:color="auto" w:sz="4" w:space="0"/>
                  <w:bottom w:val="outset" w:color="auto" w:sz="4" w:space="0"/>
                  <w:right w:val="outset" w:color="auto" w:sz="4" w:space="0"/>
                </w:tcBorders>
                <w:vAlign w:val="center"/>
              </w:tcPr>
              <w:p w14:paraId="602FC642">
                <w:pPr>
                  <w:jc w:val="center"/>
                  <w:rPr>
                    <w:b/>
                    <w:color w:val="000000" w:themeColor="text1"/>
                    <w14:textFill>
                      <w14:solidFill>
                        <w14:schemeClr w14:val="tx1"/>
                      </w14:solidFill>
                    </w14:textFill>
                  </w:rPr>
                </w:pPr>
                <w:r>
                  <w:rPr>
                    <w:b/>
                    <w:color w:val="000000" w:themeColor="text1"/>
                    <w14:textFill>
                      <w14:solidFill>
                        <w14:schemeClr w14:val="tx1"/>
                      </w14:solidFill>
                    </w14:textFill>
                  </w:rPr>
                  <w:t>附注</w:t>
                </w:r>
              </w:p>
            </w:tc>
          </w:sdtContent>
        </w:sdt>
        <w:sdt>
          <w:sdtPr>
            <w:tag w:val="_PLD_aba5e14092764f689b78fdbe9892bc51"/>
            <w:id w:val="-1746023430"/>
          </w:sdtPr>
          <w:sdtContent>
            <w:tc>
              <w:tcPr>
                <w:tcW w:w="1201" w:type="pct"/>
                <w:tcBorders>
                  <w:top w:val="outset" w:color="auto" w:sz="4" w:space="0"/>
                  <w:left w:val="outset" w:color="auto" w:sz="4" w:space="0"/>
                  <w:bottom w:val="outset" w:color="auto" w:sz="4" w:space="0"/>
                  <w:right w:val="outset" w:color="auto" w:sz="4" w:space="0"/>
                </w:tcBorders>
                <w:vAlign w:val="center"/>
              </w:tcPr>
              <w:p w14:paraId="23D5AAB2">
                <w:pPr>
                  <w:autoSpaceDE w:val="0"/>
                  <w:autoSpaceDN w:val="0"/>
                  <w:adjustRightInd w:val="0"/>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2026年半年度</w:t>
                </w:r>
              </w:p>
            </w:tc>
          </w:sdtContent>
        </w:sdt>
        <w:sdt>
          <w:sdtPr>
            <w:tag w:val="_PLD_8cac70c6f00c4266a9b8cff482cc71cc"/>
            <w:id w:val="-1434203472"/>
          </w:sdtPr>
          <w:sdtContent>
            <w:tc>
              <w:tcPr>
                <w:tcW w:w="1197" w:type="pct"/>
                <w:tcBorders>
                  <w:top w:val="outset" w:color="auto" w:sz="4" w:space="0"/>
                  <w:left w:val="outset" w:color="auto" w:sz="4" w:space="0"/>
                  <w:bottom w:val="outset" w:color="auto" w:sz="4" w:space="0"/>
                  <w:right w:val="outset" w:color="auto" w:sz="4" w:space="0"/>
                </w:tcBorders>
                <w:vAlign w:val="center"/>
              </w:tcPr>
              <w:p w14:paraId="57022489">
                <w:pPr>
                  <w:autoSpaceDE w:val="0"/>
                  <w:autoSpaceDN w:val="0"/>
                  <w:adjustRightInd w:val="0"/>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2025年半年度</w:t>
                </w:r>
              </w:p>
            </w:tc>
          </w:sdtContent>
        </w:sdt>
      </w:tr>
      <w:tr w14:paraId="711A0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ffd119a1ffa641c1a00397806a78ee23"/>
            <w:id w:val="605470643"/>
          </w:sdtPr>
          <w:sdtContent>
            <w:tc>
              <w:tcPr>
                <w:tcW w:w="5000" w:type="pct"/>
                <w:gridSpan w:val="4"/>
                <w:tcBorders>
                  <w:top w:val="outset" w:color="auto" w:sz="4" w:space="0"/>
                  <w:left w:val="outset" w:color="auto" w:sz="4" w:space="0"/>
                  <w:bottom w:val="outset" w:color="auto" w:sz="4" w:space="0"/>
                  <w:right w:val="outset" w:color="auto" w:sz="4" w:space="0"/>
                </w:tcBorders>
                <w:vAlign w:val="center"/>
              </w:tcPr>
              <w:p w14:paraId="2F5F2BA4">
                <w:pPr>
                  <w:rPr>
                    <w:color w:val="000000" w:themeColor="text1"/>
                    <w14:textFill>
                      <w14:solidFill>
                        <w14:schemeClr w14:val="tx1"/>
                      </w14:solidFill>
                    </w14:textFill>
                  </w:rPr>
                </w:pPr>
                <w:r>
                  <w:rPr>
                    <w:rFonts w:hint="eastAsia"/>
                    <w:b/>
                    <w:color w:val="000000" w:themeColor="text1"/>
                    <w14:textFill>
                      <w14:solidFill>
                        <w14:schemeClr w14:val="tx1"/>
                      </w14:solidFill>
                    </w14:textFill>
                  </w:rPr>
                  <w:t>一、经营活动产生的现金流量：</w:t>
                </w:r>
              </w:p>
            </w:tc>
          </w:sdtContent>
        </w:sdt>
      </w:tr>
      <w:tr w14:paraId="3C9DA6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0F6995E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销售商品、提供劳务收到的现金</w:t>
            </w:r>
          </w:p>
        </w:tc>
        <w:tc>
          <w:tcPr>
            <w:tcW w:w="866" w:type="pct"/>
            <w:tcBorders>
              <w:top w:val="outset" w:color="auto" w:sz="4" w:space="0"/>
              <w:left w:val="outset" w:color="auto" w:sz="4" w:space="0"/>
              <w:bottom w:val="outset" w:color="auto" w:sz="4" w:space="0"/>
              <w:right w:val="outset" w:color="auto" w:sz="4" w:space="0"/>
            </w:tcBorders>
            <w:vAlign w:val="center"/>
          </w:tcPr>
          <w:p w14:paraId="60A85D6A"/>
        </w:tc>
        <w:tc>
          <w:tcPr>
            <w:tcW w:w="1201" w:type="pct"/>
            <w:tcBorders>
              <w:top w:val="outset" w:color="auto" w:sz="4" w:space="0"/>
              <w:left w:val="outset" w:color="auto" w:sz="4" w:space="0"/>
              <w:bottom w:val="outset" w:color="auto" w:sz="4" w:space="0"/>
              <w:right w:val="outset" w:color="auto" w:sz="4" w:space="0"/>
            </w:tcBorders>
            <w:vAlign w:val="center"/>
          </w:tcPr>
          <w:p w14:paraId="36148293">
            <w:pPr>
              <w:jc w:val="right"/>
            </w:pPr>
            <w:r>
              <w:t>915,228,004.76</w:t>
            </w:r>
          </w:p>
        </w:tc>
        <w:tc>
          <w:tcPr>
            <w:tcW w:w="1197" w:type="pct"/>
            <w:tcBorders>
              <w:top w:val="outset" w:color="auto" w:sz="4" w:space="0"/>
              <w:left w:val="outset" w:color="auto" w:sz="4" w:space="0"/>
              <w:bottom w:val="outset" w:color="auto" w:sz="4" w:space="0"/>
              <w:right w:val="outset" w:color="auto" w:sz="4" w:space="0"/>
            </w:tcBorders>
            <w:vAlign w:val="center"/>
          </w:tcPr>
          <w:p w14:paraId="4BE21DCA">
            <w:pPr>
              <w:jc w:val="right"/>
            </w:pPr>
            <w:r>
              <w:t>996,304,058.78</w:t>
            </w:r>
          </w:p>
        </w:tc>
      </w:tr>
      <w:tr w14:paraId="330196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0714C6D7">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客户存款和同业存放款项净增加额</w:t>
            </w:r>
          </w:p>
        </w:tc>
        <w:tc>
          <w:tcPr>
            <w:tcW w:w="866" w:type="pct"/>
            <w:tcBorders>
              <w:top w:val="outset" w:color="auto" w:sz="4" w:space="0"/>
              <w:left w:val="outset" w:color="auto" w:sz="4" w:space="0"/>
              <w:bottom w:val="outset" w:color="auto" w:sz="4" w:space="0"/>
              <w:right w:val="outset" w:color="auto" w:sz="4" w:space="0"/>
            </w:tcBorders>
            <w:vAlign w:val="center"/>
          </w:tcPr>
          <w:p w14:paraId="431CDAB5"/>
        </w:tc>
        <w:tc>
          <w:tcPr>
            <w:tcW w:w="1201" w:type="pct"/>
            <w:tcBorders>
              <w:top w:val="outset" w:color="auto" w:sz="4" w:space="0"/>
              <w:left w:val="outset" w:color="auto" w:sz="4" w:space="0"/>
              <w:bottom w:val="outset" w:color="auto" w:sz="4" w:space="0"/>
              <w:right w:val="outset" w:color="auto" w:sz="4" w:space="0"/>
            </w:tcBorders>
            <w:vAlign w:val="center"/>
          </w:tcPr>
          <w:p w14:paraId="44FF18DC">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0969983A">
            <w:pPr>
              <w:jc w:val="right"/>
            </w:pPr>
          </w:p>
        </w:tc>
      </w:tr>
      <w:tr w14:paraId="1803CA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5EF982E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向中央银行借款净增加额</w:t>
            </w:r>
          </w:p>
        </w:tc>
        <w:tc>
          <w:tcPr>
            <w:tcW w:w="866" w:type="pct"/>
            <w:tcBorders>
              <w:top w:val="outset" w:color="auto" w:sz="4" w:space="0"/>
              <w:left w:val="outset" w:color="auto" w:sz="4" w:space="0"/>
              <w:bottom w:val="outset" w:color="auto" w:sz="4" w:space="0"/>
              <w:right w:val="outset" w:color="auto" w:sz="4" w:space="0"/>
            </w:tcBorders>
            <w:vAlign w:val="center"/>
          </w:tcPr>
          <w:p w14:paraId="251EBB8B"/>
        </w:tc>
        <w:tc>
          <w:tcPr>
            <w:tcW w:w="1201" w:type="pct"/>
            <w:tcBorders>
              <w:top w:val="outset" w:color="auto" w:sz="4" w:space="0"/>
              <w:left w:val="outset" w:color="auto" w:sz="4" w:space="0"/>
              <w:bottom w:val="outset" w:color="auto" w:sz="4" w:space="0"/>
              <w:right w:val="outset" w:color="auto" w:sz="4" w:space="0"/>
            </w:tcBorders>
            <w:vAlign w:val="center"/>
          </w:tcPr>
          <w:p w14:paraId="270D9A1D">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4FDE2379">
            <w:pPr>
              <w:jc w:val="right"/>
            </w:pPr>
          </w:p>
        </w:tc>
      </w:tr>
      <w:tr w14:paraId="16F99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646D058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向其他金融机构拆入资金净增加额</w:t>
            </w:r>
          </w:p>
        </w:tc>
        <w:tc>
          <w:tcPr>
            <w:tcW w:w="866" w:type="pct"/>
            <w:tcBorders>
              <w:top w:val="outset" w:color="auto" w:sz="4" w:space="0"/>
              <w:left w:val="outset" w:color="auto" w:sz="4" w:space="0"/>
              <w:bottom w:val="outset" w:color="auto" w:sz="4" w:space="0"/>
              <w:right w:val="outset" w:color="auto" w:sz="4" w:space="0"/>
            </w:tcBorders>
            <w:vAlign w:val="center"/>
          </w:tcPr>
          <w:p w14:paraId="457B2F0B"/>
        </w:tc>
        <w:tc>
          <w:tcPr>
            <w:tcW w:w="1201" w:type="pct"/>
            <w:tcBorders>
              <w:top w:val="outset" w:color="auto" w:sz="4" w:space="0"/>
              <w:left w:val="outset" w:color="auto" w:sz="4" w:space="0"/>
              <w:bottom w:val="outset" w:color="auto" w:sz="4" w:space="0"/>
              <w:right w:val="outset" w:color="auto" w:sz="4" w:space="0"/>
            </w:tcBorders>
            <w:vAlign w:val="center"/>
          </w:tcPr>
          <w:p w14:paraId="21C888A6">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252EFF01">
            <w:pPr>
              <w:jc w:val="right"/>
            </w:pPr>
          </w:p>
        </w:tc>
      </w:tr>
      <w:tr w14:paraId="43A6CF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7FA6AE3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收到原保险合同保费取得的现金</w:t>
            </w:r>
          </w:p>
        </w:tc>
        <w:tc>
          <w:tcPr>
            <w:tcW w:w="866" w:type="pct"/>
            <w:tcBorders>
              <w:top w:val="outset" w:color="auto" w:sz="4" w:space="0"/>
              <w:left w:val="outset" w:color="auto" w:sz="4" w:space="0"/>
              <w:bottom w:val="outset" w:color="auto" w:sz="4" w:space="0"/>
              <w:right w:val="outset" w:color="auto" w:sz="4" w:space="0"/>
            </w:tcBorders>
            <w:vAlign w:val="center"/>
          </w:tcPr>
          <w:p w14:paraId="3875DF3A"/>
        </w:tc>
        <w:tc>
          <w:tcPr>
            <w:tcW w:w="1201" w:type="pct"/>
            <w:tcBorders>
              <w:top w:val="outset" w:color="auto" w:sz="4" w:space="0"/>
              <w:left w:val="outset" w:color="auto" w:sz="4" w:space="0"/>
              <w:bottom w:val="outset" w:color="auto" w:sz="4" w:space="0"/>
              <w:right w:val="outset" w:color="auto" w:sz="4" w:space="0"/>
            </w:tcBorders>
            <w:vAlign w:val="center"/>
          </w:tcPr>
          <w:p w14:paraId="1D0181EC">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5DE20A02">
            <w:pPr>
              <w:jc w:val="right"/>
            </w:pPr>
          </w:p>
        </w:tc>
      </w:tr>
      <w:tr w14:paraId="7FD60E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716BE8B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收到再保业务现金净额</w:t>
            </w:r>
          </w:p>
        </w:tc>
        <w:tc>
          <w:tcPr>
            <w:tcW w:w="866" w:type="pct"/>
            <w:tcBorders>
              <w:top w:val="outset" w:color="auto" w:sz="4" w:space="0"/>
              <w:left w:val="outset" w:color="auto" w:sz="4" w:space="0"/>
              <w:bottom w:val="outset" w:color="auto" w:sz="4" w:space="0"/>
              <w:right w:val="outset" w:color="auto" w:sz="4" w:space="0"/>
            </w:tcBorders>
            <w:vAlign w:val="center"/>
          </w:tcPr>
          <w:p w14:paraId="53CB4DE1"/>
        </w:tc>
        <w:tc>
          <w:tcPr>
            <w:tcW w:w="1201" w:type="pct"/>
            <w:tcBorders>
              <w:top w:val="outset" w:color="auto" w:sz="4" w:space="0"/>
              <w:left w:val="outset" w:color="auto" w:sz="4" w:space="0"/>
              <w:bottom w:val="outset" w:color="auto" w:sz="4" w:space="0"/>
              <w:right w:val="outset" w:color="auto" w:sz="4" w:space="0"/>
            </w:tcBorders>
            <w:vAlign w:val="center"/>
          </w:tcPr>
          <w:p w14:paraId="3977A0C2">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3D5EFB28">
            <w:pPr>
              <w:jc w:val="right"/>
            </w:pPr>
          </w:p>
        </w:tc>
      </w:tr>
      <w:tr w14:paraId="3CA228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51FF4C8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保户储金及投资款净增加额</w:t>
            </w:r>
          </w:p>
        </w:tc>
        <w:tc>
          <w:tcPr>
            <w:tcW w:w="866" w:type="pct"/>
            <w:tcBorders>
              <w:top w:val="outset" w:color="auto" w:sz="4" w:space="0"/>
              <w:left w:val="outset" w:color="auto" w:sz="4" w:space="0"/>
              <w:bottom w:val="outset" w:color="auto" w:sz="4" w:space="0"/>
              <w:right w:val="outset" w:color="auto" w:sz="4" w:space="0"/>
            </w:tcBorders>
            <w:vAlign w:val="center"/>
          </w:tcPr>
          <w:p w14:paraId="4A2702C0"/>
        </w:tc>
        <w:tc>
          <w:tcPr>
            <w:tcW w:w="1201" w:type="pct"/>
            <w:tcBorders>
              <w:top w:val="outset" w:color="auto" w:sz="4" w:space="0"/>
              <w:left w:val="outset" w:color="auto" w:sz="4" w:space="0"/>
              <w:bottom w:val="outset" w:color="auto" w:sz="4" w:space="0"/>
              <w:right w:val="outset" w:color="auto" w:sz="4" w:space="0"/>
            </w:tcBorders>
            <w:vAlign w:val="center"/>
          </w:tcPr>
          <w:p w14:paraId="55A14C53">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27F9FE6B">
            <w:pPr>
              <w:jc w:val="right"/>
            </w:pPr>
          </w:p>
        </w:tc>
      </w:tr>
      <w:tr w14:paraId="3F7B90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34037FA9">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收取利息、手续费及佣金的现金</w:t>
            </w:r>
          </w:p>
        </w:tc>
        <w:tc>
          <w:tcPr>
            <w:tcW w:w="866" w:type="pct"/>
            <w:tcBorders>
              <w:top w:val="outset" w:color="auto" w:sz="4" w:space="0"/>
              <w:left w:val="outset" w:color="auto" w:sz="4" w:space="0"/>
              <w:bottom w:val="outset" w:color="auto" w:sz="4" w:space="0"/>
              <w:right w:val="outset" w:color="auto" w:sz="4" w:space="0"/>
            </w:tcBorders>
            <w:vAlign w:val="center"/>
          </w:tcPr>
          <w:p w14:paraId="05454BAB"/>
        </w:tc>
        <w:tc>
          <w:tcPr>
            <w:tcW w:w="1201" w:type="pct"/>
            <w:tcBorders>
              <w:top w:val="outset" w:color="auto" w:sz="4" w:space="0"/>
              <w:left w:val="outset" w:color="auto" w:sz="4" w:space="0"/>
              <w:bottom w:val="outset" w:color="auto" w:sz="4" w:space="0"/>
              <w:right w:val="outset" w:color="auto" w:sz="4" w:space="0"/>
            </w:tcBorders>
            <w:vAlign w:val="center"/>
          </w:tcPr>
          <w:p w14:paraId="4E74875B">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67799CA7">
            <w:pPr>
              <w:jc w:val="right"/>
            </w:pPr>
          </w:p>
        </w:tc>
      </w:tr>
      <w:tr w14:paraId="18809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025FA22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拆入资金净增加额</w:t>
            </w:r>
          </w:p>
        </w:tc>
        <w:tc>
          <w:tcPr>
            <w:tcW w:w="866" w:type="pct"/>
            <w:tcBorders>
              <w:top w:val="outset" w:color="auto" w:sz="4" w:space="0"/>
              <w:left w:val="outset" w:color="auto" w:sz="4" w:space="0"/>
              <w:bottom w:val="outset" w:color="auto" w:sz="4" w:space="0"/>
              <w:right w:val="outset" w:color="auto" w:sz="4" w:space="0"/>
            </w:tcBorders>
            <w:vAlign w:val="center"/>
          </w:tcPr>
          <w:p w14:paraId="29DD5B43"/>
        </w:tc>
        <w:tc>
          <w:tcPr>
            <w:tcW w:w="1201" w:type="pct"/>
            <w:tcBorders>
              <w:top w:val="outset" w:color="auto" w:sz="4" w:space="0"/>
              <w:left w:val="outset" w:color="auto" w:sz="4" w:space="0"/>
              <w:bottom w:val="outset" w:color="auto" w:sz="4" w:space="0"/>
              <w:right w:val="outset" w:color="auto" w:sz="4" w:space="0"/>
            </w:tcBorders>
            <w:vAlign w:val="center"/>
          </w:tcPr>
          <w:p w14:paraId="2C02D4B0">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03A62907">
            <w:pPr>
              <w:jc w:val="right"/>
            </w:pPr>
          </w:p>
        </w:tc>
      </w:tr>
      <w:tr w14:paraId="183595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173F6569">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回购业务资金净增加额</w:t>
            </w:r>
          </w:p>
        </w:tc>
        <w:tc>
          <w:tcPr>
            <w:tcW w:w="866" w:type="pct"/>
            <w:tcBorders>
              <w:top w:val="outset" w:color="auto" w:sz="4" w:space="0"/>
              <w:left w:val="outset" w:color="auto" w:sz="4" w:space="0"/>
              <w:bottom w:val="outset" w:color="auto" w:sz="4" w:space="0"/>
              <w:right w:val="outset" w:color="auto" w:sz="4" w:space="0"/>
            </w:tcBorders>
            <w:vAlign w:val="center"/>
          </w:tcPr>
          <w:p w14:paraId="76222051"/>
        </w:tc>
        <w:tc>
          <w:tcPr>
            <w:tcW w:w="1201" w:type="pct"/>
            <w:tcBorders>
              <w:top w:val="outset" w:color="auto" w:sz="4" w:space="0"/>
              <w:left w:val="outset" w:color="auto" w:sz="4" w:space="0"/>
              <w:bottom w:val="outset" w:color="auto" w:sz="4" w:space="0"/>
              <w:right w:val="outset" w:color="auto" w:sz="4" w:space="0"/>
            </w:tcBorders>
            <w:vAlign w:val="center"/>
          </w:tcPr>
          <w:p w14:paraId="163EC5F4">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013CE54E">
            <w:pPr>
              <w:jc w:val="right"/>
            </w:pPr>
          </w:p>
        </w:tc>
      </w:tr>
      <w:tr w14:paraId="35233B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5ABA5FD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代理买卖证券收到的现金净额</w:t>
            </w:r>
          </w:p>
        </w:tc>
        <w:tc>
          <w:tcPr>
            <w:tcW w:w="866" w:type="pct"/>
            <w:tcBorders>
              <w:top w:val="outset" w:color="auto" w:sz="4" w:space="0"/>
              <w:left w:val="outset" w:color="auto" w:sz="4" w:space="0"/>
              <w:bottom w:val="outset" w:color="auto" w:sz="4" w:space="0"/>
              <w:right w:val="outset" w:color="auto" w:sz="4" w:space="0"/>
            </w:tcBorders>
            <w:vAlign w:val="center"/>
          </w:tcPr>
          <w:p w14:paraId="3AFA8C7C"/>
        </w:tc>
        <w:tc>
          <w:tcPr>
            <w:tcW w:w="1201" w:type="pct"/>
            <w:tcBorders>
              <w:top w:val="outset" w:color="auto" w:sz="4" w:space="0"/>
              <w:left w:val="outset" w:color="auto" w:sz="4" w:space="0"/>
              <w:bottom w:val="outset" w:color="auto" w:sz="4" w:space="0"/>
              <w:right w:val="outset" w:color="auto" w:sz="4" w:space="0"/>
            </w:tcBorders>
            <w:vAlign w:val="center"/>
          </w:tcPr>
          <w:p w14:paraId="38EC5201">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5D12CBD9">
            <w:pPr>
              <w:jc w:val="right"/>
            </w:pPr>
          </w:p>
        </w:tc>
      </w:tr>
      <w:tr w14:paraId="17BF8A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23B6CD4C">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收到的税费返还</w:t>
            </w:r>
          </w:p>
        </w:tc>
        <w:tc>
          <w:tcPr>
            <w:tcW w:w="866" w:type="pct"/>
            <w:tcBorders>
              <w:top w:val="outset" w:color="auto" w:sz="4" w:space="0"/>
              <w:left w:val="outset" w:color="auto" w:sz="4" w:space="0"/>
              <w:bottom w:val="outset" w:color="auto" w:sz="4" w:space="0"/>
              <w:right w:val="outset" w:color="auto" w:sz="4" w:space="0"/>
            </w:tcBorders>
            <w:vAlign w:val="center"/>
          </w:tcPr>
          <w:p w14:paraId="36EEB314"/>
        </w:tc>
        <w:tc>
          <w:tcPr>
            <w:tcW w:w="1201" w:type="pct"/>
            <w:tcBorders>
              <w:top w:val="outset" w:color="auto" w:sz="4" w:space="0"/>
              <w:left w:val="outset" w:color="auto" w:sz="4" w:space="0"/>
              <w:bottom w:val="outset" w:color="auto" w:sz="4" w:space="0"/>
              <w:right w:val="outset" w:color="auto" w:sz="4" w:space="0"/>
            </w:tcBorders>
            <w:vAlign w:val="center"/>
          </w:tcPr>
          <w:p w14:paraId="7E58D144">
            <w:pPr>
              <w:jc w:val="right"/>
            </w:pPr>
            <w:r>
              <w:t>16,337,236.20</w:t>
            </w:r>
          </w:p>
        </w:tc>
        <w:tc>
          <w:tcPr>
            <w:tcW w:w="1197" w:type="pct"/>
            <w:tcBorders>
              <w:top w:val="outset" w:color="auto" w:sz="4" w:space="0"/>
              <w:left w:val="outset" w:color="auto" w:sz="4" w:space="0"/>
              <w:bottom w:val="outset" w:color="auto" w:sz="4" w:space="0"/>
              <w:right w:val="outset" w:color="auto" w:sz="4" w:space="0"/>
            </w:tcBorders>
            <w:vAlign w:val="center"/>
          </w:tcPr>
          <w:p w14:paraId="30611717">
            <w:pPr>
              <w:jc w:val="right"/>
            </w:pPr>
            <w:r>
              <w:t>12,895,148.39</w:t>
            </w:r>
          </w:p>
        </w:tc>
      </w:tr>
      <w:tr w14:paraId="76C331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2A39ABFB">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收到其他与经营活动有关的现金</w:t>
            </w:r>
          </w:p>
        </w:tc>
        <w:tc>
          <w:tcPr>
            <w:tcW w:w="866" w:type="pct"/>
            <w:tcBorders>
              <w:top w:val="outset" w:color="auto" w:sz="4" w:space="0"/>
              <w:left w:val="outset" w:color="auto" w:sz="4" w:space="0"/>
              <w:bottom w:val="outset" w:color="auto" w:sz="4" w:space="0"/>
              <w:right w:val="outset" w:color="auto" w:sz="4" w:space="0"/>
            </w:tcBorders>
            <w:vAlign w:val="center"/>
          </w:tcPr>
          <w:p w14:paraId="01878EAF"/>
        </w:tc>
        <w:tc>
          <w:tcPr>
            <w:tcW w:w="1201" w:type="pct"/>
            <w:tcBorders>
              <w:top w:val="outset" w:color="auto" w:sz="4" w:space="0"/>
              <w:left w:val="outset" w:color="auto" w:sz="4" w:space="0"/>
              <w:bottom w:val="outset" w:color="auto" w:sz="4" w:space="0"/>
              <w:right w:val="outset" w:color="auto" w:sz="4" w:space="0"/>
            </w:tcBorders>
            <w:vAlign w:val="center"/>
          </w:tcPr>
          <w:p w14:paraId="48798286">
            <w:pPr>
              <w:jc w:val="right"/>
            </w:pPr>
            <w:r>
              <w:t>17,445,468.75</w:t>
            </w:r>
          </w:p>
        </w:tc>
        <w:tc>
          <w:tcPr>
            <w:tcW w:w="1197" w:type="pct"/>
            <w:tcBorders>
              <w:top w:val="outset" w:color="auto" w:sz="4" w:space="0"/>
              <w:left w:val="outset" w:color="auto" w:sz="4" w:space="0"/>
              <w:bottom w:val="outset" w:color="auto" w:sz="4" w:space="0"/>
              <w:right w:val="outset" w:color="auto" w:sz="4" w:space="0"/>
            </w:tcBorders>
            <w:vAlign w:val="center"/>
          </w:tcPr>
          <w:p w14:paraId="78913C4C">
            <w:pPr>
              <w:jc w:val="right"/>
            </w:pPr>
            <w:r>
              <w:t>1,975,195.52</w:t>
            </w:r>
          </w:p>
        </w:tc>
      </w:tr>
      <w:tr w14:paraId="28765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39478DB9">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经营活动现金流入小计</w:t>
            </w:r>
          </w:p>
        </w:tc>
        <w:tc>
          <w:tcPr>
            <w:tcW w:w="866" w:type="pct"/>
            <w:tcBorders>
              <w:top w:val="outset" w:color="auto" w:sz="4" w:space="0"/>
              <w:left w:val="outset" w:color="auto" w:sz="4" w:space="0"/>
              <w:bottom w:val="outset" w:color="auto" w:sz="4" w:space="0"/>
              <w:right w:val="outset" w:color="auto" w:sz="4" w:space="0"/>
            </w:tcBorders>
            <w:vAlign w:val="center"/>
          </w:tcPr>
          <w:p w14:paraId="0914CCF3"/>
        </w:tc>
        <w:tc>
          <w:tcPr>
            <w:tcW w:w="1201" w:type="pct"/>
            <w:tcBorders>
              <w:top w:val="outset" w:color="auto" w:sz="4" w:space="0"/>
              <w:left w:val="outset" w:color="auto" w:sz="4" w:space="0"/>
              <w:bottom w:val="outset" w:color="auto" w:sz="4" w:space="0"/>
              <w:right w:val="outset" w:color="auto" w:sz="4" w:space="0"/>
            </w:tcBorders>
            <w:vAlign w:val="center"/>
          </w:tcPr>
          <w:p w14:paraId="7E07387A">
            <w:pPr>
              <w:jc w:val="right"/>
            </w:pPr>
            <w:r>
              <w:t>949,010,709.71</w:t>
            </w:r>
          </w:p>
        </w:tc>
        <w:tc>
          <w:tcPr>
            <w:tcW w:w="1197" w:type="pct"/>
            <w:tcBorders>
              <w:top w:val="outset" w:color="auto" w:sz="4" w:space="0"/>
              <w:left w:val="outset" w:color="auto" w:sz="4" w:space="0"/>
              <w:bottom w:val="outset" w:color="auto" w:sz="4" w:space="0"/>
              <w:right w:val="outset" w:color="auto" w:sz="4" w:space="0"/>
            </w:tcBorders>
            <w:vAlign w:val="center"/>
          </w:tcPr>
          <w:p w14:paraId="760E94FB">
            <w:pPr>
              <w:jc w:val="right"/>
            </w:pPr>
            <w:r>
              <w:t>1,011,174,402.69</w:t>
            </w:r>
          </w:p>
        </w:tc>
      </w:tr>
      <w:tr w14:paraId="07D717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5F74B0D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购买商品、接受劳务支付的现金</w:t>
            </w:r>
          </w:p>
        </w:tc>
        <w:tc>
          <w:tcPr>
            <w:tcW w:w="866" w:type="pct"/>
            <w:tcBorders>
              <w:top w:val="outset" w:color="auto" w:sz="4" w:space="0"/>
              <w:left w:val="outset" w:color="auto" w:sz="4" w:space="0"/>
              <w:bottom w:val="outset" w:color="auto" w:sz="4" w:space="0"/>
              <w:right w:val="outset" w:color="auto" w:sz="4" w:space="0"/>
            </w:tcBorders>
            <w:vAlign w:val="center"/>
          </w:tcPr>
          <w:p w14:paraId="1AB218C1"/>
        </w:tc>
        <w:tc>
          <w:tcPr>
            <w:tcW w:w="1201" w:type="pct"/>
            <w:tcBorders>
              <w:top w:val="outset" w:color="auto" w:sz="4" w:space="0"/>
              <w:left w:val="outset" w:color="auto" w:sz="4" w:space="0"/>
              <w:bottom w:val="outset" w:color="auto" w:sz="4" w:space="0"/>
              <w:right w:val="outset" w:color="auto" w:sz="4" w:space="0"/>
            </w:tcBorders>
            <w:vAlign w:val="center"/>
          </w:tcPr>
          <w:p w14:paraId="3D6C715D">
            <w:pPr>
              <w:jc w:val="right"/>
            </w:pPr>
            <w:r>
              <w:t>669,641,707.39</w:t>
            </w:r>
          </w:p>
        </w:tc>
        <w:tc>
          <w:tcPr>
            <w:tcW w:w="1197" w:type="pct"/>
            <w:tcBorders>
              <w:top w:val="outset" w:color="auto" w:sz="4" w:space="0"/>
              <w:left w:val="outset" w:color="auto" w:sz="4" w:space="0"/>
              <w:bottom w:val="outset" w:color="auto" w:sz="4" w:space="0"/>
              <w:right w:val="outset" w:color="auto" w:sz="4" w:space="0"/>
            </w:tcBorders>
            <w:vAlign w:val="center"/>
          </w:tcPr>
          <w:p w14:paraId="0445E10B">
            <w:pPr>
              <w:jc w:val="right"/>
            </w:pPr>
            <w:r>
              <w:t>775,229,361.97</w:t>
            </w:r>
          </w:p>
        </w:tc>
      </w:tr>
      <w:tr w14:paraId="2A6B53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61B9AF4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客户贷款及垫款净增加额</w:t>
            </w:r>
          </w:p>
        </w:tc>
        <w:tc>
          <w:tcPr>
            <w:tcW w:w="866" w:type="pct"/>
            <w:tcBorders>
              <w:top w:val="outset" w:color="auto" w:sz="4" w:space="0"/>
              <w:left w:val="outset" w:color="auto" w:sz="4" w:space="0"/>
              <w:bottom w:val="outset" w:color="auto" w:sz="4" w:space="0"/>
              <w:right w:val="outset" w:color="auto" w:sz="4" w:space="0"/>
            </w:tcBorders>
            <w:vAlign w:val="center"/>
          </w:tcPr>
          <w:p w14:paraId="2B86F8E9"/>
        </w:tc>
        <w:tc>
          <w:tcPr>
            <w:tcW w:w="1201" w:type="pct"/>
            <w:tcBorders>
              <w:top w:val="outset" w:color="auto" w:sz="4" w:space="0"/>
              <w:left w:val="outset" w:color="auto" w:sz="4" w:space="0"/>
              <w:bottom w:val="outset" w:color="auto" w:sz="4" w:space="0"/>
              <w:right w:val="outset" w:color="auto" w:sz="4" w:space="0"/>
            </w:tcBorders>
            <w:vAlign w:val="center"/>
          </w:tcPr>
          <w:p w14:paraId="7407D79C">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6BE77B1F">
            <w:pPr>
              <w:jc w:val="right"/>
            </w:pPr>
          </w:p>
        </w:tc>
      </w:tr>
      <w:tr w14:paraId="25ABBA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726BECC9">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存放中央银行和同业款项净增加额</w:t>
            </w:r>
          </w:p>
        </w:tc>
        <w:tc>
          <w:tcPr>
            <w:tcW w:w="866" w:type="pct"/>
            <w:tcBorders>
              <w:top w:val="outset" w:color="auto" w:sz="4" w:space="0"/>
              <w:left w:val="outset" w:color="auto" w:sz="4" w:space="0"/>
              <w:bottom w:val="outset" w:color="auto" w:sz="4" w:space="0"/>
              <w:right w:val="outset" w:color="auto" w:sz="4" w:space="0"/>
            </w:tcBorders>
            <w:vAlign w:val="center"/>
          </w:tcPr>
          <w:p w14:paraId="3167CEB6"/>
        </w:tc>
        <w:tc>
          <w:tcPr>
            <w:tcW w:w="1201" w:type="pct"/>
            <w:tcBorders>
              <w:top w:val="outset" w:color="auto" w:sz="4" w:space="0"/>
              <w:left w:val="outset" w:color="auto" w:sz="4" w:space="0"/>
              <w:bottom w:val="outset" w:color="auto" w:sz="4" w:space="0"/>
              <w:right w:val="outset" w:color="auto" w:sz="4" w:space="0"/>
            </w:tcBorders>
            <w:vAlign w:val="center"/>
          </w:tcPr>
          <w:p w14:paraId="7671E0F9">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09D0ADE4">
            <w:pPr>
              <w:jc w:val="right"/>
            </w:pPr>
          </w:p>
        </w:tc>
      </w:tr>
      <w:tr w14:paraId="6B575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480B785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支付原保险合同赔付款项的现金</w:t>
            </w:r>
          </w:p>
        </w:tc>
        <w:tc>
          <w:tcPr>
            <w:tcW w:w="866" w:type="pct"/>
            <w:tcBorders>
              <w:top w:val="outset" w:color="auto" w:sz="4" w:space="0"/>
              <w:left w:val="outset" w:color="auto" w:sz="4" w:space="0"/>
              <w:bottom w:val="outset" w:color="auto" w:sz="4" w:space="0"/>
              <w:right w:val="outset" w:color="auto" w:sz="4" w:space="0"/>
            </w:tcBorders>
            <w:vAlign w:val="center"/>
          </w:tcPr>
          <w:p w14:paraId="7B14F32D"/>
        </w:tc>
        <w:tc>
          <w:tcPr>
            <w:tcW w:w="1201" w:type="pct"/>
            <w:tcBorders>
              <w:top w:val="outset" w:color="auto" w:sz="4" w:space="0"/>
              <w:left w:val="outset" w:color="auto" w:sz="4" w:space="0"/>
              <w:bottom w:val="outset" w:color="auto" w:sz="4" w:space="0"/>
              <w:right w:val="outset" w:color="auto" w:sz="4" w:space="0"/>
            </w:tcBorders>
            <w:vAlign w:val="center"/>
          </w:tcPr>
          <w:p w14:paraId="6DC2076C">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47A3A0A9">
            <w:pPr>
              <w:jc w:val="right"/>
            </w:pPr>
          </w:p>
        </w:tc>
      </w:tr>
      <w:tr w14:paraId="3997EB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10FB344C">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拆出资金净增加额</w:t>
            </w:r>
          </w:p>
        </w:tc>
        <w:tc>
          <w:tcPr>
            <w:tcW w:w="866" w:type="pct"/>
            <w:tcBorders>
              <w:top w:val="outset" w:color="auto" w:sz="4" w:space="0"/>
              <w:left w:val="outset" w:color="auto" w:sz="4" w:space="0"/>
              <w:bottom w:val="outset" w:color="auto" w:sz="4" w:space="0"/>
              <w:right w:val="outset" w:color="auto" w:sz="4" w:space="0"/>
            </w:tcBorders>
            <w:vAlign w:val="center"/>
          </w:tcPr>
          <w:p w14:paraId="10120414"/>
        </w:tc>
        <w:tc>
          <w:tcPr>
            <w:tcW w:w="1201" w:type="pct"/>
            <w:tcBorders>
              <w:top w:val="outset" w:color="auto" w:sz="4" w:space="0"/>
              <w:left w:val="outset" w:color="auto" w:sz="4" w:space="0"/>
              <w:bottom w:val="outset" w:color="auto" w:sz="4" w:space="0"/>
              <w:right w:val="outset" w:color="auto" w:sz="4" w:space="0"/>
            </w:tcBorders>
            <w:vAlign w:val="center"/>
          </w:tcPr>
          <w:p w14:paraId="1E333D26">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2EBD9207">
            <w:pPr>
              <w:jc w:val="right"/>
            </w:pPr>
          </w:p>
        </w:tc>
      </w:tr>
      <w:tr w14:paraId="1565F5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142D19F1">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支付利息、手续费及佣金的现金</w:t>
            </w:r>
          </w:p>
        </w:tc>
        <w:tc>
          <w:tcPr>
            <w:tcW w:w="866" w:type="pct"/>
            <w:tcBorders>
              <w:top w:val="outset" w:color="auto" w:sz="4" w:space="0"/>
              <w:left w:val="outset" w:color="auto" w:sz="4" w:space="0"/>
              <w:bottom w:val="outset" w:color="auto" w:sz="4" w:space="0"/>
              <w:right w:val="outset" w:color="auto" w:sz="4" w:space="0"/>
            </w:tcBorders>
            <w:vAlign w:val="center"/>
          </w:tcPr>
          <w:p w14:paraId="2148ED26"/>
        </w:tc>
        <w:tc>
          <w:tcPr>
            <w:tcW w:w="1201" w:type="pct"/>
            <w:tcBorders>
              <w:top w:val="outset" w:color="auto" w:sz="4" w:space="0"/>
              <w:left w:val="outset" w:color="auto" w:sz="4" w:space="0"/>
              <w:bottom w:val="outset" w:color="auto" w:sz="4" w:space="0"/>
              <w:right w:val="outset" w:color="auto" w:sz="4" w:space="0"/>
            </w:tcBorders>
            <w:vAlign w:val="center"/>
          </w:tcPr>
          <w:p w14:paraId="05BE7FEF">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783E9EFB">
            <w:pPr>
              <w:jc w:val="right"/>
            </w:pPr>
          </w:p>
        </w:tc>
      </w:tr>
      <w:tr w14:paraId="41827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0374D78C">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支付保单红利的现金</w:t>
            </w:r>
          </w:p>
        </w:tc>
        <w:tc>
          <w:tcPr>
            <w:tcW w:w="866" w:type="pct"/>
            <w:tcBorders>
              <w:top w:val="outset" w:color="auto" w:sz="4" w:space="0"/>
              <w:left w:val="outset" w:color="auto" w:sz="4" w:space="0"/>
              <w:bottom w:val="outset" w:color="auto" w:sz="4" w:space="0"/>
              <w:right w:val="outset" w:color="auto" w:sz="4" w:space="0"/>
            </w:tcBorders>
            <w:vAlign w:val="center"/>
          </w:tcPr>
          <w:p w14:paraId="347DC178"/>
        </w:tc>
        <w:tc>
          <w:tcPr>
            <w:tcW w:w="1201" w:type="pct"/>
            <w:tcBorders>
              <w:top w:val="outset" w:color="auto" w:sz="4" w:space="0"/>
              <w:left w:val="outset" w:color="auto" w:sz="4" w:space="0"/>
              <w:bottom w:val="outset" w:color="auto" w:sz="4" w:space="0"/>
              <w:right w:val="outset" w:color="auto" w:sz="4" w:space="0"/>
            </w:tcBorders>
            <w:vAlign w:val="center"/>
          </w:tcPr>
          <w:p w14:paraId="5773E77E">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1484B0E1">
            <w:pPr>
              <w:jc w:val="right"/>
            </w:pPr>
          </w:p>
        </w:tc>
      </w:tr>
      <w:tr w14:paraId="7DD2B2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44CEF22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支付给职工及为职工支付的现金</w:t>
            </w:r>
          </w:p>
        </w:tc>
        <w:tc>
          <w:tcPr>
            <w:tcW w:w="866" w:type="pct"/>
            <w:tcBorders>
              <w:top w:val="outset" w:color="auto" w:sz="4" w:space="0"/>
              <w:left w:val="outset" w:color="auto" w:sz="4" w:space="0"/>
              <w:bottom w:val="outset" w:color="auto" w:sz="4" w:space="0"/>
              <w:right w:val="outset" w:color="auto" w:sz="4" w:space="0"/>
            </w:tcBorders>
            <w:vAlign w:val="center"/>
          </w:tcPr>
          <w:p w14:paraId="522D1072"/>
        </w:tc>
        <w:tc>
          <w:tcPr>
            <w:tcW w:w="1201" w:type="pct"/>
            <w:tcBorders>
              <w:top w:val="outset" w:color="auto" w:sz="4" w:space="0"/>
              <w:left w:val="outset" w:color="auto" w:sz="4" w:space="0"/>
              <w:bottom w:val="outset" w:color="auto" w:sz="4" w:space="0"/>
              <w:right w:val="outset" w:color="auto" w:sz="4" w:space="0"/>
            </w:tcBorders>
            <w:vAlign w:val="center"/>
          </w:tcPr>
          <w:p w14:paraId="25DCC16E">
            <w:pPr>
              <w:jc w:val="right"/>
            </w:pPr>
            <w:r>
              <w:t>100,456,669.70</w:t>
            </w:r>
          </w:p>
        </w:tc>
        <w:tc>
          <w:tcPr>
            <w:tcW w:w="1197" w:type="pct"/>
            <w:tcBorders>
              <w:top w:val="outset" w:color="auto" w:sz="4" w:space="0"/>
              <w:left w:val="outset" w:color="auto" w:sz="4" w:space="0"/>
              <w:bottom w:val="outset" w:color="auto" w:sz="4" w:space="0"/>
              <w:right w:val="outset" w:color="auto" w:sz="4" w:space="0"/>
            </w:tcBorders>
            <w:vAlign w:val="center"/>
          </w:tcPr>
          <w:p w14:paraId="20F54E89">
            <w:pPr>
              <w:jc w:val="right"/>
            </w:pPr>
            <w:r>
              <w:t>107,804,735.88</w:t>
            </w:r>
          </w:p>
        </w:tc>
      </w:tr>
      <w:tr w14:paraId="21A3D3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171FD5C1">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支付的各项税费</w:t>
            </w:r>
          </w:p>
        </w:tc>
        <w:tc>
          <w:tcPr>
            <w:tcW w:w="866" w:type="pct"/>
            <w:tcBorders>
              <w:top w:val="outset" w:color="auto" w:sz="4" w:space="0"/>
              <w:left w:val="outset" w:color="auto" w:sz="4" w:space="0"/>
              <w:bottom w:val="outset" w:color="auto" w:sz="4" w:space="0"/>
              <w:right w:val="outset" w:color="auto" w:sz="4" w:space="0"/>
            </w:tcBorders>
            <w:vAlign w:val="center"/>
          </w:tcPr>
          <w:p w14:paraId="3B57FF8A"/>
        </w:tc>
        <w:tc>
          <w:tcPr>
            <w:tcW w:w="1201" w:type="pct"/>
            <w:tcBorders>
              <w:top w:val="outset" w:color="auto" w:sz="4" w:space="0"/>
              <w:left w:val="outset" w:color="auto" w:sz="4" w:space="0"/>
              <w:bottom w:val="outset" w:color="auto" w:sz="4" w:space="0"/>
              <w:right w:val="outset" w:color="auto" w:sz="4" w:space="0"/>
            </w:tcBorders>
            <w:vAlign w:val="center"/>
          </w:tcPr>
          <w:p w14:paraId="39F33457">
            <w:pPr>
              <w:jc w:val="right"/>
            </w:pPr>
            <w:r>
              <w:t>8,118,605.81</w:t>
            </w:r>
          </w:p>
        </w:tc>
        <w:tc>
          <w:tcPr>
            <w:tcW w:w="1197" w:type="pct"/>
            <w:tcBorders>
              <w:top w:val="outset" w:color="auto" w:sz="4" w:space="0"/>
              <w:left w:val="outset" w:color="auto" w:sz="4" w:space="0"/>
              <w:bottom w:val="outset" w:color="auto" w:sz="4" w:space="0"/>
              <w:right w:val="outset" w:color="auto" w:sz="4" w:space="0"/>
            </w:tcBorders>
            <w:vAlign w:val="center"/>
          </w:tcPr>
          <w:p w14:paraId="422BB3F7">
            <w:pPr>
              <w:jc w:val="right"/>
            </w:pPr>
            <w:r>
              <w:t>10,153,303.48</w:t>
            </w:r>
          </w:p>
        </w:tc>
      </w:tr>
      <w:tr w14:paraId="294CFA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24FDC3D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支付其他与经营活动有关的现金</w:t>
            </w:r>
          </w:p>
        </w:tc>
        <w:tc>
          <w:tcPr>
            <w:tcW w:w="866" w:type="pct"/>
            <w:tcBorders>
              <w:top w:val="outset" w:color="auto" w:sz="4" w:space="0"/>
              <w:left w:val="outset" w:color="auto" w:sz="4" w:space="0"/>
              <w:bottom w:val="outset" w:color="auto" w:sz="4" w:space="0"/>
              <w:right w:val="outset" w:color="auto" w:sz="4" w:space="0"/>
            </w:tcBorders>
            <w:vAlign w:val="center"/>
          </w:tcPr>
          <w:p w14:paraId="364DBC1C"/>
        </w:tc>
        <w:tc>
          <w:tcPr>
            <w:tcW w:w="1201" w:type="pct"/>
            <w:tcBorders>
              <w:top w:val="outset" w:color="auto" w:sz="4" w:space="0"/>
              <w:left w:val="outset" w:color="auto" w:sz="4" w:space="0"/>
              <w:bottom w:val="outset" w:color="auto" w:sz="4" w:space="0"/>
              <w:right w:val="outset" w:color="auto" w:sz="4" w:space="0"/>
            </w:tcBorders>
            <w:vAlign w:val="center"/>
          </w:tcPr>
          <w:p w14:paraId="5F3644D4">
            <w:pPr>
              <w:jc w:val="right"/>
            </w:pPr>
            <w:r>
              <w:t>63,124,304.37</w:t>
            </w:r>
          </w:p>
        </w:tc>
        <w:tc>
          <w:tcPr>
            <w:tcW w:w="1197" w:type="pct"/>
            <w:tcBorders>
              <w:top w:val="outset" w:color="auto" w:sz="4" w:space="0"/>
              <w:left w:val="outset" w:color="auto" w:sz="4" w:space="0"/>
              <w:bottom w:val="outset" w:color="auto" w:sz="4" w:space="0"/>
              <w:right w:val="outset" w:color="auto" w:sz="4" w:space="0"/>
            </w:tcBorders>
            <w:vAlign w:val="center"/>
          </w:tcPr>
          <w:p w14:paraId="3FFB5DDF">
            <w:pPr>
              <w:jc w:val="right"/>
            </w:pPr>
            <w:r>
              <w:t>58,733,369.94</w:t>
            </w:r>
          </w:p>
        </w:tc>
      </w:tr>
      <w:tr w14:paraId="5B6166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092817C1">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经营活动现金流出小计</w:t>
            </w:r>
          </w:p>
        </w:tc>
        <w:tc>
          <w:tcPr>
            <w:tcW w:w="866" w:type="pct"/>
            <w:tcBorders>
              <w:top w:val="outset" w:color="auto" w:sz="4" w:space="0"/>
              <w:left w:val="outset" w:color="auto" w:sz="4" w:space="0"/>
              <w:bottom w:val="outset" w:color="auto" w:sz="4" w:space="0"/>
              <w:right w:val="outset" w:color="auto" w:sz="4" w:space="0"/>
            </w:tcBorders>
            <w:vAlign w:val="center"/>
          </w:tcPr>
          <w:p w14:paraId="6223FFAF"/>
        </w:tc>
        <w:tc>
          <w:tcPr>
            <w:tcW w:w="1201" w:type="pct"/>
            <w:tcBorders>
              <w:top w:val="outset" w:color="auto" w:sz="4" w:space="0"/>
              <w:left w:val="outset" w:color="auto" w:sz="4" w:space="0"/>
              <w:bottom w:val="outset" w:color="auto" w:sz="4" w:space="0"/>
              <w:right w:val="outset" w:color="auto" w:sz="4" w:space="0"/>
            </w:tcBorders>
            <w:vAlign w:val="center"/>
          </w:tcPr>
          <w:p w14:paraId="1A14BBBC">
            <w:pPr>
              <w:jc w:val="right"/>
            </w:pPr>
            <w:r>
              <w:t>841,341,287.27</w:t>
            </w:r>
          </w:p>
        </w:tc>
        <w:tc>
          <w:tcPr>
            <w:tcW w:w="1197" w:type="pct"/>
            <w:tcBorders>
              <w:top w:val="outset" w:color="auto" w:sz="4" w:space="0"/>
              <w:left w:val="outset" w:color="auto" w:sz="4" w:space="0"/>
              <w:bottom w:val="outset" w:color="auto" w:sz="4" w:space="0"/>
              <w:right w:val="outset" w:color="auto" w:sz="4" w:space="0"/>
            </w:tcBorders>
            <w:vAlign w:val="center"/>
          </w:tcPr>
          <w:p w14:paraId="2872E900">
            <w:pPr>
              <w:jc w:val="right"/>
            </w:pPr>
            <w:r>
              <w:t>951,920,771.27</w:t>
            </w:r>
          </w:p>
        </w:tc>
      </w:tr>
      <w:tr w14:paraId="6246CF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429FDA11">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经营活动产生的现金流量净额</w:t>
            </w:r>
          </w:p>
        </w:tc>
        <w:tc>
          <w:tcPr>
            <w:tcW w:w="866" w:type="pct"/>
            <w:tcBorders>
              <w:top w:val="outset" w:color="auto" w:sz="4" w:space="0"/>
              <w:left w:val="outset" w:color="auto" w:sz="4" w:space="0"/>
              <w:bottom w:val="outset" w:color="auto" w:sz="4" w:space="0"/>
              <w:right w:val="outset" w:color="auto" w:sz="4" w:space="0"/>
            </w:tcBorders>
            <w:vAlign w:val="center"/>
          </w:tcPr>
          <w:p w14:paraId="097D9C70"/>
        </w:tc>
        <w:tc>
          <w:tcPr>
            <w:tcW w:w="1201" w:type="pct"/>
            <w:tcBorders>
              <w:top w:val="outset" w:color="auto" w:sz="4" w:space="0"/>
              <w:left w:val="outset" w:color="auto" w:sz="4" w:space="0"/>
              <w:bottom w:val="outset" w:color="auto" w:sz="4" w:space="0"/>
              <w:right w:val="outset" w:color="auto" w:sz="4" w:space="0"/>
            </w:tcBorders>
            <w:vAlign w:val="center"/>
          </w:tcPr>
          <w:p w14:paraId="32E73B7F">
            <w:pPr>
              <w:jc w:val="right"/>
            </w:pPr>
            <w:r>
              <w:t>107,669,422.44</w:t>
            </w:r>
          </w:p>
        </w:tc>
        <w:tc>
          <w:tcPr>
            <w:tcW w:w="1197" w:type="pct"/>
            <w:tcBorders>
              <w:top w:val="outset" w:color="auto" w:sz="4" w:space="0"/>
              <w:left w:val="outset" w:color="auto" w:sz="4" w:space="0"/>
              <w:bottom w:val="outset" w:color="auto" w:sz="4" w:space="0"/>
              <w:right w:val="outset" w:color="auto" w:sz="4" w:space="0"/>
            </w:tcBorders>
            <w:vAlign w:val="center"/>
          </w:tcPr>
          <w:p w14:paraId="6BE24390">
            <w:pPr>
              <w:jc w:val="right"/>
            </w:pPr>
            <w:r>
              <w:t>59,253,631.42</w:t>
            </w:r>
          </w:p>
        </w:tc>
      </w:tr>
      <w:tr w14:paraId="6890EC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95b1c638e8714129b03173a0758b863f"/>
            <w:id w:val="-1656685981"/>
          </w:sdtPr>
          <w:sdtContent>
            <w:tc>
              <w:tcPr>
                <w:tcW w:w="5000" w:type="pct"/>
                <w:gridSpan w:val="4"/>
                <w:tcBorders>
                  <w:top w:val="outset" w:color="auto" w:sz="4" w:space="0"/>
                  <w:left w:val="outset" w:color="auto" w:sz="4" w:space="0"/>
                  <w:bottom w:val="outset" w:color="auto" w:sz="4" w:space="0"/>
                  <w:right w:val="outset" w:color="auto" w:sz="4" w:space="0"/>
                </w:tcBorders>
                <w:vAlign w:val="center"/>
              </w:tcPr>
              <w:p w14:paraId="5198A8CF">
                <w:pPr>
                  <w:rPr>
                    <w:color w:val="000000" w:themeColor="text1"/>
                    <w14:textFill>
                      <w14:solidFill>
                        <w14:schemeClr w14:val="tx1"/>
                      </w14:solidFill>
                    </w14:textFill>
                  </w:rPr>
                </w:pPr>
                <w:r>
                  <w:rPr>
                    <w:rFonts w:hint="eastAsia"/>
                    <w:b/>
                    <w:color w:val="000000" w:themeColor="text1"/>
                    <w14:textFill>
                      <w14:solidFill>
                        <w14:schemeClr w14:val="tx1"/>
                      </w14:solidFill>
                    </w14:textFill>
                  </w:rPr>
                  <w:t>二、投资活动产生的现金流量：</w:t>
                </w:r>
              </w:p>
            </w:tc>
          </w:sdtContent>
        </w:sdt>
      </w:tr>
      <w:tr w14:paraId="1ABCB3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1ABCD3A4">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收回投资收到的现金</w:t>
            </w:r>
          </w:p>
        </w:tc>
        <w:tc>
          <w:tcPr>
            <w:tcW w:w="866" w:type="pct"/>
            <w:tcBorders>
              <w:top w:val="outset" w:color="auto" w:sz="4" w:space="0"/>
              <w:left w:val="outset" w:color="auto" w:sz="4" w:space="0"/>
              <w:bottom w:val="outset" w:color="auto" w:sz="4" w:space="0"/>
              <w:right w:val="outset" w:color="auto" w:sz="4" w:space="0"/>
            </w:tcBorders>
            <w:vAlign w:val="center"/>
          </w:tcPr>
          <w:p w14:paraId="59100C66"/>
        </w:tc>
        <w:tc>
          <w:tcPr>
            <w:tcW w:w="1201" w:type="pct"/>
            <w:tcBorders>
              <w:top w:val="outset" w:color="auto" w:sz="4" w:space="0"/>
              <w:left w:val="outset" w:color="auto" w:sz="4" w:space="0"/>
              <w:bottom w:val="outset" w:color="auto" w:sz="4" w:space="0"/>
              <w:right w:val="outset" w:color="auto" w:sz="4" w:space="0"/>
            </w:tcBorders>
            <w:vAlign w:val="center"/>
          </w:tcPr>
          <w:p w14:paraId="57B88C61">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5DEE5195">
            <w:pPr>
              <w:jc w:val="right"/>
            </w:pPr>
          </w:p>
        </w:tc>
      </w:tr>
      <w:tr w14:paraId="61C0D7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5452029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取得投资收益收到的现金</w:t>
            </w:r>
          </w:p>
        </w:tc>
        <w:tc>
          <w:tcPr>
            <w:tcW w:w="866" w:type="pct"/>
            <w:tcBorders>
              <w:top w:val="outset" w:color="auto" w:sz="4" w:space="0"/>
              <w:left w:val="outset" w:color="auto" w:sz="4" w:space="0"/>
              <w:bottom w:val="outset" w:color="auto" w:sz="4" w:space="0"/>
              <w:right w:val="outset" w:color="auto" w:sz="4" w:space="0"/>
            </w:tcBorders>
            <w:vAlign w:val="center"/>
          </w:tcPr>
          <w:p w14:paraId="69397912"/>
        </w:tc>
        <w:tc>
          <w:tcPr>
            <w:tcW w:w="1201" w:type="pct"/>
            <w:tcBorders>
              <w:top w:val="outset" w:color="auto" w:sz="4" w:space="0"/>
              <w:left w:val="outset" w:color="auto" w:sz="4" w:space="0"/>
              <w:bottom w:val="outset" w:color="auto" w:sz="4" w:space="0"/>
              <w:right w:val="outset" w:color="auto" w:sz="4" w:space="0"/>
            </w:tcBorders>
            <w:vAlign w:val="center"/>
          </w:tcPr>
          <w:p w14:paraId="5CE6A62B">
            <w:pPr>
              <w:jc w:val="right"/>
            </w:pPr>
            <w:r>
              <w:t>9,053,165.78</w:t>
            </w:r>
          </w:p>
        </w:tc>
        <w:tc>
          <w:tcPr>
            <w:tcW w:w="1197" w:type="pct"/>
            <w:tcBorders>
              <w:top w:val="outset" w:color="auto" w:sz="4" w:space="0"/>
              <w:left w:val="outset" w:color="auto" w:sz="4" w:space="0"/>
              <w:bottom w:val="outset" w:color="auto" w:sz="4" w:space="0"/>
              <w:right w:val="outset" w:color="auto" w:sz="4" w:space="0"/>
            </w:tcBorders>
            <w:vAlign w:val="center"/>
          </w:tcPr>
          <w:p w14:paraId="1781986A">
            <w:pPr>
              <w:jc w:val="right"/>
            </w:pPr>
            <w:r>
              <w:t>9,433,523.76</w:t>
            </w:r>
          </w:p>
        </w:tc>
      </w:tr>
      <w:tr w14:paraId="4B5662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3E125E0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处置固定资产、无形资产和其他长期资产收回的现金净额</w:t>
            </w:r>
          </w:p>
        </w:tc>
        <w:tc>
          <w:tcPr>
            <w:tcW w:w="866" w:type="pct"/>
            <w:tcBorders>
              <w:top w:val="outset" w:color="auto" w:sz="4" w:space="0"/>
              <w:left w:val="outset" w:color="auto" w:sz="4" w:space="0"/>
              <w:bottom w:val="outset" w:color="auto" w:sz="4" w:space="0"/>
              <w:right w:val="outset" w:color="auto" w:sz="4" w:space="0"/>
            </w:tcBorders>
            <w:vAlign w:val="center"/>
          </w:tcPr>
          <w:p w14:paraId="61AF0810"/>
        </w:tc>
        <w:tc>
          <w:tcPr>
            <w:tcW w:w="1201" w:type="pct"/>
            <w:tcBorders>
              <w:top w:val="outset" w:color="auto" w:sz="4" w:space="0"/>
              <w:left w:val="outset" w:color="auto" w:sz="4" w:space="0"/>
              <w:bottom w:val="outset" w:color="auto" w:sz="4" w:space="0"/>
              <w:right w:val="outset" w:color="auto" w:sz="4" w:space="0"/>
            </w:tcBorders>
            <w:vAlign w:val="center"/>
          </w:tcPr>
          <w:p w14:paraId="12D54ADF">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1BA6068F">
            <w:pPr>
              <w:jc w:val="right"/>
            </w:pPr>
            <w:r>
              <w:t>7,728.90</w:t>
            </w:r>
          </w:p>
        </w:tc>
      </w:tr>
      <w:tr w14:paraId="0DF070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4C11B929">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处置子公司及其他营业单位收到的现金净额</w:t>
            </w:r>
          </w:p>
        </w:tc>
        <w:tc>
          <w:tcPr>
            <w:tcW w:w="866" w:type="pct"/>
            <w:tcBorders>
              <w:top w:val="outset" w:color="auto" w:sz="4" w:space="0"/>
              <w:left w:val="outset" w:color="auto" w:sz="4" w:space="0"/>
              <w:bottom w:val="outset" w:color="auto" w:sz="4" w:space="0"/>
              <w:right w:val="outset" w:color="auto" w:sz="4" w:space="0"/>
            </w:tcBorders>
            <w:vAlign w:val="center"/>
          </w:tcPr>
          <w:p w14:paraId="5EF94677"/>
        </w:tc>
        <w:tc>
          <w:tcPr>
            <w:tcW w:w="1201" w:type="pct"/>
            <w:tcBorders>
              <w:top w:val="outset" w:color="auto" w:sz="4" w:space="0"/>
              <w:left w:val="outset" w:color="auto" w:sz="4" w:space="0"/>
              <w:bottom w:val="outset" w:color="auto" w:sz="4" w:space="0"/>
              <w:right w:val="outset" w:color="auto" w:sz="4" w:space="0"/>
            </w:tcBorders>
            <w:vAlign w:val="center"/>
          </w:tcPr>
          <w:p w14:paraId="1C1124A4">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58B76026">
            <w:pPr>
              <w:jc w:val="right"/>
            </w:pPr>
          </w:p>
        </w:tc>
      </w:tr>
      <w:tr w14:paraId="777F57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5C2A816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收到其他与投资活动有关的现金</w:t>
            </w:r>
          </w:p>
        </w:tc>
        <w:tc>
          <w:tcPr>
            <w:tcW w:w="866" w:type="pct"/>
            <w:tcBorders>
              <w:top w:val="outset" w:color="auto" w:sz="4" w:space="0"/>
              <w:left w:val="outset" w:color="auto" w:sz="4" w:space="0"/>
              <w:bottom w:val="outset" w:color="auto" w:sz="4" w:space="0"/>
              <w:right w:val="outset" w:color="auto" w:sz="4" w:space="0"/>
            </w:tcBorders>
            <w:vAlign w:val="center"/>
          </w:tcPr>
          <w:p w14:paraId="65B440A9"/>
        </w:tc>
        <w:tc>
          <w:tcPr>
            <w:tcW w:w="1201" w:type="pct"/>
            <w:tcBorders>
              <w:top w:val="outset" w:color="auto" w:sz="4" w:space="0"/>
              <w:left w:val="outset" w:color="auto" w:sz="4" w:space="0"/>
              <w:bottom w:val="outset" w:color="auto" w:sz="4" w:space="0"/>
              <w:right w:val="outset" w:color="auto" w:sz="4" w:space="0"/>
            </w:tcBorders>
            <w:vAlign w:val="center"/>
          </w:tcPr>
          <w:p w14:paraId="4F217C38">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52A74E9A">
            <w:pPr>
              <w:jc w:val="right"/>
            </w:pPr>
          </w:p>
        </w:tc>
      </w:tr>
      <w:tr w14:paraId="74E92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6B3DE653">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投资活动现金流入小计</w:t>
            </w:r>
          </w:p>
        </w:tc>
        <w:tc>
          <w:tcPr>
            <w:tcW w:w="866" w:type="pct"/>
            <w:tcBorders>
              <w:top w:val="outset" w:color="auto" w:sz="4" w:space="0"/>
              <w:left w:val="outset" w:color="auto" w:sz="4" w:space="0"/>
              <w:bottom w:val="outset" w:color="auto" w:sz="4" w:space="0"/>
              <w:right w:val="outset" w:color="auto" w:sz="4" w:space="0"/>
            </w:tcBorders>
            <w:vAlign w:val="center"/>
          </w:tcPr>
          <w:p w14:paraId="40B9E27B"/>
        </w:tc>
        <w:tc>
          <w:tcPr>
            <w:tcW w:w="1201" w:type="pct"/>
            <w:tcBorders>
              <w:top w:val="outset" w:color="auto" w:sz="4" w:space="0"/>
              <w:left w:val="outset" w:color="auto" w:sz="4" w:space="0"/>
              <w:bottom w:val="outset" w:color="auto" w:sz="4" w:space="0"/>
              <w:right w:val="outset" w:color="auto" w:sz="4" w:space="0"/>
            </w:tcBorders>
            <w:vAlign w:val="center"/>
          </w:tcPr>
          <w:p w14:paraId="36326AEA">
            <w:pPr>
              <w:jc w:val="right"/>
            </w:pPr>
            <w:r>
              <w:t>9,053,165.78</w:t>
            </w:r>
          </w:p>
        </w:tc>
        <w:tc>
          <w:tcPr>
            <w:tcW w:w="1197" w:type="pct"/>
            <w:tcBorders>
              <w:top w:val="outset" w:color="auto" w:sz="4" w:space="0"/>
              <w:left w:val="outset" w:color="auto" w:sz="4" w:space="0"/>
              <w:bottom w:val="outset" w:color="auto" w:sz="4" w:space="0"/>
              <w:right w:val="outset" w:color="auto" w:sz="4" w:space="0"/>
            </w:tcBorders>
            <w:vAlign w:val="center"/>
          </w:tcPr>
          <w:p w14:paraId="473C71DE">
            <w:pPr>
              <w:jc w:val="right"/>
            </w:pPr>
            <w:r>
              <w:t>9,441,252.66</w:t>
            </w:r>
          </w:p>
        </w:tc>
      </w:tr>
      <w:tr w14:paraId="685543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2FF6EEE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购建固定资产、无形资产和其他长期资产支付的现金</w:t>
            </w:r>
          </w:p>
        </w:tc>
        <w:tc>
          <w:tcPr>
            <w:tcW w:w="866" w:type="pct"/>
            <w:tcBorders>
              <w:top w:val="outset" w:color="auto" w:sz="4" w:space="0"/>
              <w:left w:val="outset" w:color="auto" w:sz="4" w:space="0"/>
              <w:bottom w:val="outset" w:color="auto" w:sz="4" w:space="0"/>
              <w:right w:val="outset" w:color="auto" w:sz="4" w:space="0"/>
            </w:tcBorders>
            <w:vAlign w:val="center"/>
          </w:tcPr>
          <w:p w14:paraId="2F38E16D"/>
        </w:tc>
        <w:tc>
          <w:tcPr>
            <w:tcW w:w="1201" w:type="pct"/>
            <w:tcBorders>
              <w:top w:val="outset" w:color="auto" w:sz="4" w:space="0"/>
              <w:left w:val="outset" w:color="auto" w:sz="4" w:space="0"/>
              <w:bottom w:val="outset" w:color="auto" w:sz="4" w:space="0"/>
              <w:right w:val="outset" w:color="auto" w:sz="4" w:space="0"/>
            </w:tcBorders>
            <w:vAlign w:val="center"/>
          </w:tcPr>
          <w:p w14:paraId="342CD895">
            <w:pPr>
              <w:jc w:val="right"/>
            </w:pPr>
            <w:r>
              <w:t>99,462,119.12</w:t>
            </w:r>
          </w:p>
        </w:tc>
        <w:tc>
          <w:tcPr>
            <w:tcW w:w="1197" w:type="pct"/>
            <w:tcBorders>
              <w:top w:val="outset" w:color="auto" w:sz="4" w:space="0"/>
              <w:left w:val="outset" w:color="auto" w:sz="4" w:space="0"/>
              <w:bottom w:val="outset" w:color="auto" w:sz="4" w:space="0"/>
              <w:right w:val="outset" w:color="auto" w:sz="4" w:space="0"/>
            </w:tcBorders>
            <w:vAlign w:val="center"/>
          </w:tcPr>
          <w:p w14:paraId="377D98A2">
            <w:pPr>
              <w:jc w:val="right"/>
            </w:pPr>
            <w:r>
              <w:t>185,601,371.75</w:t>
            </w:r>
          </w:p>
        </w:tc>
      </w:tr>
      <w:tr w14:paraId="735C2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2A16540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投资支付的现金</w:t>
            </w:r>
          </w:p>
        </w:tc>
        <w:tc>
          <w:tcPr>
            <w:tcW w:w="866" w:type="pct"/>
            <w:tcBorders>
              <w:top w:val="outset" w:color="auto" w:sz="4" w:space="0"/>
              <w:left w:val="outset" w:color="auto" w:sz="4" w:space="0"/>
              <w:bottom w:val="outset" w:color="auto" w:sz="4" w:space="0"/>
              <w:right w:val="outset" w:color="auto" w:sz="4" w:space="0"/>
            </w:tcBorders>
            <w:vAlign w:val="center"/>
          </w:tcPr>
          <w:p w14:paraId="35A3755A"/>
        </w:tc>
        <w:tc>
          <w:tcPr>
            <w:tcW w:w="1201" w:type="pct"/>
            <w:tcBorders>
              <w:top w:val="outset" w:color="auto" w:sz="4" w:space="0"/>
              <w:left w:val="outset" w:color="auto" w:sz="4" w:space="0"/>
              <w:bottom w:val="outset" w:color="auto" w:sz="4" w:space="0"/>
              <w:right w:val="outset" w:color="auto" w:sz="4" w:space="0"/>
            </w:tcBorders>
            <w:vAlign w:val="center"/>
          </w:tcPr>
          <w:p w14:paraId="5AD9D67C">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72063640">
            <w:pPr>
              <w:jc w:val="right"/>
            </w:pPr>
          </w:p>
        </w:tc>
      </w:tr>
      <w:tr w14:paraId="2BE3D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3090168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质押贷款净增加额</w:t>
            </w:r>
          </w:p>
        </w:tc>
        <w:tc>
          <w:tcPr>
            <w:tcW w:w="866" w:type="pct"/>
            <w:tcBorders>
              <w:top w:val="outset" w:color="auto" w:sz="4" w:space="0"/>
              <w:left w:val="outset" w:color="auto" w:sz="4" w:space="0"/>
              <w:bottom w:val="outset" w:color="auto" w:sz="4" w:space="0"/>
              <w:right w:val="outset" w:color="auto" w:sz="4" w:space="0"/>
            </w:tcBorders>
            <w:vAlign w:val="center"/>
          </w:tcPr>
          <w:p w14:paraId="22BC7D54"/>
        </w:tc>
        <w:tc>
          <w:tcPr>
            <w:tcW w:w="1201" w:type="pct"/>
            <w:tcBorders>
              <w:top w:val="outset" w:color="auto" w:sz="4" w:space="0"/>
              <w:left w:val="outset" w:color="auto" w:sz="4" w:space="0"/>
              <w:bottom w:val="outset" w:color="auto" w:sz="4" w:space="0"/>
              <w:right w:val="outset" w:color="auto" w:sz="4" w:space="0"/>
            </w:tcBorders>
            <w:vAlign w:val="center"/>
          </w:tcPr>
          <w:p w14:paraId="3420BBE9">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66D59C8E">
            <w:pPr>
              <w:jc w:val="right"/>
            </w:pPr>
          </w:p>
        </w:tc>
      </w:tr>
      <w:tr w14:paraId="4924A0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5E7A72B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取得子公司及其他营业单位支付的现金净额</w:t>
            </w:r>
          </w:p>
        </w:tc>
        <w:tc>
          <w:tcPr>
            <w:tcW w:w="866" w:type="pct"/>
            <w:tcBorders>
              <w:top w:val="outset" w:color="auto" w:sz="4" w:space="0"/>
              <w:left w:val="outset" w:color="auto" w:sz="4" w:space="0"/>
              <w:bottom w:val="outset" w:color="auto" w:sz="4" w:space="0"/>
              <w:right w:val="outset" w:color="auto" w:sz="4" w:space="0"/>
            </w:tcBorders>
            <w:vAlign w:val="center"/>
          </w:tcPr>
          <w:p w14:paraId="1A8EBEFA"/>
        </w:tc>
        <w:tc>
          <w:tcPr>
            <w:tcW w:w="1201" w:type="pct"/>
            <w:tcBorders>
              <w:top w:val="outset" w:color="auto" w:sz="4" w:space="0"/>
              <w:left w:val="outset" w:color="auto" w:sz="4" w:space="0"/>
              <w:bottom w:val="outset" w:color="auto" w:sz="4" w:space="0"/>
              <w:right w:val="outset" w:color="auto" w:sz="4" w:space="0"/>
            </w:tcBorders>
            <w:vAlign w:val="center"/>
          </w:tcPr>
          <w:p w14:paraId="71414C04">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710E356E">
            <w:pPr>
              <w:jc w:val="right"/>
            </w:pPr>
          </w:p>
        </w:tc>
      </w:tr>
      <w:tr w14:paraId="17795C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1D1E782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支付其他与投资活动有关的现金</w:t>
            </w:r>
          </w:p>
        </w:tc>
        <w:tc>
          <w:tcPr>
            <w:tcW w:w="866" w:type="pct"/>
            <w:tcBorders>
              <w:top w:val="outset" w:color="auto" w:sz="4" w:space="0"/>
              <w:left w:val="outset" w:color="auto" w:sz="4" w:space="0"/>
              <w:bottom w:val="outset" w:color="auto" w:sz="4" w:space="0"/>
              <w:right w:val="outset" w:color="auto" w:sz="4" w:space="0"/>
            </w:tcBorders>
            <w:vAlign w:val="center"/>
          </w:tcPr>
          <w:p w14:paraId="34F57725"/>
        </w:tc>
        <w:tc>
          <w:tcPr>
            <w:tcW w:w="1201" w:type="pct"/>
            <w:tcBorders>
              <w:top w:val="outset" w:color="auto" w:sz="4" w:space="0"/>
              <w:left w:val="outset" w:color="auto" w:sz="4" w:space="0"/>
              <w:bottom w:val="outset" w:color="auto" w:sz="4" w:space="0"/>
              <w:right w:val="outset" w:color="auto" w:sz="4" w:space="0"/>
            </w:tcBorders>
            <w:vAlign w:val="center"/>
          </w:tcPr>
          <w:p w14:paraId="47E898A3">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41348905">
            <w:pPr>
              <w:jc w:val="right"/>
            </w:pPr>
          </w:p>
        </w:tc>
      </w:tr>
      <w:tr w14:paraId="4D3CA5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25E0A853">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投资活动现金流出小计</w:t>
            </w:r>
          </w:p>
        </w:tc>
        <w:tc>
          <w:tcPr>
            <w:tcW w:w="866" w:type="pct"/>
            <w:tcBorders>
              <w:top w:val="outset" w:color="auto" w:sz="4" w:space="0"/>
              <w:left w:val="outset" w:color="auto" w:sz="4" w:space="0"/>
              <w:bottom w:val="outset" w:color="auto" w:sz="4" w:space="0"/>
              <w:right w:val="outset" w:color="auto" w:sz="4" w:space="0"/>
            </w:tcBorders>
            <w:vAlign w:val="center"/>
          </w:tcPr>
          <w:p w14:paraId="36A651D8"/>
        </w:tc>
        <w:tc>
          <w:tcPr>
            <w:tcW w:w="1201" w:type="pct"/>
            <w:tcBorders>
              <w:top w:val="outset" w:color="auto" w:sz="4" w:space="0"/>
              <w:left w:val="outset" w:color="auto" w:sz="4" w:space="0"/>
              <w:bottom w:val="outset" w:color="auto" w:sz="4" w:space="0"/>
              <w:right w:val="outset" w:color="auto" w:sz="4" w:space="0"/>
            </w:tcBorders>
            <w:vAlign w:val="center"/>
          </w:tcPr>
          <w:p w14:paraId="259E8F35">
            <w:pPr>
              <w:jc w:val="right"/>
            </w:pPr>
            <w:r>
              <w:t>99,462,119.12</w:t>
            </w:r>
          </w:p>
        </w:tc>
        <w:tc>
          <w:tcPr>
            <w:tcW w:w="1197" w:type="pct"/>
            <w:tcBorders>
              <w:top w:val="outset" w:color="auto" w:sz="4" w:space="0"/>
              <w:left w:val="outset" w:color="auto" w:sz="4" w:space="0"/>
              <w:bottom w:val="outset" w:color="auto" w:sz="4" w:space="0"/>
              <w:right w:val="outset" w:color="auto" w:sz="4" w:space="0"/>
            </w:tcBorders>
            <w:vAlign w:val="center"/>
          </w:tcPr>
          <w:p w14:paraId="4EE89F86">
            <w:pPr>
              <w:jc w:val="right"/>
            </w:pPr>
            <w:r>
              <w:t>185,601,371.75</w:t>
            </w:r>
          </w:p>
        </w:tc>
      </w:tr>
      <w:tr w14:paraId="3466D9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2A98C254">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投资活动产生的现金流量净额</w:t>
            </w:r>
          </w:p>
        </w:tc>
        <w:tc>
          <w:tcPr>
            <w:tcW w:w="866" w:type="pct"/>
            <w:tcBorders>
              <w:top w:val="outset" w:color="auto" w:sz="4" w:space="0"/>
              <w:left w:val="outset" w:color="auto" w:sz="4" w:space="0"/>
              <w:bottom w:val="outset" w:color="auto" w:sz="4" w:space="0"/>
              <w:right w:val="outset" w:color="auto" w:sz="4" w:space="0"/>
            </w:tcBorders>
            <w:vAlign w:val="center"/>
          </w:tcPr>
          <w:p w14:paraId="4163DF57"/>
        </w:tc>
        <w:tc>
          <w:tcPr>
            <w:tcW w:w="1201" w:type="pct"/>
            <w:tcBorders>
              <w:top w:val="outset" w:color="auto" w:sz="4" w:space="0"/>
              <w:left w:val="outset" w:color="auto" w:sz="4" w:space="0"/>
              <w:bottom w:val="outset" w:color="auto" w:sz="4" w:space="0"/>
              <w:right w:val="outset" w:color="auto" w:sz="4" w:space="0"/>
            </w:tcBorders>
            <w:vAlign w:val="center"/>
          </w:tcPr>
          <w:p w14:paraId="2F7BE9BE">
            <w:pPr>
              <w:jc w:val="right"/>
            </w:pPr>
            <w:r>
              <w:t>-90,408,953.34</w:t>
            </w:r>
          </w:p>
        </w:tc>
        <w:tc>
          <w:tcPr>
            <w:tcW w:w="1197" w:type="pct"/>
            <w:tcBorders>
              <w:top w:val="outset" w:color="auto" w:sz="4" w:space="0"/>
              <w:left w:val="outset" w:color="auto" w:sz="4" w:space="0"/>
              <w:bottom w:val="outset" w:color="auto" w:sz="4" w:space="0"/>
              <w:right w:val="outset" w:color="auto" w:sz="4" w:space="0"/>
            </w:tcBorders>
            <w:vAlign w:val="center"/>
          </w:tcPr>
          <w:p w14:paraId="3FC2EF65">
            <w:pPr>
              <w:jc w:val="right"/>
            </w:pPr>
            <w:r>
              <w:t>-176,160,119.09</w:t>
            </w:r>
          </w:p>
        </w:tc>
      </w:tr>
      <w:tr w14:paraId="19185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0ebd9a8b5d8e4227a6bc3b0738379ef1"/>
            <w:id w:val="694194773"/>
          </w:sdtPr>
          <w:sdtContent>
            <w:tc>
              <w:tcPr>
                <w:tcW w:w="5000" w:type="pct"/>
                <w:gridSpan w:val="4"/>
                <w:tcBorders>
                  <w:top w:val="outset" w:color="auto" w:sz="4" w:space="0"/>
                  <w:left w:val="outset" w:color="auto" w:sz="4" w:space="0"/>
                  <w:bottom w:val="outset" w:color="auto" w:sz="4" w:space="0"/>
                  <w:right w:val="outset" w:color="auto" w:sz="4" w:space="0"/>
                </w:tcBorders>
                <w:vAlign w:val="center"/>
              </w:tcPr>
              <w:p w14:paraId="68B594BF">
                <w:pPr>
                  <w:rPr>
                    <w:color w:val="000000" w:themeColor="text1"/>
                    <w14:textFill>
                      <w14:solidFill>
                        <w14:schemeClr w14:val="tx1"/>
                      </w14:solidFill>
                    </w14:textFill>
                  </w:rPr>
                </w:pPr>
                <w:r>
                  <w:rPr>
                    <w:rFonts w:hint="eastAsia"/>
                    <w:b/>
                    <w:color w:val="000000" w:themeColor="text1"/>
                    <w14:textFill>
                      <w14:solidFill>
                        <w14:schemeClr w14:val="tx1"/>
                      </w14:solidFill>
                    </w14:textFill>
                  </w:rPr>
                  <w:t>三、筹资活动产生的现金流量：</w:t>
                </w:r>
              </w:p>
            </w:tc>
          </w:sdtContent>
        </w:sdt>
      </w:tr>
      <w:tr w14:paraId="369EAF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555B846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吸收投资收到的现金</w:t>
            </w:r>
          </w:p>
        </w:tc>
        <w:tc>
          <w:tcPr>
            <w:tcW w:w="866" w:type="pct"/>
            <w:tcBorders>
              <w:top w:val="outset" w:color="auto" w:sz="4" w:space="0"/>
              <w:left w:val="outset" w:color="auto" w:sz="4" w:space="0"/>
              <w:bottom w:val="outset" w:color="auto" w:sz="4" w:space="0"/>
              <w:right w:val="outset" w:color="auto" w:sz="4" w:space="0"/>
            </w:tcBorders>
            <w:vAlign w:val="center"/>
          </w:tcPr>
          <w:p w14:paraId="32F4302D"/>
        </w:tc>
        <w:tc>
          <w:tcPr>
            <w:tcW w:w="1201" w:type="pct"/>
            <w:tcBorders>
              <w:top w:val="outset" w:color="auto" w:sz="4" w:space="0"/>
              <w:left w:val="outset" w:color="auto" w:sz="4" w:space="0"/>
              <w:bottom w:val="outset" w:color="auto" w:sz="4" w:space="0"/>
              <w:right w:val="outset" w:color="auto" w:sz="4" w:space="0"/>
            </w:tcBorders>
            <w:vAlign w:val="center"/>
          </w:tcPr>
          <w:p w14:paraId="5CE8FB5F">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71006139">
            <w:pPr>
              <w:jc w:val="right"/>
            </w:pPr>
          </w:p>
        </w:tc>
      </w:tr>
      <w:tr w14:paraId="161B62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00B6520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其中：子公司吸收少数股东投资收到的现金</w:t>
            </w:r>
          </w:p>
        </w:tc>
        <w:tc>
          <w:tcPr>
            <w:tcW w:w="866" w:type="pct"/>
            <w:tcBorders>
              <w:top w:val="outset" w:color="auto" w:sz="4" w:space="0"/>
              <w:left w:val="outset" w:color="auto" w:sz="4" w:space="0"/>
              <w:bottom w:val="outset" w:color="auto" w:sz="4" w:space="0"/>
              <w:right w:val="outset" w:color="auto" w:sz="4" w:space="0"/>
            </w:tcBorders>
            <w:vAlign w:val="center"/>
          </w:tcPr>
          <w:p w14:paraId="6D753187"/>
        </w:tc>
        <w:tc>
          <w:tcPr>
            <w:tcW w:w="1201" w:type="pct"/>
            <w:tcBorders>
              <w:top w:val="outset" w:color="auto" w:sz="4" w:space="0"/>
              <w:left w:val="outset" w:color="auto" w:sz="4" w:space="0"/>
              <w:bottom w:val="outset" w:color="auto" w:sz="4" w:space="0"/>
              <w:right w:val="outset" w:color="auto" w:sz="4" w:space="0"/>
            </w:tcBorders>
            <w:vAlign w:val="center"/>
          </w:tcPr>
          <w:p w14:paraId="43F9EC39">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65E8268A">
            <w:pPr>
              <w:jc w:val="right"/>
            </w:pPr>
          </w:p>
        </w:tc>
      </w:tr>
      <w:tr w14:paraId="292802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33928E0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取得借款收到的现金</w:t>
            </w:r>
          </w:p>
        </w:tc>
        <w:tc>
          <w:tcPr>
            <w:tcW w:w="866" w:type="pct"/>
            <w:tcBorders>
              <w:top w:val="outset" w:color="auto" w:sz="4" w:space="0"/>
              <w:left w:val="outset" w:color="auto" w:sz="4" w:space="0"/>
              <w:bottom w:val="outset" w:color="auto" w:sz="4" w:space="0"/>
              <w:right w:val="outset" w:color="auto" w:sz="4" w:space="0"/>
            </w:tcBorders>
            <w:vAlign w:val="center"/>
          </w:tcPr>
          <w:p w14:paraId="18604E8F"/>
        </w:tc>
        <w:tc>
          <w:tcPr>
            <w:tcW w:w="1201" w:type="pct"/>
            <w:tcBorders>
              <w:top w:val="outset" w:color="auto" w:sz="4" w:space="0"/>
              <w:left w:val="outset" w:color="auto" w:sz="4" w:space="0"/>
              <w:bottom w:val="outset" w:color="auto" w:sz="4" w:space="0"/>
              <w:right w:val="outset" w:color="auto" w:sz="4" w:space="0"/>
            </w:tcBorders>
            <w:vAlign w:val="center"/>
          </w:tcPr>
          <w:p w14:paraId="41B28284">
            <w:pPr>
              <w:jc w:val="right"/>
            </w:pPr>
            <w:r>
              <w:t>1,473,250,517.76</w:t>
            </w:r>
          </w:p>
        </w:tc>
        <w:tc>
          <w:tcPr>
            <w:tcW w:w="1197" w:type="pct"/>
            <w:tcBorders>
              <w:top w:val="outset" w:color="auto" w:sz="4" w:space="0"/>
              <w:left w:val="outset" w:color="auto" w:sz="4" w:space="0"/>
              <w:bottom w:val="outset" w:color="auto" w:sz="4" w:space="0"/>
              <w:right w:val="outset" w:color="auto" w:sz="4" w:space="0"/>
            </w:tcBorders>
            <w:vAlign w:val="center"/>
          </w:tcPr>
          <w:p w14:paraId="7845CF20">
            <w:pPr>
              <w:jc w:val="right"/>
            </w:pPr>
            <w:r>
              <w:t>1,843,550,000.00</w:t>
            </w:r>
          </w:p>
        </w:tc>
      </w:tr>
      <w:tr w14:paraId="679F6C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7EEC16C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收到其他与筹资活动有关的现金</w:t>
            </w:r>
          </w:p>
        </w:tc>
        <w:tc>
          <w:tcPr>
            <w:tcW w:w="866" w:type="pct"/>
            <w:tcBorders>
              <w:top w:val="outset" w:color="auto" w:sz="4" w:space="0"/>
              <w:left w:val="outset" w:color="auto" w:sz="4" w:space="0"/>
              <w:bottom w:val="outset" w:color="auto" w:sz="4" w:space="0"/>
              <w:right w:val="outset" w:color="auto" w:sz="4" w:space="0"/>
            </w:tcBorders>
            <w:vAlign w:val="center"/>
          </w:tcPr>
          <w:p w14:paraId="42340C2B"/>
        </w:tc>
        <w:tc>
          <w:tcPr>
            <w:tcW w:w="1201" w:type="pct"/>
            <w:tcBorders>
              <w:top w:val="outset" w:color="auto" w:sz="4" w:space="0"/>
              <w:left w:val="outset" w:color="auto" w:sz="4" w:space="0"/>
              <w:bottom w:val="outset" w:color="auto" w:sz="4" w:space="0"/>
              <w:right w:val="outset" w:color="auto" w:sz="4" w:space="0"/>
            </w:tcBorders>
            <w:vAlign w:val="center"/>
          </w:tcPr>
          <w:p w14:paraId="61C3A8F5">
            <w:pPr>
              <w:jc w:val="right"/>
            </w:pPr>
            <w:r>
              <w:t>448,185,574.69</w:t>
            </w:r>
          </w:p>
        </w:tc>
        <w:tc>
          <w:tcPr>
            <w:tcW w:w="1197" w:type="pct"/>
            <w:tcBorders>
              <w:top w:val="outset" w:color="auto" w:sz="4" w:space="0"/>
              <w:left w:val="outset" w:color="auto" w:sz="4" w:space="0"/>
              <w:bottom w:val="outset" w:color="auto" w:sz="4" w:space="0"/>
              <w:right w:val="outset" w:color="auto" w:sz="4" w:space="0"/>
            </w:tcBorders>
            <w:vAlign w:val="center"/>
          </w:tcPr>
          <w:p w14:paraId="2A35A8F4">
            <w:pPr>
              <w:jc w:val="right"/>
            </w:pPr>
            <w:r>
              <w:t>474,510,821.49</w:t>
            </w:r>
          </w:p>
        </w:tc>
      </w:tr>
      <w:tr w14:paraId="3DE3D6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6A0BF4F5">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筹资活动现金流入小计</w:t>
            </w:r>
          </w:p>
        </w:tc>
        <w:tc>
          <w:tcPr>
            <w:tcW w:w="866" w:type="pct"/>
            <w:tcBorders>
              <w:top w:val="outset" w:color="auto" w:sz="4" w:space="0"/>
              <w:left w:val="outset" w:color="auto" w:sz="4" w:space="0"/>
              <w:bottom w:val="outset" w:color="auto" w:sz="4" w:space="0"/>
              <w:right w:val="outset" w:color="auto" w:sz="4" w:space="0"/>
            </w:tcBorders>
            <w:vAlign w:val="center"/>
          </w:tcPr>
          <w:p w14:paraId="67C15369"/>
        </w:tc>
        <w:tc>
          <w:tcPr>
            <w:tcW w:w="1201" w:type="pct"/>
            <w:tcBorders>
              <w:top w:val="outset" w:color="auto" w:sz="4" w:space="0"/>
              <w:left w:val="outset" w:color="auto" w:sz="4" w:space="0"/>
              <w:bottom w:val="outset" w:color="auto" w:sz="4" w:space="0"/>
              <w:right w:val="outset" w:color="auto" w:sz="4" w:space="0"/>
            </w:tcBorders>
            <w:vAlign w:val="center"/>
          </w:tcPr>
          <w:p w14:paraId="7EA9DF5F">
            <w:pPr>
              <w:jc w:val="right"/>
            </w:pPr>
            <w:r>
              <w:t>1,921,436,092.45</w:t>
            </w:r>
          </w:p>
        </w:tc>
        <w:tc>
          <w:tcPr>
            <w:tcW w:w="1197" w:type="pct"/>
            <w:tcBorders>
              <w:top w:val="outset" w:color="auto" w:sz="4" w:space="0"/>
              <w:left w:val="outset" w:color="auto" w:sz="4" w:space="0"/>
              <w:bottom w:val="outset" w:color="auto" w:sz="4" w:space="0"/>
              <w:right w:val="outset" w:color="auto" w:sz="4" w:space="0"/>
            </w:tcBorders>
            <w:vAlign w:val="center"/>
          </w:tcPr>
          <w:p w14:paraId="55EB45DB">
            <w:pPr>
              <w:jc w:val="right"/>
            </w:pPr>
            <w:r>
              <w:t>2,318,060,821.49</w:t>
            </w:r>
          </w:p>
        </w:tc>
      </w:tr>
      <w:tr w14:paraId="56AFC0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68AD797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偿还债务支付的现金</w:t>
            </w:r>
          </w:p>
        </w:tc>
        <w:tc>
          <w:tcPr>
            <w:tcW w:w="866" w:type="pct"/>
            <w:tcBorders>
              <w:top w:val="outset" w:color="auto" w:sz="4" w:space="0"/>
              <w:left w:val="outset" w:color="auto" w:sz="4" w:space="0"/>
              <w:bottom w:val="outset" w:color="auto" w:sz="4" w:space="0"/>
              <w:right w:val="outset" w:color="auto" w:sz="4" w:space="0"/>
            </w:tcBorders>
            <w:vAlign w:val="center"/>
          </w:tcPr>
          <w:p w14:paraId="62198CB1"/>
        </w:tc>
        <w:tc>
          <w:tcPr>
            <w:tcW w:w="1201" w:type="pct"/>
            <w:tcBorders>
              <w:top w:val="outset" w:color="auto" w:sz="4" w:space="0"/>
              <w:left w:val="outset" w:color="auto" w:sz="4" w:space="0"/>
              <w:bottom w:val="outset" w:color="auto" w:sz="4" w:space="0"/>
              <w:right w:val="outset" w:color="auto" w:sz="4" w:space="0"/>
            </w:tcBorders>
            <w:vAlign w:val="center"/>
          </w:tcPr>
          <w:p w14:paraId="09374090">
            <w:pPr>
              <w:jc w:val="right"/>
            </w:pPr>
            <w:r>
              <w:t>1,294,532,582.32</w:t>
            </w:r>
          </w:p>
        </w:tc>
        <w:tc>
          <w:tcPr>
            <w:tcW w:w="1197" w:type="pct"/>
            <w:tcBorders>
              <w:top w:val="outset" w:color="auto" w:sz="4" w:space="0"/>
              <w:left w:val="outset" w:color="auto" w:sz="4" w:space="0"/>
              <w:bottom w:val="outset" w:color="auto" w:sz="4" w:space="0"/>
              <w:right w:val="outset" w:color="auto" w:sz="4" w:space="0"/>
            </w:tcBorders>
            <w:vAlign w:val="center"/>
          </w:tcPr>
          <w:p w14:paraId="27B49B1F">
            <w:pPr>
              <w:jc w:val="right"/>
            </w:pPr>
            <w:r>
              <w:t>1,409,000,000.00</w:t>
            </w:r>
          </w:p>
        </w:tc>
      </w:tr>
      <w:tr w14:paraId="49A412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2F80044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分配股利、利润或偿付利息支付的现金</w:t>
            </w:r>
          </w:p>
        </w:tc>
        <w:tc>
          <w:tcPr>
            <w:tcW w:w="866" w:type="pct"/>
            <w:tcBorders>
              <w:top w:val="outset" w:color="auto" w:sz="4" w:space="0"/>
              <w:left w:val="outset" w:color="auto" w:sz="4" w:space="0"/>
              <w:bottom w:val="outset" w:color="auto" w:sz="4" w:space="0"/>
              <w:right w:val="outset" w:color="auto" w:sz="4" w:space="0"/>
            </w:tcBorders>
            <w:vAlign w:val="center"/>
          </w:tcPr>
          <w:p w14:paraId="5D3086DC"/>
        </w:tc>
        <w:tc>
          <w:tcPr>
            <w:tcW w:w="1201" w:type="pct"/>
            <w:tcBorders>
              <w:top w:val="outset" w:color="auto" w:sz="4" w:space="0"/>
              <w:left w:val="outset" w:color="auto" w:sz="4" w:space="0"/>
              <w:bottom w:val="outset" w:color="auto" w:sz="4" w:space="0"/>
              <w:right w:val="outset" w:color="auto" w:sz="4" w:space="0"/>
            </w:tcBorders>
            <w:vAlign w:val="center"/>
          </w:tcPr>
          <w:p w14:paraId="29B27DD0">
            <w:pPr>
              <w:jc w:val="right"/>
            </w:pPr>
            <w:r>
              <w:t>70,545,535.12</w:t>
            </w:r>
          </w:p>
        </w:tc>
        <w:tc>
          <w:tcPr>
            <w:tcW w:w="1197" w:type="pct"/>
            <w:tcBorders>
              <w:top w:val="outset" w:color="auto" w:sz="4" w:space="0"/>
              <w:left w:val="outset" w:color="auto" w:sz="4" w:space="0"/>
              <w:bottom w:val="outset" w:color="auto" w:sz="4" w:space="0"/>
              <w:right w:val="outset" w:color="auto" w:sz="4" w:space="0"/>
            </w:tcBorders>
            <w:vAlign w:val="center"/>
          </w:tcPr>
          <w:p w14:paraId="3F9170E0">
            <w:pPr>
              <w:jc w:val="right"/>
            </w:pPr>
            <w:r>
              <w:t>72,698,179.74</w:t>
            </w:r>
          </w:p>
        </w:tc>
      </w:tr>
      <w:tr w14:paraId="57EA45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3672ED2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其中：子公司支付给少数股东的股利、利润</w:t>
            </w:r>
          </w:p>
        </w:tc>
        <w:tc>
          <w:tcPr>
            <w:tcW w:w="866" w:type="pct"/>
            <w:tcBorders>
              <w:top w:val="outset" w:color="auto" w:sz="4" w:space="0"/>
              <w:left w:val="outset" w:color="auto" w:sz="4" w:space="0"/>
              <w:bottom w:val="outset" w:color="auto" w:sz="4" w:space="0"/>
              <w:right w:val="outset" w:color="auto" w:sz="4" w:space="0"/>
            </w:tcBorders>
            <w:vAlign w:val="center"/>
          </w:tcPr>
          <w:p w14:paraId="7200324D"/>
        </w:tc>
        <w:tc>
          <w:tcPr>
            <w:tcW w:w="1201" w:type="pct"/>
            <w:tcBorders>
              <w:top w:val="outset" w:color="auto" w:sz="4" w:space="0"/>
              <w:left w:val="outset" w:color="auto" w:sz="4" w:space="0"/>
              <w:bottom w:val="outset" w:color="auto" w:sz="4" w:space="0"/>
              <w:right w:val="outset" w:color="auto" w:sz="4" w:space="0"/>
            </w:tcBorders>
            <w:vAlign w:val="center"/>
          </w:tcPr>
          <w:p w14:paraId="0C96A4F8">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0A436E47">
            <w:pPr>
              <w:jc w:val="right"/>
            </w:pPr>
          </w:p>
        </w:tc>
      </w:tr>
      <w:tr w14:paraId="29F8B8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51754F51">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支付其他与筹资活动有关的现金</w:t>
            </w:r>
          </w:p>
        </w:tc>
        <w:tc>
          <w:tcPr>
            <w:tcW w:w="866" w:type="pct"/>
            <w:tcBorders>
              <w:top w:val="outset" w:color="auto" w:sz="4" w:space="0"/>
              <w:left w:val="outset" w:color="auto" w:sz="4" w:space="0"/>
              <w:bottom w:val="outset" w:color="auto" w:sz="4" w:space="0"/>
              <w:right w:val="outset" w:color="auto" w:sz="4" w:space="0"/>
            </w:tcBorders>
            <w:vAlign w:val="center"/>
          </w:tcPr>
          <w:p w14:paraId="1C70BA88"/>
        </w:tc>
        <w:tc>
          <w:tcPr>
            <w:tcW w:w="1201" w:type="pct"/>
            <w:tcBorders>
              <w:top w:val="outset" w:color="auto" w:sz="4" w:space="0"/>
              <w:left w:val="outset" w:color="auto" w:sz="4" w:space="0"/>
              <w:bottom w:val="outset" w:color="auto" w:sz="4" w:space="0"/>
              <w:right w:val="outset" w:color="auto" w:sz="4" w:space="0"/>
            </w:tcBorders>
            <w:vAlign w:val="center"/>
          </w:tcPr>
          <w:p w14:paraId="2BB0C0A9">
            <w:pPr>
              <w:jc w:val="right"/>
            </w:pPr>
            <w:r>
              <w:t>567,415,345.38</w:t>
            </w:r>
          </w:p>
        </w:tc>
        <w:tc>
          <w:tcPr>
            <w:tcW w:w="1197" w:type="pct"/>
            <w:tcBorders>
              <w:top w:val="outset" w:color="auto" w:sz="4" w:space="0"/>
              <w:left w:val="outset" w:color="auto" w:sz="4" w:space="0"/>
              <w:bottom w:val="outset" w:color="auto" w:sz="4" w:space="0"/>
              <w:right w:val="outset" w:color="auto" w:sz="4" w:space="0"/>
            </w:tcBorders>
            <w:vAlign w:val="center"/>
          </w:tcPr>
          <w:p w14:paraId="36DBD149">
            <w:pPr>
              <w:jc w:val="right"/>
            </w:pPr>
            <w:r>
              <w:t>747,725,947.08</w:t>
            </w:r>
          </w:p>
        </w:tc>
      </w:tr>
      <w:tr w14:paraId="72FDF9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45D2D3C4">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筹资活动现金流出小计</w:t>
            </w:r>
          </w:p>
        </w:tc>
        <w:tc>
          <w:tcPr>
            <w:tcW w:w="866" w:type="pct"/>
            <w:tcBorders>
              <w:top w:val="outset" w:color="auto" w:sz="4" w:space="0"/>
              <w:left w:val="outset" w:color="auto" w:sz="4" w:space="0"/>
              <w:bottom w:val="outset" w:color="auto" w:sz="4" w:space="0"/>
              <w:right w:val="outset" w:color="auto" w:sz="4" w:space="0"/>
            </w:tcBorders>
            <w:vAlign w:val="center"/>
          </w:tcPr>
          <w:p w14:paraId="4412E224"/>
        </w:tc>
        <w:tc>
          <w:tcPr>
            <w:tcW w:w="1201" w:type="pct"/>
            <w:tcBorders>
              <w:top w:val="outset" w:color="auto" w:sz="4" w:space="0"/>
              <w:left w:val="outset" w:color="auto" w:sz="4" w:space="0"/>
              <w:bottom w:val="outset" w:color="auto" w:sz="4" w:space="0"/>
              <w:right w:val="outset" w:color="auto" w:sz="4" w:space="0"/>
            </w:tcBorders>
            <w:vAlign w:val="center"/>
          </w:tcPr>
          <w:p w14:paraId="237A540D">
            <w:pPr>
              <w:jc w:val="right"/>
            </w:pPr>
            <w:r>
              <w:t>1,932,493,462.82</w:t>
            </w:r>
          </w:p>
        </w:tc>
        <w:tc>
          <w:tcPr>
            <w:tcW w:w="1197" w:type="pct"/>
            <w:tcBorders>
              <w:top w:val="outset" w:color="auto" w:sz="4" w:space="0"/>
              <w:left w:val="outset" w:color="auto" w:sz="4" w:space="0"/>
              <w:bottom w:val="outset" w:color="auto" w:sz="4" w:space="0"/>
              <w:right w:val="outset" w:color="auto" w:sz="4" w:space="0"/>
            </w:tcBorders>
            <w:vAlign w:val="center"/>
          </w:tcPr>
          <w:p w14:paraId="26F72973">
            <w:pPr>
              <w:jc w:val="right"/>
            </w:pPr>
            <w:r>
              <w:t>2,229,424,126.82</w:t>
            </w:r>
          </w:p>
        </w:tc>
      </w:tr>
      <w:tr w14:paraId="113B65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14593303">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筹资活动产生的现金流量净额</w:t>
            </w:r>
          </w:p>
        </w:tc>
        <w:tc>
          <w:tcPr>
            <w:tcW w:w="866" w:type="pct"/>
            <w:tcBorders>
              <w:top w:val="outset" w:color="auto" w:sz="4" w:space="0"/>
              <w:left w:val="outset" w:color="auto" w:sz="4" w:space="0"/>
              <w:bottom w:val="outset" w:color="auto" w:sz="4" w:space="0"/>
              <w:right w:val="outset" w:color="auto" w:sz="4" w:space="0"/>
            </w:tcBorders>
            <w:vAlign w:val="center"/>
          </w:tcPr>
          <w:p w14:paraId="3D06C4A5"/>
        </w:tc>
        <w:tc>
          <w:tcPr>
            <w:tcW w:w="1201" w:type="pct"/>
            <w:tcBorders>
              <w:top w:val="outset" w:color="auto" w:sz="4" w:space="0"/>
              <w:left w:val="outset" w:color="auto" w:sz="4" w:space="0"/>
              <w:bottom w:val="outset" w:color="auto" w:sz="4" w:space="0"/>
              <w:right w:val="outset" w:color="auto" w:sz="4" w:space="0"/>
            </w:tcBorders>
            <w:vAlign w:val="center"/>
          </w:tcPr>
          <w:p w14:paraId="47B2BD84">
            <w:pPr>
              <w:jc w:val="right"/>
            </w:pPr>
            <w:r>
              <w:t>-11,057,370.37</w:t>
            </w:r>
          </w:p>
        </w:tc>
        <w:tc>
          <w:tcPr>
            <w:tcW w:w="1197" w:type="pct"/>
            <w:tcBorders>
              <w:top w:val="outset" w:color="auto" w:sz="4" w:space="0"/>
              <w:left w:val="outset" w:color="auto" w:sz="4" w:space="0"/>
              <w:bottom w:val="outset" w:color="auto" w:sz="4" w:space="0"/>
              <w:right w:val="outset" w:color="auto" w:sz="4" w:space="0"/>
            </w:tcBorders>
            <w:vAlign w:val="center"/>
          </w:tcPr>
          <w:p w14:paraId="2F1D470C">
            <w:pPr>
              <w:jc w:val="right"/>
            </w:pPr>
            <w:r>
              <w:t>88,636,694.67</w:t>
            </w:r>
          </w:p>
        </w:tc>
      </w:tr>
      <w:tr w14:paraId="27DDB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2EC076BB">
            <w:pPr>
              <w:rPr>
                <w:color w:val="000000" w:themeColor="text1"/>
                <w14:textFill>
                  <w14:solidFill>
                    <w14:schemeClr w14:val="tx1"/>
                  </w14:solidFill>
                </w14:textFill>
              </w:rPr>
            </w:pPr>
            <w:r>
              <w:rPr>
                <w:rFonts w:hint="eastAsia"/>
                <w:b/>
                <w:color w:val="000000" w:themeColor="text1"/>
                <w14:textFill>
                  <w14:solidFill>
                    <w14:schemeClr w14:val="tx1"/>
                  </w14:solidFill>
                </w14:textFill>
              </w:rPr>
              <w:t>四、汇率变动对现金及现金等价物的影响</w:t>
            </w:r>
          </w:p>
        </w:tc>
        <w:tc>
          <w:tcPr>
            <w:tcW w:w="866" w:type="pct"/>
            <w:tcBorders>
              <w:top w:val="outset" w:color="auto" w:sz="4" w:space="0"/>
              <w:left w:val="outset" w:color="auto" w:sz="4" w:space="0"/>
              <w:bottom w:val="outset" w:color="auto" w:sz="4" w:space="0"/>
              <w:right w:val="outset" w:color="auto" w:sz="4" w:space="0"/>
            </w:tcBorders>
            <w:vAlign w:val="center"/>
          </w:tcPr>
          <w:p w14:paraId="28979F6E"/>
        </w:tc>
        <w:tc>
          <w:tcPr>
            <w:tcW w:w="1201" w:type="pct"/>
            <w:tcBorders>
              <w:top w:val="outset" w:color="auto" w:sz="4" w:space="0"/>
              <w:left w:val="outset" w:color="auto" w:sz="4" w:space="0"/>
              <w:bottom w:val="outset" w:color="auto" w:sz="4" w:space="0"/>
              <w:right w:val="outset" w:color="auto" w:sz="4" w:space="0"/>
            </w:tcBorders>
            <w:vAlign w:val="center"/>
          </w:tcPr>
          <w:p w14:paraId="5BCBFAFA">
            <w:pPr>
              <w:jc w:val="right"/>
            </w:pPr>
          </w:p>
        </w:tc>
        <w:tc>
          <w:tcPr>
            <w:tcW w:w="1197" w:type="pct"/>
            <w:tcBorders>
              <w:top w:val="outset" w:color="auto" w:sz="4" w:space="0"/>
              <w:left w:val="outset" w:color="auto" w:sz="4" w:space="0"/>
              <w:bottom w:val="outset" w:color="auto" w:sz="4" w:space="0"/>
              <w:right w:val="outset" w:color="auto" w:sz="4" w:space="0"/>
            </w:tcBorders>
            <w:vAlign w:val="center"/>
          </w:tcPr>
          <w:p w14:paraId="3B68359E">
            <w:pPr>
              <w:jc w:val="right"/>
            </w:pPr>
          </w:p>
        </w:tc>
      </w:tr>
      <w:tr w14:paraId="682FDD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00DC2EE8">
            <w:pPr>
              <w:rPr>
                <w:color w:val="000000" w:themeColor="text1"/>
                <w14:textFill>
                  <w14:solidFill>
                    <w14:schemeClr w14:val="tx1"/>
                  </w14:solidFill>
                </w14:textFill>
              </w:rPr>
            </w:pPr>
            <w:r>
              <w:rPr>
                <w:rFonts w:hint="eastAsia"/>
                <w:b/>
                <w:color w:val="000000" w:themeColor="text1"/>
                <w14:textFill>
                  <w14:solidFill>
                    <w14:schemeClr w14:val="tx1"/>
                  </w14:solidFill>
                </w14:textFill>
              </w:rPr>
              <w:t>五、现金及现金等价物净增加额</w:t>
            </w:r>
          </w:p>
        </w:tc>
        <w:tc>
          <w:tcPr>
            <w:tcW w:w="866" w:type="pct"/>
            <w:tcBorders>
              <w:top w:val="outset" w:color="auto" w:sz="4" w:space="0"/>
              <w:left w:val="outset" w:color="auto" w:sz="4" w:space="0"/>
              <w:bottom w:val="outset" w:color="auto" w:sz="4" w:space="0"/>
              <w:right w:val="outset" w:color="auto" w:sz="4" w:space="0"/>
            </w:tcBorders>
            <w:vAlign w:val="center"/>
          </w:tcPr>
          <w:p w14:paraId="1A003434"/>
        </w:tc>
        <w:tc>
          <w:tcPr>
            <w:tcW w:w="1201" w:type="pct"/>
            <w:tcBorders>
              <w:top w:val="outset" w:color="auto" w:sz="4" w:space="0"/>
              <w:left w:val="outset" w:color="auto" w:sz="4" w:space="0"/>
              <w:bottom w:val="outset" w:color="auto" w:sz="4" w:space="0"/>
              <w:right w:val="outset" w:color="auto" w:sz="4" w:space="0"/>
            </w:tcBorders>
            <w:vAlign w:val="center"/>
          </w:tcPr>
          <w:p w14:paraId="14DF7208">
            <w:pPr>
              <w:jc w:val="right"/>
            </w:pPr>
            <w:r>
              <w:t>6,203,098.73</w:t>
            </w:r>
          </w:p>
        </w:tc>
        <w:tc>
          <w:tcPr>
            <w:tcW w:w="1197" w:type="pct"/>
            <w:tcBorders>
              <w:top w:val="outset" w:color="auto" w:sz="4" w:space="0"/>
              <w:left w:val="outset" w:color="auto" w:sz="4" w:space="0"/>
              <w:bottom w:val="outset" w:color="auto" w:sz="4" w:space="0"/>
              <w:right w:val="outset" w:color="auto" w:sz="4" w:space="0"/>
            </w:tcBorders>
            <w:vAlign w:val="center"/>
          </w:tcPr>
          <w:p w14:paraId="5B26524B">
            <w:pPr>
              <w:jc w:val="right"/>
            </w:pPr>
            <w:r>
              <w:t>-28,269,793.00</w:t>
            </w:r>
          </w:p>
        </w:tc>
      </w:tr>
      <w:tr w14:paraId="4E0B3A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0F638FF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加：期初现金及现金等价物余额</w:t>
            </w:r>
          </w:p>
        </w:tc>
        <w:tc>
          <w:tcPr>
            <w:tcW w:w="866" w:type="pct"/>
            <w:tcBorders>
              <w:top w:val="outset" w:color="auto" w:sz="4" w:space="0"/>
              <w:left w:val="outset" w:color="auto" w:sz="4" w:space="0"/>
              <w:bottom w:val="outset" w:color="auto" w:sz="4" w:space="0"/>
              <w:right w:val="outset" w:color="auto" w:sz="4" w:space="0"/>
            </w:tcBorders>
            <w:vAlign w:val="center"/>
          </w:tcPr>
          <w:p w14:paraId="7997EABF"/>
        </w:tc>
        <w:tc>
          <w:tcPr>
            <w:tcW w:w="1201" w:type="pct"/>
            <w:tcBorders>
              <w:top w:val="outset" w:color="auto" w:sz="4" w:space="0"/>
              <w:left w:val="outset" w:color="auto" w:sz="4" w:space="0"/>
              <w:bottom w:val="outset" w:color="auto" w:sz="4" w:space="0"/>
              <w:right w:val="outset" w:color="auto" w:sz="4" w:space="0"/>
            </w:tcBorders>
            <w:vAlign w:val="center"/>
          </w:tcPr>
          <w:p w14:paraId="54159BAB">
            <w:pPr>
              <w:jc w:val="right"/>
            </w:pPr>
            <w:r>
              <w:t>37,844,933.26</w:t>
            </w:r>
          </w:p>
        </w:tc>
        <w:tc>
          <w:tcPr>
            <w:tcW w:w="1197" w:type="pct"/>
            <w:tcBorders>
              <w:top w:val="outset" w:color="auto" w:sz="4" w:space="0"/>
              <w:left w:val="outset" w:color="auto" w:sz="4" w:space="0"/>
              <w:bottom w:val="outset" w:color="auto" w:sz="4" w:space="0"/>
              <w:right w:val="outset" w:color="auto" w:sz="4" w:space="0"/>
            </w:tcBorders>
            <w:vAlign w:val="center"/>
          </w:tcPr>
          <w:p w14:paraId="5C01D9BE">
            <w:pPr>
              <w:jc w:val="right"/>
            </w:pPr>
            <w:r>
              <w:t>48,525,828.68</w:t>
            </w:r>
          </w:p>
        </w:tc>
      </w:tr>
      <w:tr w14:paraId="3D3DA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36" w:type="pct"/>
            <w:tcBorders>
              <w:top w:val="outset" w:color="auto" w:sz="4" w:space="0"/>
              <w:left w:val="outset" w:color="auto" w:sz="4" w:space="0"/>
              <w:bottom w:val="outset" w:color="auto" w:sz="4" w:space="0"/>
              <w:right w:val="outset" w:color="auto" w:sz="4" w:space="0"/>
            </w:tcBorders>
            <w:vAlign w:val="center"/>
          </w:tcPr>
          <w:p w14:paraId="1FBF9B88">
            <w:pPr>
              <w:rPr>
                <w:color w:val="000000" w:themeColor="text1"/>
                <w14:textFill>
                  <w14:solidFill>
                    <w14:schemeClr w14:val="tx1"/>
                  </w14:solidFill>
                </w14:textFill>
              </w:rPr>
            </w:pPr>
            <w:r>
              <w:rPr>
                <w:rFonts w:hint="eastAsia"/>
                <w:b/>
                <w:color w:val="000000" w:themeColor="text1"/>
                <w14:textFill>
                  <w14:solidFill>
                    <w14:schemeClr w14:val="tx1"/>
                  </w14:solidFill>
                </w14:textFill>
              </w:rPr>
              <w:t>六、期末现金及现金等价物余额</w:t>
            </w:r>
          </w:p>
        </w:tc>
        <w:tc>
          <w:tcPr>
            <w:tcW w:w="866" w:type="pct"/>
            <w:tcBorders>
              <w:top w:val="outset" w:color="auto" w:sz="4" w:space="0"/>
              <w:left w:val="outset" w:color="auto" w:sz="4" w:space="0"/>
              <w:bottom w:val="outset" w:color="auto" w:sz="4" w:space="0"/>
              <w:right w:val="outset" w:color="auto" w:sz="4" w:space="0"/>
            </w:tcBorders>
            <w:vAlign w:val="center"/>
          </w:tcPr>
          <w:p w14:paraId="14BE85D4"/>
        </w:tc>
        <w:tc>
          <w:tcPr>
            <w:tcW w:w="1201" w:type="pct"/>
            <w:tcBorders>
              <w:top w:val="outset" w:color="auto" w:sz="4" w:space="0"/>
              <w:left w:val="outset" w:color="auto" w:sz="4" w:space="0"/>
              <w:bottom w:val="outset" w:color="auto" w:sz="4" w:space="0"/>
              <w:right w:val="outset" w:color="auto" w:sz="4" w:space="0"/>
            </w:tcBorders>
            <w:vAlign w:val="center"/>
          </w:tcPr>
          <w:p w14:paraId="6C20CC30">
            <w:pPr>
              <w:jc w:val="right"/>
            </w:pPr>
            <w:r>
              <w:t>44,048,031.99</w:t>
            </w:r>
          </w:p>
        </w:tc>
        <w:tc>
          <w:tcPr>
            <w:tcW w:w="1197" w:type="pct"/>
            <w:tcBorders>
              <w:top w:val="outset" w:color="auto" w:sz="4" w:space="0"/>
              <w:left w:val="outset" w:color="auto" w:sz="4" w:space="0"/>
              <w:bottom w:val="outset" w:color="auto" w:sz="4" w:space="0"/>
              <w:right w:val="outset" w:color="auto" w:sz="4" w:space="0"/>
            </w:tcBorders>
            <w:vAlign w:val="center"/>
          </w:tcPr>
          <w:p w14:paraId="414633CA">
            <w:pPr>
              <w:jc w:val="right"/>
            </w:pPr>
            <w:r>
              <w:t>20,256,035.68</w:t>
            </w:r>
          </w:p>
        </w:tc>
      </w:tr>
      <w:bookmarkEnd w:id="125"/>
    </w:tbl>
    <w:p w14:paraId="01D6A21B">
      <w:pPr>
        <w:snapToGrid w:val="0"/>
        <w:spacing w:line="240" w:lineRule="atLeast"/>
        <w:ind w:right="25" w:rightChars="12"/>
        <w:rPr>
          <w:color w:val="000000" w:themeColor="text1"/>
          <w14:textFill>
            <w14:solidFill>
              <w14:schemeClr w14:val="tx1"/>
            </w14:solidFill>
          </w14:textFill>
        </w:rPr>
      </w:pPr>
    </w:p>
    <w:p w14:paraId="22159DA2">
      <w:pPr>
        <w:snapToGrid w:val="0"/>
        <w:spacing w:line="240" w:lineRule="atLeast"/>
        <w:ind w:right="25" w:rightChars="12"/>
        <w:rPr>
          <w:b/>
          <w:bCs w:val="0"/>
          <w:color w:val="000000" w:themeColor="text1"/>
          <w14:textFill>
            <w14:solidFill>
              <w14:schemeClr w14:val="tx1"/>
            </w14:solidFill>
          </w14:textFill>
        </w:rPr>
      </w:pPr>
      <w:r>
        <w:rPr>
          <w:color w:val="000000" w:themeColor="text1"/>
          <w14:textFill>
            <w14:solidFill>
              <w14:schemeClr w14:val="tx1"/>
            </w14:solidFill>
          </w14:textFill>
        </w:rPr>
        <w:t>公司负责人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公司负责人"/>
          <w:tag w:val="_GBC_d1f7cb193ab444ff8482a06aad12f0db"/>
          <w:id w:val="655573129"/>
          <w:placeholder>
            <w:docPart w:val="GBC22222222222222222222222222222"/>
          </w:placeholder>
          <w:dataBinding w:prefixMappings="xmlns:clcid-mr='clcid-mr'" w:xpath="/*/clcid-mr:GongSi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唐传勤</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主管会计工作负责人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主管会计工作负责人姓名"/>
          <w:tag w:val="_GBC_45110b4746914613a7aad68cef7b1bed"/>
          <w:id w:val="515423657"/>
          <w:placeholder>
            <w:docPart w:val="GBC22222222222222222222222222222"/>
          </w:placeholder>
          <w:dataBinding w:prefixMappings="xmlns:clcid-mr='clcid-mr'" w:xpath="/*/clcid-mr:ZhuGuanKuaiJiGongZuo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宋荣超</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会计机构负责人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会计机构负责人姓名"/>
          <w:tag w:val="_GBC_e7d70223996e482d9871cfff87704452"/>
          <w:id w:val="1760405180"/>
          <w:placeholder>
            <w:docPart w:val="GBC22222222222222222222222222222"/>
          </w:placeholder>
          <w:dataBinding w:prefixMappings="xmlns:clcid-mr='clcid-mr'" w:xpath="/*/clcid-mr:KuaiJiJiGou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张小嫘</w:t>
          </w:r>
        </w:sdtContent>
      </w:sdt>
    </w:p>
    <w:p w14:paraId="324D0FB2">
      <w:pPr>
        <w:rPr>
          <w:color w:val="000000" w:themeColor="text1"/>
          <w14:textFill>
            <w14:solidFill>
              <w14:schemeClr w14:val="tx1"/>
            </w14:solidFill>
          </w14:textFill>
        </w:rPr>
      </w:pPr>
    </w:p>
    <w:p w14:paraId="515FE0DA">
      <w:pPr>
        <w:jc w:val="center"/>
        <w:rPr>
          <w:b/>
          <w:bCs w:val="0"/>
          <w:color w:val="000000" w:themeColor="text1"/>
          <w14:textFill>
            <w14:solidFill>
              <w14:schemeClr w14:val="tx1"/>
            </w14:solidFill>
          </w14:textFill>
        </w:rPr>
      </w:pPr>
    </w:p>
    <w:p w14:paraId="6641E615">
      <w:pPr>
        <w:pStyle w:val="4"/>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母公司</w:t>
      </w:r>
      <w:r>
        <w:rPr>
          <w:rFonts w:ascii="宋体" w:hAnsi="宋体"/>
          <w:color w:val="000000" w:themeColor="text1"/>
          <w14:textFill>
            <w14:solidFill>
              <w14:schemeClr w14:val="tx1"/>
            </w14:solidFill>
          </w14:textFill>
        </w:rPr>
        <w:t>现金流量表</w:t>
      </w:r>
    </w:p>
    <w:p w14:paraId="09249A22">
      <w:pPr>
        <w:jc w:val="center"/>
        <w:rPr>
          <w:b/>
          <w:bCs w:val="0"/>
          <w:color w:val="000000" w:themeColor="text1"/>
          <w14:textFill>
            <w14:solidFill>
              <w14:schemeClr w14:val="tx1"/>
            </w14:solidFill>
          </w14:textFill>
        </w:rPr>
      </w:pPr>
      <w:r>
        <w:rPr>
          <w:color w:val="000000" w:themeColor="text1"/>
          <w14:textFill>
            <w14:solidFill>
              <w14:schemeClr w14:val="tx1"/>
            </w14:solidFill>
          </w14:textFill>
        </w:rPr>
        <w:t>2026年</w:t>
      </w:r>
      <w:r>
        <w:rPr>
          <w:rFonts w:hint="eastAsia"/>
          <w:color w:val="000000" w:themeColor="text1"/>
          <w14:textFill>
            <w14:solidFill>
              <w14:schemeClr w14:val="tx1"/>
            </w14:solidFill>
          </w14:textFill>
        </w:rPr>
        <w:t>1—6</w:t>
      </w:r>
      <w:r>
        <w:rPr>
          <w:color w:val="000000" w:themeColor="text1"/>
          <w14:textFill>
            <w14:solidFill>
              <w14:schemeClr w14:val="tx1"/>
            </w14:solidFill>
          </w14:textFill>
        </w:rPr>
        <w:t>月</w:t>
      </w:r>
    </w:p>
    <w:p w14:paraId="5C39D068">
      <w:pPr>
        <w:jc w:val="right"/>
        <w:rPr>
          <w:color w:val="000000" w:themeColor="text1"/>
          <w14:textFill>
            <w14:solidFill>
              <w14:schemeClr w14:val="tx1"/>
            </w14:solidFill>
          </w14:textFill>
        </w:rPr>
      </w:pPr>
      <w:r>
        <w:rPr>
          <w:color w:val="000000" w:themeColor="text1"/>
          <w14:textFill>
            <w14:solidFill>
              <w14:schemeClr w14:val="tx1"/>
            </w14:solidFill>
          </w14:textFill>
        </w:rPr>
        <w:t>单位：</w:t>
      </w:r>
      <w:sdt>
        <w:sdtPr>
          <w:rPr>
            <w:color w:val="000000" w:themeColor="text1"/>
            <w14:textFill>
              <w14:solidFill>
                <w14:schemeClr w14:val="tx1"/>
              </w14:solidFill>
            </w14:textFill>
          </w:rPr>
          <w:alias w:val="单位：母公司现金流量表"/>
          <w:tag w:val="_GBC_993ead81b27a41dfaccaacfaec8b7c78"/>
          <w:id w:val="-81217441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元</w:t>
          </w:r>
        </w:sdtContent>
      </w:sdt>
      <w:r>
        <w:rPr>
          <w:color w:val="000000" w:themeColor="text1"/>
          <w14:textFill>
            <w14:solidFill>
              <w14:schemeClr w14:val="tx1"/>
            </w14:solidFill>
          </w14:textFill>
        </w:rPr>
        <w:t xml:space="preserve"> 币种：</w:t>
      </w:r>
      <w:sdt>
        <w:sdtPr>
          <w:rPr>
            <w:color w:val="000000" w:themeColor="text1"/>
            <w14:textFill>
              <w14:solidFill>
                <w14:schemeClr w14:val="tx1"/>
              </w14:solidFill>
            </w14:textFill>
          </w:rPr>
          <w:alias w:val="币种：母公司现金流量表"/>
          <w:tag w:val="_GBC_2dd4b706d0a244a4b4c21166025356cc"/>
          <w:id w:val="-18607300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991"/>
        <w:gridCol w:w="1756"/>
        <w:gridCol w:w="2043"/>
        <w:gridCol w:w="2033"/>
      </w:tblGrid>
      <w:tr w14:paraId="23613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20ae0904ed714106892a5beddfe5846a"/>
            <w:id w:val="1763258660"/>
          </w:sdtPr>
          <w:sdtContent>
            <w:tc>
              <w:tcPr>
                <w:tcW w:w="1695" w:type="pct"/>
                <w:tcBorders>
                  <w:top w:val="outset" w:color="auto" w:sz="4" w:space="0"/>
                  <w:left w:val="outset" w:color="auto" w:sz="4" w:space="0"/>
                  <w:bottom w:val="outset" w:color="auto" w:sz="4" w:space="0"/>
                  <w:right w:val="outset" w:color="auto" w:sz="4" w:space="0"/>
                </w:tcBorders>
                <w:vAlign w:val="center"/>
              </w:tcPr>
              <w:p w14:paraId="30FD1F9E">
                <w:pPr>
                  <w:jc w:val="center"/>
                  <w:rPr>
                    <w:b/>
                    <w:bCs w:val="0"/>
                    <w:color w:val="000000" w:themeColor="text1"/>
                    <w14:textFill>
                      <w14:solidFill>
                        <w14:schemeClr w14:val="tx1"/>
                      </w14:solidFill>
                    </w14:textFill>
                  </w:rPr>
                </w:pPr>
                <w:r>
                  <w:rPr>
                    <w:b/>
                    <w:color w:val="000000" w:themeColor="text1"/>
                    <w14:textFill>
                      <w14:solidFill>
                        <w14:schemeClr w14:val="tx1"/>
                      </w14:solidFill>
                    </w14:textFill>
                  </w:rPr>
                  <w:t>项目</w:t>
                </w:r>
              </w:p>
            </w:tc>
          </w:sdtContent>
        </w:sdt>
        <w:sdt>
          <w:sdtPr>
            <w:tag w:val="_PLD_9cb87427e0de42d2b7e58a286ff58290"/>
            <w:id w:val="2096897343"/>
          </w:sdtPr>
          <w:sdtContent>
            <w:tc>
              <w:tcPr>
                <w:tcW w:w="995" w:type="pct"/>
                <w:tcBorders>
                  <w:top w:val="outset" w:color="auto" w:sz="4" w:space="0"/>
                  <w:left w:val="outset" w:color="auto" w:sz="4" w:space="0"/>
                  <w:bottom w:val="outset" w:color="auto" w:sz="4" w:space="0"/>
                  <w:right w:val="outset" w:color="auto" w:sz="4" w:space="0"/>
                </w:tcBorders>
                <w:vAlign w:val="center"/>
              </w:tcPr>
              <w:p w14:paraId="79B2B135">
                <w:pPr>
                  <w:autoSpaceDE w:val="0"/>
                  <w:autoSpaceDN w:val="0"/>
                  <w:adjustRightInd w:val="0"/>
                  <w:jc w:val="center"/>
                  <w:rPr>
                    <w:b/>
                    <w:color w:val="000000" w:themeColor="text1"/>
                    <w14:textFill>
                      <w14:solidFill>
                        <w14:schemeClr w14:val="tx1"/>
                      </w14:solidFill>
                    </w14:textFill>
                  </w:rPr>
                </w:pPr>
                <w:r>
                  <w:rPr>
                    <w:b/>
                    <w:color w:val="000000" w:themeColor="text1"/>
                    <w14:textFill>
                      <w14:solidFill>
                        <w14:schemeClr w14:val="tx1"/>
                      </w14:solidFill>
                    </w14:textFill>
                  </w:rPr>
                  <w:t>附注</w:t>
                </w:r>
              </w:p>
            </w:tc>
          </w:sdtContent>
        </w:sdt>
        <w:sdt>
          <w:sdtPr>
            <w:tag w:val="_PLD_514bbce28b6040e393e59c5ec50c3820"/>
            <w:id w:val="1296107127"/>
          </w:sdtPr>
          <w:sdtContent>
            <w:tc>
              <w:tcPr>
                <w:tcW w:w="1158" w:type="pct"/>
                <w:tcBorders>
                  <w:top w:val="outset" w:color="auto" w:sz="4" w:space="0"/>
                  <w:left w:val="outset" w:color="auto" w:sz="4" w:space="0"/>
                  <w:bottom w:val="outset" w:color="auto" w:sz="4" w:space="0"/>
                  <w:right w:val="outset" w:color="auto" w:sz="4" w:space="0"/>
                </w:tcBorders>
                <w:vAlign w:val="center"/>
              </w:tcPr>
              <w:p w14:paraId="57454307">
                <w:pPr>
                  <w:autoSpaceDE w:val="0"/>
                  <w:autoSpaceDN w:val="0"/>
                  <w:adjustRightInd w:val="0"/>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2026年半年度</w:t>
                </w:r>
              </w:p>
            </w:tc>
          </w:sdtContent>
        </w:sdt>
        <w:sdt>
          <w:sdtPr>
            <w:tag w:val="_PLD_de39c3f730c74ecca3c9a890bc08a2c1"/>
            <w:id w:val="1386831863"/>
          </w:sdtPr>
          <w:sdtContent>
            <w:tc>
              <w:tcPr>
                <w:tcW w:w="1152" w:type="pct"/>
                <w:tcBorders>
                  <w:top w:val="outset" w:color="auto" w:sz="4" w:space="0"/>
                  <w:left w:val="outset" w:color="auto" w:sz="4" w:space="0"/>
                  <w:bottom w:val="outset" w:color="auto" w:sz="4" w:space="0"/>
                  <w:right w:val="outset" w:color="auto" w:sz="4" w:space="0"/>
                </w:tcBorders>
                <w:vAlign w:val="center"/>
              </w:tcPr>
              <w:p w14:paraId="1729384A">
                <w:pPr>
                  <w:autoSpaceDE w:val="0"/>
                  <w:autoSpaceDN w:val="0"/>
                  <w:adjustRightInd w:val="0"/>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2025年半年度</w:t>
                </w:r>
              </w:p>
            </w:tc>
          </w:sdtContent>
        </w:sdt>
      </w:tr>
      <w:tr w14:paraId="5170B0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575fd724a7cb4261a6c80660162ce2fb"/>
            <w:id w:val="-765839196"/>
          </w:sdtPr>
          <w:sdtContent>
            <w:tc>
              <w:tcPr>
                <w:tcW w:w="5000" w:type="pct"/>
                <w:gridSpan w:val="4"/>
                <w:tcBorders>
                  <w:top w:val="outset" w:color="auto" w:sz="4" w:space="0"/>
                  <w:left w:val="outset" w:color="auto" w:sz="4" w:space="0"/>
                  <w:bottom w:val="outset" w:color="auto" w:sz="4" w:space="0"/>
                  <w:right w:val="outset" w:color="auto" w:sz="4" w:space="0"/>
                </w:tcBorders>
                <w:vAlign w:val="center"/>
              </w:tcPr>
              <w:p w14:paraId="62F0F841">
                <w:pPr>
                  <w:rPr>
                    <w:color w:val="000000" w:themeColor="text1"/>
                    <w14:textFill>
                      <w14:solidFill>
                        <w14:schemeClr w14:val="tx1"/>
                      </w14:solidFill>
                    </w14:textFill>
                  </w:rPr>
                </w:pPr>
                <w:r>
                  <w:rPr>
                    <w:rFonts w:hint="eastAsia"/>
                    <w:b/>
                    <w:color w:val="000000" w:themeColor="text1"/>
                    <w14:textFill>
                      <w14:solidFill>
                        <w14:schemeClr w14:val="tx1"/>
                      </w14:solidFill>
                    </w14:textFill>
                  </w:rPr>
                  <w:t>一、经营活动产生的现金流量：</w:t>
                </w:r>
              </w:p>
            </w:tc>
          </w:sdtContent>
        </w:sdt>
      </w:tr>
      <w:tr w14:paraId="63B9B8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6B38A49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销售商品、提供劳务收到的现金</w:t>
            </w:r>
          </w:p>
        </w:tc>
        <w:tc>
          <w:tcPr>
            <w:tcW w:w="995" w:type="pct"/>
            <w:tcBorders>
              <w:top w:val="outset" w:color="auto" w:sz="4" w:space="0"/>
              <w:left w:val="outset" w:color="auto" w:sz="4" w:space="0"/>
              <w:bottom w:val="outset" w:color="auto" w:sz="4" w:space="0"/>
              <w:right w:val="outset" w:color="auto" w:sz="4" w:space="0"/>
            </w:tcBorders>
            <w:vAlign w:val="center"/>
          </w:tcPr>
          <w:p w14:paraId="770FFB17"/>
        </w:tc>
        <w:tc>
          <w:tcPr>
            <w:tcW w:w="1158" w:type="pct"/>
            <w:tcBorders>
              <w:top w:val="outset" w:color="auto" w:sz="4" w:space="0"/>
              <w:left w:val="outset" w:color="auto" w:sz="4" w:space="0"/>
              <w:bottom w:val="outset" w:color="auto" w:sz="4" w:space="0"/>
              <w:right w:val="outset" w:color="auto" w:sz="4" w:space="0"/>
            </w:tcBorders>
            <w:vAlign w:val="center"/>
          </w:tcPr>
          <w:p w14:paraId="3B209C77">
            <w:pPr>
              <w:jc w:val="right"/>
            </w:pPr>
            <w:r>
              <w:t>580,660,862.35</w:t>
            </w:r>
          </w:p>
        </w:tc>
        <w:tc>
          <w:tcPr>
            <w:tcW w:w="1152" w:type="pct"/>
            <w:tcBorders>
              <w:top w:val="outset" w:color="auto" w:sz="4" w:space="0"/>
              <w:left w:val="outset" w:color="auto" w:sz="4" w:space="0"/>
              <w:bottom w:val="outset" w:color="auto" w:sz="4" w:space="0"/>
              <w:right w:val="outset" w:color="auto" w:sz="4" w:space="0"/>
            </w:tcBorders>
            <w:vAlign w:val="center"/>
          </w:tcPr>
          <w:p w14:paraId="6D1F457D">
            <w:pPr>
              <w:jc w:val="right"/>
            </w:pPr>
            <w:r>
              <w:t>548,461,409.90</w:t>
            </w:r>
          </w:p>
        </w:tc>
      </w:tr>
      <w:tr w14:paraId="0C250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66E637A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收到的税费返还</w:t>
            </w:r>
          </w:p>
        </w:tc>
        <w:tc>
          <w:tcPr>
            <w:tcW w:w="995" w:type="pct"/>
            <w:tcBorders>
              <w:top w:val="outset" w:color="auto" w:sz="4" w:space="0"/>
              <w:left w:val="outset" w:color="auto" w:sz="4" w:space="0"/>
              <w:bottom w:val="outset" w:color="auto" w:sz="4" w:space="0"/>
              <w:right w:val="outset" w:color="auto" w:sz="4" w:space="0"/>
            </w:tcBorders>
            <w:vAlign w:val="center"/>
          </w:tcPr>
          <w:p w14:paraId="28F1984C"/>
        </w:tc>
        <w:tc>
          <w:tcPr>
            <w:tcW w:w="1158" w:type="pct"/>
            <w:tcBorders>
              <w:top w:val="outset" w:color="auto" w:sz="4" w:space="0"/>
              <w:left w:val="outset" w:color="auto" w:sz="4" w:space="0"/>
              <w:bottom w:val="outset" w:color="auto" w:sz="4" w:space="0"/>
              <w:right w:val="outset" w:color="auto" w:sz="4" w:space="0"/>
            </w:tcBorders>
            <w:vAlign w:val="center"/>
          </w:tcPr>
          <w:p w14:paraId="576C6FE7">
            <w:pPr>
              <w:jc w:val="right"/>
            </w:pPr>
          </w:p>
        </w:tc>
        <w:tc>
          <w:tcPr>
            <w:tcW w:w="1152" w:type="pct"/>
            <w:tcBorders>
              <w:top w:val="outset" w:color="auto" w:sz="4" w:space="0"/>
              <w:left w:val="outset" w:color="auto" w:sz="4" w:space="0"/>
              <w:bottom w:val="outset" w:color="auto" w:sz="4" w:space="0"/>
              <w:right w:val="outset" w:color="auto" w:sz="4" w:space="0"/>
            </w:tcBorders>
            <w:vAlign w:val="center"/>
          </w:tcPr>
          <w:p w14:paraId="760DD804">
            <w:pPr>
              <w:jc w:val="right"/>
            </w:pPr>
          </w:p>
        </w:tc>
      </w:tr>
      <w:tr w14:paraId="76AD27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04C72FEC">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收到其他与经营活动有关的现金</w:t>
            </w:r>
          </w:p>
        </w:tc>
        <w:tc>
          <w:tcPr>
            <w:tcW w:w="995" w:type="pct"/>
            <w:tcBorders>
              <w:top w:val="outset" w:color="auto" w:sz="4" w:space="0"/>
              <w:left w:val="outset" w:color="auto" w:sz="4" w:space="0"/>
              <w:bottom w:val="outset" w:color="auto" w:sz="4" w:space="0"/>
              <w:right w:val="outset" w:color="auto" w:sz="4" w:space="0"/>
            </w:tcBorders>
            <w:vAlign w:val="center"/>
          </w:tcPr>
          <w:p w14:paraId="68861526"/>
        </w:tc>
        <w:tc>
          <w:tcPr>
            <w:tcW w:w="1158" w:type="pct"/>
            <w:tcBorders>
              <w:top w:val="outset" w:color="auto" w:sz="4" w:space="0"/>
              <w:left w:val="outset" w:color="auto" w:sz="4" w:space="0"/>
              <w:bottom w:val="outset" w:color="auto" w:sz="4" w:space="0"/>
              <w:right w:val="outset" w:color="auto" w:sz="4" w:space="0"/>
            </w:tcBorders>
            <w:vAlign w:val="center"/>
          </w:tcPr>
          <w:p w14:paraId="7AE63748">
            <w:pPr>
              <w:jc w:val="right"/>
            </w:pPr>
            <w:r>
              <w:t>532,956,133.47</w:t>
            </w:r>
          </w:p>
        </w:tc>
        <w:tc>
          <w:tcPr>
            <w:tcW w:w="1152" w:type="pct"/>
            <w:tcBorders>
              <w:top w:val="outset" w:color="auto" w:sz="4" w:space="0"/>
              <w:left w:val="outset" w:color="auto" w:sz="4" w:space="0"/>
              <w:bottom w:val="outset" w:color="auto" w:sz="4" w:space="0"/>
              <w:right w:val="outset" w:color="auto" w:sz="4" w:space="0"/>
            </w:tcBorders>
            <w:vAlign w:val="center"/>
          </w:tcPr>
          <w:p w14:paraId="6CE3B53F">
            <w:pPr>
              <w:jc w:val="right"/>
            </w:pPr>
            <w:r>
              <w:t>854,598,537.99</w:t>
            </w:r>
          </w:p>
        </w:tc>
      </w:tr>
      <w:tr w14:paraId="50FE3E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6BE07FB0">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经营活动现金流入小计</w:t>
            </w:r>
          </w:p>
        </w:tc>
        <w:tc>
          <w:tcPr>
            <w:tcW w:w="995" w:type="pct"/>
            <w:tcBorders>
              <w:top w:val="outset" w:color="auto" w:sz="4" w:space="0"/>
              <w:left w:val="outset" w:color="auto" w:sz="4" w:space="0"/>
              <w:bottom w:val="outset" w:color="auto" w:sz="4" w:space="0"/>
              <w:right w:val="outset" w:color="auto" w:sz="4" w:space="0"/>
            </w:tcBorders>
            <w:vAlign w:val="center"/>
          </w:tcPr>
          <w:p w14:paraId="1E8F7AC0"/>
        </w:tc>
        <w:tc>
          <w:tcPr>
            <w:tcW w:w="1158" w:type="pct"/>
            <w:tcBorders>
              <w:top w:val="outset" w:color="auto" w:sz="4" w:space="0"/>
              <w:left w:val="outset" w:color="auto" w:sz="4" w:space="0"/>
              <w:bottom w:val="outset" w:color="auto" w:sz="4" w:space="0"/>
              <w:right w:val="outset" w:color="auto" w:sz="4" w:space="0"/>
            </w:tcBorders>
            <w:vAlign w:val="center"/>
          </w:tcPr>
          <w:p w14:paraId="0164DC50">
            <w:pPr>
              <w:jc w:val="right"/>
            </w:pPr>
            <w:r>
              <w:t>1,113,616,995.82</w:t>
            </w:r>
          </w:p>
        </w:tc>
        <w:tc>
          <w:tcPr>
            <w:tcW w:w="1152" w:type="pct"/>
            <w:tcBorders>
              <w:top w:val="outset" w:color="auto" w:sz="4" w:space="0"/>
              <w:left w:val="outset" w:color="auto" w:sz="4" w:space="0"/>
              <w:bottom w:val="outset" w:color="auto" w:sz="4" w:space="0"/>
              <w:right w:val="outset" w:color="auto" w:sz="4" w:space="0"/>
            </w:tcBorders>
            <w:vAlign w:val="center"/>
          </w:tcPr>
          <w:p w14:paraId="1564A442">
            <w:pPr>
              <w:jc w:val="right"/>
            </w:pPr>
            <w:r>
              <w:t>1,403,059,947.89</w:t>
            </w:r>
          </w:p>
        </w:tc>
      </w:tr>
      <w:tr w14:paraId="0AACBC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44AFFD77">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购买商品、接受劳务支付的现金</w:t>
            </w:r>
          </w:p>
        </w:tc>
        <w:tc>
          <w:tcPr>
            <w:tcW w:w="995" w:type="pct"/>
            <w:tcBorders>
              <w:top w:val="outset" w:color="auto" w:sz="4" w:space="0"/>
              <w:left w:val="outset" w:color="auto" w:sz="4" w:space="0"/>
              <w:bottom w:val="outset" w:color="auto" w:sz="4" w:space="0"/>
              <w:right w:val="outset" w:color="auto" w:sz="4" w:space="0"/>
            </w:tcBorders>
            <w:vAlign w:val="center"/>
          </w:tcPr>
          <w:p w14:paraId="2E9B9B4B"/>
        </w:tc>
        <w:tc>
          <w:tcPr>
            <w:tcW w:w="1158" w:type="pct"/>
            <w:tcBorders>
              <w:top w:val="outset" w:color="auto" w:sz="4" w:space="0"/>
              <w:left w:val="outset" w:color="auto" w:sz="4" w:space="0"/>
              <w:bottom w:val="outset" w:color="auto" w:sz="4" w:space="0"/>
              <w:right w:val="outset" w:color="auto" w:sz="4" w:space="0"/>
            </w:tcBorders>
            <w:vAlign w:val="center"/>
          </w:tcPr>
          <w:p w14:paraId="22A156A7">
            <w:pPr>
              <w:jc w:val="right"/>
            </w:pPr>
            <w:r>
              <w:t>264,519,673.07</w:t>
            </w:r>
          </w:p>
        </w:tc>
        <w:tc>
          <w:tcPr>
            <w:tcW w:w="1152" w:type="pct"/>
            <w:tcBorders>
              <w:top w:val="outset" w:color="auto" w:sz="4" w:space="0"/>
              <w:left w:val="outset" w:color="auto" w:sz="4" w:space="0"/>
              <w:bottom w:val="outset" w:color="auto" w:sz="4" w:space="0"/>
              <w:right w:val="outset" w:color="auto" w:sz="4" w:space="0"/>
            </w:tcBorders>
            <w:vAlign w:val="center"/>
          </w:tcPr>
          <w:p w14:paraId="2286064F">
            <w:pPr>
              <w:jc w:val="right"/>
            </w:pPr>
            <w:r>
              <w:t>368,301,952.47</w:t>
            </w:r>
          </w:p>
        </w:tc>
      </w:tr>
      <w:tr w14:paraId="2A1131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1FCEE04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支付给职工及为职工支付的现金</w:t>
            </w:r>
          </w:p>
        </w:tc>
        <w:tc>
          <w:tcPr>
            <w:tcW w:w="995" w:type="pct"/>
            <w:tcBorders>
              <w:top w:val="outset" w:color="auto" w:sz="4" w:space="0"/>
              <w:left w:val="outset" w:color="auto" w:sz="4" w:space="0"/>
              <w:bottom w:val="outset" w:color="auto" w:sz="4" w:space="0"/>
              <w:right w:val="outset" w:color="auto" w:sz="4" w:space="0"/>
            </w:tcBorders>
            <w:vAlign w:val="center"/>
          </w:tcPr>
          <w:p w14:paraId="5E7E32A5"/>
        </w:tc>
        <w:tc>
          <w:tcPr>
            <w:tcW w:w="1158" w:type="pct"/>
            <w:tcBorders>
              <w:top w:val="outset" w:color="auto" w:sz="4" w:space="0"/>
              <w:left w:val="outset" w:color="auto" w:sz="4" w:space="0"/>
              <w:bottom w:val="outset" w:color="auto" w:sz="4" w:space="0"/>
              <w:right w:val="outset" w:color="auto" w:sz="4" w:space="0"/>
            </w:tcBorders>
            <w:vAlign w:val="center"/>
          </w:tcPr>
          <w:p w14:paraId="2A69C8A6">
            <w:pPr>
              <w:jc w:val="right"/>
            </w:pPr>
            <w:r>
              <w:t>36,980,019.06</w:t>
            </w:r>
          </w:p>
        </w:tc>
        <w:tc>
          <w:tcPr>
            <w:tcW w:w="1152" w:type="pct"/>
            <w:tcBorders>
              <w:top w:val="outset" w:color="auto" w:sz="4" w:space="0"/>
              <w:left w:val="outset" w:color="auto" w:sz="4" w:space="0"/>
              <w:bottom w:val="outset" w:color="auto" w:sz="4" w:space="0"/>
              <w:right w:val="outset" w:color="auto" w:sz="4" w:space="0"/>
            </w:tcBorders>
            <w:vAlign w:val="center"/>
          </w:tcPr>
          <w:p w14:paraId="37434094">
            <w:pPr>
              <w:jc w:val="right"/>
            </w:pPr>
            <w:r>
              <w:t>32,292,162.25</w:t>
            </w:r>
          </w:p>
        </w:tc>
      </w:tr>
      <w:tr w14:paraId="660E68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70939DE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支付的各项税费</w:t>
            </w:r>
          </w:p>
        </w:tc>
        <w:tc>
          <w:tcPr>
            <w:tcW w:w="995" w:type="pct"/>
            <w:tcBorders>
              <w:top w:val="outset" w:color="auto" w:sz="4" w:space="0"/>
              <w:left w:val="outset" w:color="auto" w:sz="4" w:space="0"/>
              <w:bottom w:val="outset" w:color="auto" w:sz="4" w:space="0"/>
              <w:right w:val="outset" w:color="auto" w:sz="4" w:space="0"/>
            </w:tcBorders>
            <w:vAlign w:val="center"/>
          </w:tcPr>
          <w:p w14:paraId="6A1DB37B"/>
        </w:tc>
        <w:tc>
          <w:tcPr>
            <w:tcW w:w="1158" w:type="pct"/>
            <w:tcBorders>
              <w:top w:val="outset" w:color="auto" w:sz="4" w:space="0"/>
              <w:left w:val="outset" w:color="auto" w:sz="4" w:space="0"/>
              <w:bottom w:val="outset" w:color="auto" w:sz="4" w:space="0"/>
              <w:right w:val="outset" w:color="auto" w:sz="4" w:space="0"/>
            </w:tcBorders>
            <w:vAlign w:val="center"/>
          </w:tcPr>
          <w:p w14:paraId="107B6C99">
            <w:pPr>
              <w:jc w:val="right"/>
            </w:pPr>
            <w:r>
              <w:t>2,928,332.86</w:t>
            </w:r>
          </w:p>
        </w:tc>
        <w:tc>
          <w:tcPr>
            <w:tcW w:w="1152" w:type="pct"/>
            <w:tcBorders>
              <w:top w:val="outset" w:color="auto" w:sz="4" w:space="0"/>
              <w:left w:val="outset" w:color="auto" w:sz="4" w:space="0"/>
              <w:bottom w:val="outset" w:color="auto" w:sz="4" w:space="0"/>
              <w:right w:val="outset" w:color="auto" w:sz="4" w:space="0"/>
            </w:tcBorders>
            <w:vAlign w:val="center"/>
          </w:tcPr>
          <w:p w14:paraId="6A01E72C">
            <w:pPr>
              <w:jc w:val="right"/>
            </w:pPr>
            <w:r>
              <w:t>4,736,370.31</w:t>
            </w:r>
          </w:p>
        </w:tc>
      </w:tr>
      <w:tr w14:paraId="3E5A2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695" w:type="pct"/>
            <w:tcBorders>
              <w:top w:val="outset" w:color="auto" w:sz="4" w:space="0"/>
              <w:left w:val="outset" w:color="auto" w:sz="4" w:space="0"/>
              <w:bottom w:val="outset" w:color="auto" w:sz="4" w:space="0"/>
              <w:right w:val="outset" w:color="auto" w:sz="4" w:space="0"/>
            </w:tcBorders>
            <w:vAlign w:val="center"/>
          </w:tcPr>
          <w:p w14:paraId="51D207E4">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支付其他与经营活动有关的现金</w:t>
            </w:r>
          </w:p>
        </w:tc>
        <w:tc>
          <w:tcPr>
            <w:tcW w:w="995" w:type="pct"/>
            <w:tcBorders>
              <w:top w:val="outset" w:color="auto" w:sz="4" w:space="0"/>
              <w:left w:val="outset" w:color="auto" w:sz="4" w:space="0"/>
              <w:bottom w:val="outset" w:color="auto" w:sz="4" w:space="0"/>
              <w:right w:val="outset" w:color="auto" w:sz="4" w:space="0"/>
            </w:tcBorders>
            <w:vAlign w:val="center"/>
          </w:tcPr>
          <w:p w14:paraId="01859045"/>
        </w:tc>
        <w:tc>
          <w:tcPr>
            <w:tcW w:w="1158" w:type="pct"/>
            <w:tcBorders>
              <w:top w:val="outset" w:color="auto" w:sz="4" w:space="0"/>
              <w:left w:val="outset" w:color="auto" w:sz="4" w:space="0"/>
              <w:bottom w:val="outset" w:color="auto" w:sz="4" w:space="0"/>
              <w:right w:val="outset" w:color="auto" w:sz="4" w:space="0"/>
            </w:tcBorders>
            <w:vAlign w:val="center"/>
          </w:tcPr>
          <w:p w14:paraId="7BFC63C1">
            <w:pPr>
              <w:jc w:val="right"/>
            </w:pPr>
            <w:r>
              <w:t>591,825,676.50</w:t>
            </w:r>
          </w:p>
        </w:tc>
        <w:tc>
          <w:tcPr>
            <w:tcW w:w="1152" w:type="pct"/>
            <w:tcBorders>
              <w:top w:val="outset" w:color="auto" w:sz="4" w:space="0"/>
              <w:left w:val="outset" w:color="auto" w:sz="4" w:space="0"/>
              <w:bottom w:val="outset" w:color="auto" w:sz="4" w:space="0"/>
              <w:right w:val="outset" w:color="auto" w:sz="4" w:space="0"/>
            </w:tcBorders>
            <w:vAlign w:val="center"/>
          </w:tcPr>
          <w:p w14:paraId="1C8BE844">
            <w:pPr>
              <w:jc w:val="right"/>
            </w:pPr>
            <w:r>
              <w:t>974,545,260.14</w:t>
            </w:r>
          </w:p>
        </w:tc>
      </w:tr>
      <w:tr w14:paraId="54871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695" w:type="pct"/>
            <w:tcBorders>
              <w:top w:val="outset" w:color="auto" w:sz="4" w:space="0"/>
              <w:left w:val="outset" w:color="auto" w:sz="4" w:space="0"/>
              <w:bottom w:val="outset" w:color="auto" w:sz="4" w:space="0"/>
              <w:right w:val="outset" w:color="auto" w:sz="4" w:space="0"/>
            </w:tcBorders>
            <w:vAlign w:val="center"/>
          </w:tcPr>
          <w:p w14:paraId="24D0AD36">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经营活动现金流出小计</w:t>
            </w:r>
          </w:p>
        </w:tc>
        <w:tc>
          <w:tcPr>
            <w:tcW w:w="995" w:type="pct"/>
            <w:tcBorders>
              <w:top w:val="outset" w:color="auto" w:sz="4" w:space="0"/>
              <w:left w:val="outset" w:color="auto" w:sz="4" w:space="0"/>
              <w:bottom w:val="outset" w:color="auto" w:sz="4" w:space="0"/>
              <w:right w:val="outset" w:color="auto" w:sz="4" w:space="0"/>
            </w:tcBorders>
            <w:vAlign w:val="center"/>
          </w:tcPr>
          <w:p w14:paraId="7491BE9D"/>
        </w:tc>
        <w:tc>
          <w:tcPr>
            <w:tcW w:w="1158" w:type="pct"/>
            <w:tcBorders>
              <w:top w:val="outset" w:color="auto" w:sz="4" w:space="0"/>
              <w:left w:val="outset" w:color="auto" w:sz="4" w:space="0"/>
              <w:bottom w:val="outset" w:color="auto" w:sz="4" w:space="0"/>
              <w:right w:val="outset" w:color="auto" w:sz="4" w:space="0"/>
            </w:tcBorders>
            <w:vAlign w:val="center"/>
          </w:tcPr>
          <w:p w14:paraId="164A909D">
            <w:pPr>
              <w:jc w:val="right"/>
            </w:pPr>
            <w:r>
              <w:t>896,253,701.49</w:t>
            </w:r>
          </w:p>
        </w:tc>
        <w:tc>
          <w:tcPr>
            <w:tcW w:w="1152" w:type="pct"/>
            <w:tcBorders>
              <w:top w:val="outset" w:color="auto" w:sz="4" w:space="0"/>
              <w:left w:val="outset" w:color="auto" w:sz="4" w:space="0"/>
              <w:bottom w:val="outset" w:color="auto" w:sz="4" w:space="0"/>
              <w:right w:val="outset" w:color="auto" w:sz="4" w:space="0"/>
            </w:tcBorders>
            <w:vAlign w:val="center"/>
          </w:tcPr>
          <w:p w14:paraId="459A8903">
            <w:pPr>
              <w:jc w:val="right"/>
            </w:pPr>
            <w:r>
              <w:t>1,379,875,745.17</w:t>
            </w:r>
          </w:p>
        </w:tc>
      </w:tr>
      <w:tr w14:paraId="44E7D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5DAABEE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经营活动产生的现金流量净额</w:t>
            </w:r>
          </w:p>
        </w:tc>
        <w:tc>
          <w:tcPr>
            <w:tcW w:w="995" w:type="pct"/>
            <w:tcBorders>
              <w:top w:val="outset" w:color="auto" w:sz="4" w:space="0"/>
              <w:left w:val="outset" w:color="auto" w:sz="4" w:space="0"/>
              <w:bottom w:val="outset" w:color="auto" w:sz="4" w:space="0"/>
              <w:right w:val="outset" w:color="auto" w:sz="4" w:space="0"/>
            </w:tcBorders>
            <w:vAlign w:val="center"/>
          </w:tcPr>
          <w:p w14:paraId="7A6B041A"/>
        </w:tc>
        <w:tc>
          <w:tcPr>
            <w:tcW w:w="1158" w:type="pct"/>
            <w:tcBorders>
              <w:top w:val="outset" w:color="auto" w:sz="4" w:space="0"/>
              <w:left w:val="outset" w:color="auto" w:sz="4" w:space="0"/>
              <w:bottom w:val="outset" w:color="auto" w:sz="4" w:space="0"/>
              <w:right w:val="outset" w:color="auto" w:sz="4" w:space="0"/>
            </w:tcBorders>
            <w:vAlign w:val="center"/>
          </w:tcPr>
          <w:p w14:paraId="76894544">
            <w:pPr>
              <w:jc w:val="right"/>
            </w:pPr>
            <w:r>
              <w:t>217,363,294.33</w:t>
            </w:r>
          </w:p>
        </w:tc>
        <w:tc>
          <w:tcPr>
            <w:tcW w:w="1152" w:type="pct"/>
            <w:tcBorders>
              <w:top w:val="outset" w:color="auto" w:sz="4" w:space="0"/>
              <w:left w:val="outset" w:color="auto" w:sz="4" w:space="0"/>
              <w:bottom w:val="outset" w:color="auto" w:sz="4" w:space="0"/>
              <w:right w:val="outset" w:color="auto" w:sz="4" w:space="0"/>
            </w:tcBorders>
            <w:vAlign w:val="center"/>
          </w:tcPr>
          <w:p w14:paraId="0B332A3B">
            <w:pPr>
              <w:jc w:val="right"/>
            </w:pPr>
            <w:r>
              <w:t>23,184,202.72</w:t>
            </w:r>
          </w:p>
        </w:tc>
      </w:tr>
      <w:tr w14:paraId="27F62E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8f9190ce4227402ab02ac6431a00b46e"/>
            <w:id w:val="1224789167"/>
          </w:sdtPr>
          <w:sdtContent>
            <w:tc>
              <w:tcPr>
                <w:tcW w:w="5000" w:type="pct"/>
                <w:gridSpan w:val="4"/>
                <w:tcBorders>
                  <w:top w:val="outset" w:color="auto" w:sz="4" w:space="0"/>
                  <w:left w:val="outset" w:color="auto" w:sz="4" w:space="0"/>
                  <w:bottom w:val="outset" w:color="auto" w:sz="4" w:space="0"/>
                  <w:right w:val="outset" w:color="auto" w:sz="4" w:space="0"/>
                </w:tcBorders>
                <w:vAlign w:val="center"/>
              </w:tcPr>
              <w:p w14:paraId="0DEBBE74">
                <w:pPr>
                  <w:rPr>
                    <w:color w:val="000000" w:themeColor="text1"/>
                    <w14:textFill>
                      <w14:solidFill>
                        <w14:schemeClr w14:val="tx1"/>
                      </w14:solidFill>
                    </w14:textFill>
                  </w:rPr>
                </w:pPr>
                <w:r>
                  <w:rPr>
                    <w:rFonts w:hint="eastAsia"/>
                    <w:b/>
                    <w:color w:val="000000" w:themeColor="text1"/>
                    <w14:textFill>
                      <w14:solidFill>
                        <w14:schemeClr w14:val="tx1"/>
                      </w14:solidFill>
                    </w14:textFill>
                  </w:rPr>
                  <w:t>二、投资活动产生的现金流量：</w:t>
                </w:r>
              </w:p>
            </w:tc>
          </w:sdtContent>
        </w:sdt>
      </w:tr>
      <w:tr w14:paraId="72EEF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2A73ECB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收回投资收到的现金</w:t>
            </w:r>
          </w:p>
        </w:tc>
        <w:tc>
          <w:tcPr>
            <w:tcW w:w="995" w:type="pct"/>
            <w:tcBorders>
              <w:top w:val="outset" w:color="auto" w:sz="4" w:space="0"/>
              <w:left w:val="outset" w:color="auto" w:sz="4" w:space="0"/>
              <w:bottom w:val="outset" w:color="auto" w:sz="4" w:space="0"/>
              <w:right w:val="outset" w:color="auto" w:sz="4" w:space="0"/>
            </w:tcBorders>
            <w:vAlign w:val="center"/>
          </w:tcPr>
          <w:p w14:paraId="3C4C99B8"/>
        </w:tc>
        <w:tc>
          <w:tcPr>
            <w:tcW w:w="1158" w:type="pct"/>
            <w:tcBorders>
              <w:top w:val="outset" w:color="auto" w:sz="4" w:space="0"/>
              <w:left w:val="outset" w:color="auto" w:sz="4" w:space="0"/>
              <w:bottom w:val="outset" w:color="auto" w:sz="4" w:space="0"/>
              <w:right w:val="outset" w:color="auto" w:sz="4" w:space="0"/>
            </w:tcBorders>
            <w:vAlign w:val="center"/>
          </w:tcPr>
          <w:p w14:paraId="61B20A00">
            <w:pPr>
              <w:jc w:val="right"/>
            </w:pPr>
          </w:p>
        </w:tc>
        <w:tc>
          <w:tcPr>
            <w:tcW w:w="1152" w:type="pct"/>
            <w:tcBorders>
              <w:top w:val="outset" w:color="auto" w:sz="4" w:space="0"/>
              <w:left w:val="outset" w:color="auto" w:sz="4" w:space="0"/>
              <w:bottom w:val="outset" w:color="auto" w:sz="4" w:space="0"/>
              <w:right w:val="outset" w:color="auto" w:sz="4" w:space="0"/>
            </w:tcBorders>
            <w:vAlign w:val="center"/>
          </w:tcPr>
          <w:p w14:paraId="063679E5">
            <w:pPr>
              <w:jc w:val="right"/>
            </w:pPr>
          </w:p>
        </w:tc>
      </w:tr>
      <w:tr w14:paraId="39A79C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695" w:type="pct"/>
            <w:tcBorders>
              <w:top w:val="outset" w:color="auto" w:sz="4" w:space="0"/>
              <w:left w:val="outset" w:color="auto" w:sz="4" w:space="0"/>
              <w:bottom w:val="outset" w:color="auto" w:sz="4" w:space="0"/>
              <w:right w:val="outset" w:color="auto" w:sz="4" w:space="0"/>
            </w:tcBorders>
            <w:vAlign w:val="center"/>
          </w:tcPr>
          <w:p w14:paraId="554BC28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取得投资收益收到的现金</w:t>
            </w:r>
          </w:p>
        </w:tc>
        <w:tc>
          <w:tcPr>
            <w:tcW w:w="995" w:type="pct"/>
            <w:tcBorders>
              <w:top w:val="outset" w:color="auto" w:sz="4" w:space="0"/>
              <w:left w:val="outset" w:color="auto" w:sz="4" w:space="0"/>
              <w:bottom w:val="outset" w:color="auto" w:sz="4" w:space="0"/>
              <w:right w:val="outset" w:color="auto" w:sz="4" w:space="0"/>
            </w:tcBorders>
            <w:vAlign w:val="center"/>
          </w:tcPr>
          <w:p w14:paraId="5672799A"/>
        </w:tc>
        <w:tc>
          <w:tcPr>
            <w:tcW w:w="1158" w:type="pct"/>
            <w:tcBorders>
              <w:top w:val="outset" w:color="auto" w:sz="4" w:space="0"/>
              <w:left w:val="outset" w:color="auto" w:sz="4" w:space="0"/>
              <w:bottom w:val="outset" w:color="auto" w:sz="4" w:space="0"/>
              <w:right w:val="outset" w:color="auto" w:sz="4" w:space="0"/>
            </w:tcBorders>
            <w:vAlign w:val="center"/>
          </w:tcPr>
          <w:p w14:paraId="00AFEA82">
            <w:pPr>
              <w:jc w:val="right"/>
            </w:pPr>
          </w:p>
        </w:tc>
        <w:tc>
          <w:tcPr>
            <w:tcW w:w="1152" w:type="pct"/>
            <w:tcBorders>
              <w:top w:val="outset" w:color="auto" w:sz="4" w:space="0"/>
              <w:left w:val="outset" w:color="auto" w:sz="4" w:space="0"/>
              <w:bottom w:val="outset" w:color="auto" w:sz="4" w:space="0"/>
              <w:right w:val="outset" w:color="auto" w:sz="4" w:space="0"/>
            </w:tcBorders>
            <w:vAlign w:val="center"/>
          </w:tcPr>
          <w:p w14:paraId="77C41D5E">
            <w:pPr>
              <w:jc w:val="right"/>
            </w:pPr>
            <w:r>
              <w:t>2,283,523.76</w:t>
            </w:r>
          </w:p>
        </w:tc>
      </w:tr>
      <w:tr w14:paraId="74E9F0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6E2901F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处置固定资产、无形资产和其他长期资产收回的现金净额</w:t>
            </w:r>
          </w:p>
        </w:tc>
        <w:tc>
          <w:tcPr>
            <w:tcW w:w="995" w:type="pct"/>
            <w:tcBorders>
              <w:top w:val="outset" w:color="auto" w:sz="4" w:space="0"/>
              <w:left w:val="outset" w:color="auto" w:sz="4" w:space="0"/>
              <w:bottom w:val="outset" w:color="auto" w:sz="4" w:space="0"/>
              <w:right w:val="outset" w:color="auto" w:sz="4" w:space="0"/>
            </w:tcBorders>
            <w:vAlign w:val="center"/>
          </w:tcPr>
          <w:p w14:paraId="363CA6E3"/>
        </w:tc>
        <w:tc>
          <w:tcPr>
            <w:tcW w:w="1158" w:type="pct"/>
            <w:tcBorders>
              <w:top w:val="outset" w:color="auto" w:sz="4" w:space="0"/>
              <w:left w:val="outset" w:color="auto" w:sz="4" w:space="0"/>
              <w:bottom w:val="outset" w:color="auto" w:sz="4" w:space="0"/>
              <w:right w:val="outset" w:color="auto" w:sz="4" w:space="0"/>
            </w:tcBorders>
            <w:vAlign w:val="center"/>
          </w:tcPr>
          <w:p w14:paraId="4FDB239D">
            <w:pPr>
              <w:jc w:val="right"/>
            </w:pPr>
          </w:p>
        </w:tc>
        <w:tc>
          <w:tcPr>
            <w:tcW w:w="1152" w:type="pct"/>
            <w:tcBorders>
              <w:top w:val="outset" w:color="auto" w:sz="4" w:space="0"/>
              <w:left w:val="outset" w:color="auto" w:sz="4" w:space="0"/>
              <w:bottom w:val="outset" w:color="auto" w:sz="4" w:space="0"/>
              <w:right w:val="outset" w:color="auto" w:sz="4" w:space="0"/>
            </w:tcBorders>
            <w:vAlign w:val="center"/>
          </w:tcPr>
          <w:p w14:paraId="24F20D03">
            <w:pPr>
              <w:jc w:val="right"/>
            </w:pPr>
          </w:p>
        </w:tc>
      </w:tr>
      <w:tr w14:paraId="2B7C9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4DC7B19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处置子公司及其他营业单位收到的现金净额</w:t>
            </w:r>
          </w:p>
        </w:tc>
        <w:tc>
          <w:tcPr>
            <w:tcW w:w="995" w:type="pct"/>
            <w:tcBorders>
              <w:top w:val="outset" w:color="auto" w:sz="4" w:space="0"/>
              <w:left w:val="outset" w:color="auto" w:sz="4" w:space="0"/>
              <w:bottom w:val="outset" w:color="auto" w:sz="4" w:space="0"/>
              <w:right w:val="outset" w:color="auto" w:sz="4" w:space="0"/>
            </w:tcBorders>
            <w:vAlign w:val="center"/>
          </w:tcPr>
          <w:p w14:paraId="00F54594"/>
        </w:tc>
        <w:tc>
          <w:tcPr>
            <w:tcW w:w="1158" w:type="pct"/>
            <w:tcBorders>
              <w:top w:val="outset" w:color="auto" w:sz="4" w:space="0"/>
              <w:left w:val="outset" w:color="auto" w:sz="4" w:space="0"/>
              <w:bottom w:val="outset" w:color="auto" w:sz="4" w:space="0"/>
              <w:right w:val="outset" w:color="auto" w:sz="4" w:space="0"/>
            </w:tcBorders>
            <w:vAlign w:val="center"/>
          </w:tcPr>
          <w:p w14:paraId="5C7AF011">
            <w:pPr>
              <w:jc w:val="right"/>
            </w:pPr>
          </w:p>
        </w:tc>
        <w:tc>
          <w:tcPr>
            <w:tcW w:w="1152" w:type="pct"/>
            <w:tcBorders>
              <w:top w:val="outset" w:color="auto" w:sz="4" w:space="0"/>
              <w:left w:val="outset" w:color="auto" w:sz="4" w:space="0"/>
              <w:bottom w:val="outset" w:color="auto" w:sz="4" w:space="0"/>
              <w:right w:val="outset" w:color="auto" w:sz="4" w:space="0"/>
            </w:tcBorders>
            <w:vAlign w:val="center"/>
          </w:tcPr>
          <w:p w14:paraId="7358A9F2">
            <w:pPr>
              <w:jc w:val="right"/>
            </w:pPr>
          </w:p>
        </w:tc>
      </w:tr>
      <w:tr w14:paraId="38C24B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65011D3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收到其他与投资活动有关的现金</w:t>
            </w:r>
          </w:p>
        </w:tc>
        <w:tc>
          <w:tcPr>
            <w:tcW w:w="995" w:type="pct"/>
            <w:tcBorders>
              <w:top w:val="outset" w:color="auto" w:sz="4" w:space="0"/>
              <w:left w:val="outset" w:color="auto" w:sz="4" w:space="0"/>
              <w:bottom w:val="outset" w:color="auto" w:sz="4" w:space="0"/>
              <w:right w:val="outset" w:color="auto" w:sz="4" w:space="0"/>
            </w:tcBorders>
            <w:vAlign w:val="center"/>
          </w:tcPr>
          <w:p w14:paraId="76CAC8C1"/>
        </w:tc>
        <w:tc>
          <w:tcPr>
            <w:tcW w:w="1158" w:type="pct"/>
            <w:tcBorders>
              <w:top w:val="outset" w:color="auto" w:sz="4" w:space="0"/>
              <w:left w:val="outset" w:color="auto" w:sz="4" w:space="0"/>
              <w:bottom w:val="outset" w:color="auto" w:sz="4" w:space="0"/>
              <w:right w:val="outset" w:color="auto" w:sz="4" w:space="0"/>
            </w:tcBorders>
            <w:vAlign w:val="center"/>
          </w:tcPr>
          <w:p w14:paraId="5C848507">
            <w:pPr>
              <w:jc w:val="right"/>
            </w:pPr>
          </w:p>
        </w:tc>
        <w:tc>
          <w:tcPr>
            <w:tcW w:w="1152" w:type="pct"/>
            <w:tcBorders>
              <w:top w:val="outset" w:color="auto" w:sz="4" w:space="0"/>
              <w:left w:val="outset" w:color="auto" w:sz="4" w:space="0"/>
              <w:bottom w:val="outset" w:color="auto" w:sz="4" w:space="0"/>
              <w:right w:val="outset" w:color="auto" w:sz="4" w:space="0"/>
            </w:tcBorders>
            <w:vAlign w:val="center"/>
          </w:tcPr>
          <w:p w14:paraId="62F0538E">
            <w:pPr>
              <w:jc w:val="right"/>
            </w:pPr>
          </w:p>
        </w:tc>
      </w:tr>
      <w:tr w14:paraId="26AC4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10DCE9B6">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投资活动现金流入小计</w:t>
            </w:r>
          </w:p>
        </w:tc>
        <w:tc>
          <w:tcPr>
            <w:tcW w:w="995" w:type="pct"/>
            <w:tcBorders>
              <w:top w:val="outset" w:color="auto" w:sz="4" w:space="0"/>
              <w:left w:val="outset" w:color="auto" w:sz="4" w:space="0"/>
              <w:bottom w:val="outset" w:color="auto" w:sz="4" w:space="0"/>
              <w:right w:val="outset" w:color="auto" w:sz="4" w:space="0"/>
            </w:tcBorders>
            <w:vAlign w:val="center"/>
          </w:tcPr>
          <w:p w14:paraId="05FEACC2"/>
        </w:tc>
        <w:tc>
          <w:tcPr>
            <w:tcW w:w="1158" w:type="pct"/>
            <w:tcBorders>
              <w:top w:val="outset" w:color="auto" w:sz="4" w:space="0"/>
              <w:left w:val="outset" w:color="auto" w:sz="4" w:space="0"/>
              <w:bottom w:val="outset" w:color="auto" w:sz="4" w:space="0"/>
              <w:right w:val="outset" w:color="auto" w:sz="4" w:space="0"/>
            </w:tcBorders>
            <w:vAlign w:val="center"/>
          </w:tcPr>
          <w:p w14:paraId="16364673">
            <w:pPr>
              <w:jc w:val="right"/>
            </w:pPr>
          </w:p>
        </w:tc>
        <w:tc>
          <w:tcPr>
            <w:tcW w:w="1152" w:type="pct"/>
            <w:tcBorders>
              <w:top w:val="outset" w:color="auto" w:sz="4" w:space="0"/>
              <w:left w:val="outset" w:color="auto" w:sz="4" w:space="0"/>
              <w:bottom w:val="outset" w:color="auto" w:sz="4" w:space="0"/>
              <w:right w:val="outset" w:color="auto" w:sz="4" w:space="0"/>
            </w:tcBorders>
            <w:vAlign w:val="center"/>
          </w:tcPr>
          <w:p w14:paraId="3B39778E">
            <w:pPr>
              <w:jc w:val="right"/>
            </w:pPr>
            <w:r>
              <w:t>2,283,523.76</w:t>
            </w:r>
          </w:p>
        </w:tc>
      </w:tr>
      <w:tr w14:paraId="106A69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3AC1F18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购建固定资产、无形资产和其他长期资产支付的现金</w:t>
            </w:r>
          </w:p>
        </w:tc>
        <w:tc>
          <w:tcPr>
            <w:tcW w:w="995" w:type="pct"/>
            <w:tcBorders>
              <w:top w:val="outset" w:color="auto" w:sz="4" w:space="0"/>
              <w:left w:val="outset" w:color="auto" w:sz="4" w:space="0"/>
              <w:bottom w:val="outset" w:color="auto" w:sz="4" w:space="0"/>
              <w:right w:val="outset" w:color="auto" w:sz="4" w:space="0"/>
            </w:tcBorders>
            <w:vAlign w:val="center"/>
          </w:tcPr>
          <w:p w14:paraId="3D5BCD0B"/>
        </w:tc>
        <w:tc>
          <w:tcPr>
            <w:tcW w:w="1158" w:type="pct"/>
            <w:tcBorders>
              <w:top w:val="outset" w:color="auto" w:sz="4" w:space="0"/>
              <w:left w:val="outset" w:color="auto" w:sz="4" w:space="0"/>
              <w:bottom w:val="outset" w:color="auto" w:sz="4" w:space="0"/>
              <w:right w:val="outset" w:color="auto" w:sz="4" w:space="0"/>
            </w:tcBorders>
            <w:vAlign w:val="center"/>
          </w:tcPr>
          <w:p w14:paraId="05D5E249">
            <w:pPr>
              <w:jc w:val="right"/>
            </w:pPr>
            <w:r>
              <w:t>91,146,951.64</w:t>
            </w:r>
          </w:p>
        </w:tc>
        <w:tc>
          <w:tcPr>
            <w:tcW w:w="1152" w:type="pct"/>
            <w:tcBorders>
              <w:top w:val="outset" w:color="auto" w:sz="4" w:space="0"/>
              <w:left w:val="outset" w:color="auto" w:sz="4" w:space="0"/>
              <w:bottom w:val="outset" w:color="auto" w:sz="4" w:space="0"/>
              <w:right w:val="outset" w:color="auto" w:sz="4" w:space="0"/>
            </w:tcBorders>
            <w:vAlign w:val="center"/>
          </w:tcPr>
          <w:p w14:paraId="7956C257">
            <w:pPr>
              <w:jc w:val="right"/>
            </w:pPr>
            <w:r>
              <w:t>1,550,706.00</w:t>
            </w:r>
          </w:p>
        </w:tc>
      </w:tr>
      <w:tr w14:paraId="4BD94F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5D69FAB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投资支付的现金</w:t>
            </w:r>
          </w:p>
        </w:tc>
        <w:tc>
          <w:tcPr>
            <w:tcW w:w="995" w:type="pct"/>
            <w:tcBorders>
              <w:top w:val="outset" w:color="auto" w:sz="4" w:space="0"/>
              <w:left w:val="outset" w:color="auto" w:sz="4" w:space="0"/>
              <w:bottom w:val="outset" w:color="auto" w:sz="4" w:space="0"/>
              <w:right w:val="outset" w:color="auto" w:sz="4" w:space="0"/>
            </w:tcBorders>
            <w:vAlign w:val="center"/>
          </w:tcPr>
          <w:p w14:paraId="45C55557"/>
        </w:tc>
        <w:tc>
          <w:tcPr>
            <w:tcW w:w="1158" w:type="pct"/>
            <w:tcBorders>
              <w:top w:val="outset" w:color="auto" w:sz="4" w:space="0"/>
              <w:left w:val="outset" w:color="auto" w:sz="4" w:space="0"/>
              <w:bottom w:val="outset" w:color="auto" w:sz="4" w:space="0"/>
              <w:right w:val="outset" w:color="auto" w:sz="4" w:space="0"/>
            </w:tcBorders>
            <w:vAlign w:val="center"/>
          </w:tcPr>
          <w:p w14:paraId="3E67D049">
            <w:pPr>
              <w:jc w:val="right"/>
            </w:pPr>
          </w:p>
        </w:tc>
        <w:tc>
          <w:tcPr>
            <w:tcW w:w="1152" w:type="pct"/>
            <w:tcBorders>
              <w:top w:val="outset" w:color="auto" w:sz="4" w:space="0"/>
              <w:left w:val="outset" w:color="auto" w:sz="4" w:space="0"/>
              <w:bottom w:val="outset" w:color="auto" w:sz="4" w:space="0"/>
              <w:right w:val="outset" w:color="auto" w:sz="4" w:space="0"/>
            </w:tcBorders>
            <w:vAlign w:val="center"/>
          </w:tcPr>
          <w:p w14:paraId="2FAE46A7">
            <w:pPr>
              <w:jc w:val="right"/>
            </w:pPr>
            <w:r>
              <w:t>33,142,000.00</w:t>
            </w:r>
          </w:p>
        </w:tc>
      </w:tr>
      <w:tr w14:paraId="4CBF32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6ABCA1D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取得子公司及其他营业单位支付的现金净额</w:t>
            </w:r>
          </w:p>
        </w:tc>
        <w:tc>
          <w:tcPr>
            <w:tcW w:w="995" w:type="pct"/>
            <w:tcBorders>
              <w:top w:val="outset" w:color="auto" w:sz="4" w:space="0"/>
              <w:left w:val="outset" w:color="auto" w:sz="4" w:space="0"/>
              <w:bottom w:val="outset" w:color="auto" w:sz="4" w:space="0"/>
              <w:right w:val="outset" w:color="auto" w:sz="4" w:space="0"/>
            </w:tcBorders>
            <w:vAlign w:val="center"/>
          </w:tcPr>
          <w:p w14:paraId="619A7A11"/>
        </w:tc>
        <w:tc>
          <w:tcPr>
            <w:tcW w:w="1158" w:type="pct"/>
            <w:tcBorders>
              <w:top w:val="outset" w:color="auto" w:sz="4" w:space="0"/>
              <w:left w:val="outset" w:color="auto" w:sz="4" w:space="0"/>
              <w:bottom w:val="outset" w:color="auto" w:sz="4" w:space="0"/>
              <w:right w:val="outset" w:color="auto" w:sz="4" w:space="0"/>
            </w:tcBorders>
            <w:vAlign w:val="center"/>
          </w:tcPr>
          <w:p w14:paraId="7E49D5C2">
            <w:pPr>
              <w:jc w:val="right"/>
            </w:pPr>
          </w:p>
        </w:tc>
        <w:tc>
          <w:tcPr>
            <w:tcW w:w="1152" w:type="pct"/>
            <w:tcBorders>
              <w:top w:val="outset" w:color="auto" w:sz="4" w:space="0"/>
              <w:left w:val="outset" w:color="auto" w:sz="4" w:space="0"/>
              <w:bottom w:val="outset" w:color="auto" w:sz="4" w:space="0"/>
              <w:right w:val="outset" w:color="auto" w:sz="4" w:space="0"/>
            </w:tcBorders>
            <w:vAlign w:val="center"/>
          </w:tcPr>
          <w:p w14:paraId="719A6FC8">
            <w:pPr>
              <w:jc w:val="right"/>
            </w:pPr>
          </w:p>
        </w:tc>
      </w:tr>
      <w:tr w14:paraId="521EA6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5E08341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支付其他与投资活动有关的现金</w:t>
            </w:r>
          </w:p>
        </w:tc>
        <w:tc>
          <w:tcPr>
            <w:tcW w:w="995" w:type="pct"/>
            <w:tcBorders>
              <w:top w:val="outset" w:color="auto" w:sz="4" w:space="0"/>
              <w:left w:val="outset" w:color="auto" w:sz="4" w:space="0"/>
              <w:bottom w:val="outset" w:color="auto" w:sz="4" w:space="0"/>
              <w:right w:val="outset" w:color="auto" w:sz="4" w:space="0"/>
            </w:tcBorders>
            <w:vAlign w:val="center"/>
          </w:tcPr>
          <w:p w14:paraId="7BC46D36"/>
        </w:tc>
        <w:tc>
          <w:tcPr>
            <w:tcW w:w="1158" w:type="pct"/>
            <w:tcBorders>
              <w:top w:val="outset" w:color="auto" w:sz="4" w:space="0"/>
              <w:left w:val="outset" w:color="auto" w:sz="4" w:space="0"/>
              <w:bottom w:val="outset" w:color="auto" w:sz="4" w:space="0"/>
              <w:right w:val="outset" w:color="auto" w:sz="4" w:space="0"/>
            </w:tcBorders>
            <w:vAlign w:val="center"/>
          </w:tcPr>
          <w:p w14:paraId="399EBCA9">
            <w:pPr>
              <w:jc w:val="right"/>
            </w:pPr>
          </w:p>
        </w:tc>
        <w:tc>
          <w:tcPr>
            <w:tcW w:w="1152" w:type="pct"/>
            <w:tcBorders>
              <w:top w:val="outset" w:color="auto" w:sz="4" w:space="0"/>
              <w:left w:val="outset" w:color="auto" w:sz="4" w:space="0"/>
              <w:bottom w:val="outset" w:color="auto" w:sz="4" w:space="0"/>
              <w:right w:val="outset" w:color="auto" w:sz="4" w:space="0"/>
            </w:tcBorders>
            <w:vAlign w:val="center"/>
          </w:tcPr>
          <w:p w14:paraId="19B8659B">
            <w:pPr>
              <w:jc w:val="right"/>
            </w:pPr>
          </w:p>
        </w:tc>
      </w:tr>
      <w:tr w14:paraId="42D3CA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7CE0A9A0">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投资活动现金流出小计</w:t>
            </w:r>
          </w:p>
        </w:tc>
        <w:tc>
          <w:tcPr>
            <w:tcW w:w="995" w:type="pct"/>
            <w:tcBorders>
              <w:top w:val="outset" w:color="auto" w:sz="4" w:space="0"/>
              <w:left w:val="outset" w:color="auto" w:sz="4" w:space="0"/>
              <w:bottom w:val="outset" w:color="auto" w:sz="4" w:space="0"/>
              <w:right w:val="outset" w:color="auto" w:sz="4" w:space="0"/>
            </w:tcBorders>
            <w:vAlign w:val="center"/>
          </w:tcPr>
          <w:p w14:paraId="51D864A5"/>
        </w:tc>
        <w:tc>
          <w:tcPr>
            <w:tcW w:w="1158" w:type="pct"/>
            <w:tcBorders>
              <w:top w:val="outset" w:color="auto" w:sz="4" w:space="0"/>
              <w:left w:val="outset" w:color="auto" w:sz="4" w:space="0"/>
              <w:bottom w:val="outset" w:color="auto" w:sz="4" w:space="0"/>
              <w:right w:val="outset" w:color="auto" w:sz="4" w:space="0"/>
            </w:tcBorders>
            <w:vAlign w:val="center"/>
          </w:tcPr>
          <w:p w14:paraId="759A0227">
            <w:pPr>
              <w:jc w:val="right"/>
            </w:pPr>
            <w:r>
              <w:t>91,146,951.64</w:t>
            </w:r>
          </w:p>
        </w:tc>
        <w:tc>
          <w:tcPr>
            <w:tcW w:w="1152" w:type="pct"/>
            <w:tcBorders>
              <w:top w:val="outset" w:color="auto" w:sz="4" w:space="0"/>
              <w:left w:val="outset" w:color="auto" w:sz="4" w:space="0"/>
              <w:bottom w:val="outset" w:color="auto" w:sz="4" w:space="0"/>
              <w:right w:val="outset" w:color="auto" w:sz="4" w:space="0"/>
            </w:tcBorders>
            <w:vAlign w:val="center"/>
          </w:tcPr>
          <w:p w14:paraId="305187CF">
            <w:pPr>
              <w:jc w:val="right"/>
            </w:pPr>
            <w:r>
              <w:t>34,692,706.00</w:t>
            </w:r>
          </w:p>
        </w:tc>
      </w:tr>
      <w:tr w14:paraId="30713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520F099F">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投资活动产生的现金流量净额</w:t>
            </w:r>
          </w:p>
        </w:tc>
        <w:tc>
          <w:tcPr>
            <w:tcW w:w="995" w:type="pct"/>
            <w:tcBorders>
              <w:top w:val="outset" w:color="auto" w:sz="4" w:space="0"/>
              <w:left w:val="outset" w:color="auto" w:sz="4" w:space="0"/>
              <w:bottom w:val="outset" w:color="auto" w:sz="4" w:space="0"/>
              <w:right w:val="outset" w:color="auto" w:sz="4" w:space="0"/>
            </w:tcBorders>
            <w:vAlign w:val="center"/>
          </w:tcPr>
          <w:p w14:paraId="25F0F6A6"/>
        </w:tc>
        <w:tc>
          <w:tcPr>
            <w:tcW w:w="1158" w:type="pct"/>
            <w:tcBorders>
              <w:top w:val="outset" w:color="auto" w:sz="4" w:space="0"/>
              <w:left w:val="outset" w:color="auto" w:sz="4" w:space="0"/>
              <w:bottom w:val="outset" w:color="auto" w:sz="4" w:space="0"/>
              <w:right w:val="outset" w:color="auto" w:sz="4" w:space="0"/>
            </w:tcBorders>
            <w:vAlign w:val="center"/>
          </w:tcPr>
          <w:p w14:paraId="283308A3">
            <w:pPr>
              <w:jc w:val="right"/>
            </w:pPr>
            <w:r>
              <w:t>-91,146,951.64</w:t>
            </w:r>
          </w:p>
        </w:tc>
        <w:tc>
          <w:tcPr>
            <w:tcW w:w="1152" w:type="pct"/>
            <w:tcBorders>
              <w:top w:val="outset" w:color="auto" w:sz="4" w:space="0"/>
              <w:left w:val="outset" w:color="auto" w:sz="4" w:space="0"/>
              <w:bottom w:val="outset" w:color="auto" w:sz="4" w:space="0"/>
              <w:right w:val="outset" w:color="auto" w:sz="4" w:space="0"/>
            </w:tcBorders>
            <w:vAlign w:val="center"/>
          </w:tcPr>
          <w:p w14:paraId="48DF0FE2">
            <w:pPr>
              <w:jc w:val="right"/>
            </w:pPr>
            <w:r>
              <w:t>-32,409,182.24</w:t>
            </w:r>
          </w:p>
        </w:tc>
      </w:tr>
      <w:tr w14:paraId="33D3C2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7d68e34216d04af0934267b3078d3c35"/>
            <w:id w:val="-1265756006"/>
          </w:sdtPr>
          <w:sdtContent>
            <w:tc>
              <w:tcPr>
                <w:tcW w:w="5000" w:type="pct"/>
                <w:gridSpan w:val="4"/>
                <w:tcBorders>
                  <w:top w:val="outset" w:color="auto" w:sz="4" w:space="0"/>
                  <w:left w:val="outset" w:color="auto" w:sz="4" w:space="0"/>
                  <w:bottom w:val="outset" w:color="auto" w:sz="4" w:space="0"/>
                  <w:right w:val="outset" w:color="auto" w:sz="4" w:space="0"/>
                </w:tcBorders>
                <w:vAlign w:val="center"/>
              </w:tcPr>
              <w:p w14:paraId="01D3C25B">
                <w:pPr>
                  <w:rPr>
                    <w:color w:val="000000" w:themeColor="text1"/>
                    <w14:textFill>
                      <w14:solidFill>
                        <w14:schemeClr w14:val="tx1"/>
                      </w14:solidFill>
                    </w14:textFill>
                  </w:rPr>
                </w:pPr>
                <w:r>
                  <w:rPr>
                    <w:rFonts w:hint="eastAsia"/>
                    <w:b/>
                    <w:color w:val="000000" w:themeColor="text1"/>
                    <w14:textFill>
                      <w14:solidFill>
                        <w14:schemeClr w14:val="tx1"/>
                      </w14:solidFill>
                    </w14:textFill>
                  </w:rPr>
                  <w:t>三、筹资活动产生的现金流量：</w:t>
                </w:r>
              </w:p>
            </w:tc>
          </w:sdtContent>
        </w:sdt>
      </w:tr>
      <w:tr w14:paraId="7D87E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5DDA61A0">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吸收投资收到的现金</w:t>
            </w:r>
          </w:p>
        </w:tc>
        <w:tc>
          <w:tcPr>
            <w:tcW w:w="995" w:type="pct"/>
            <w:tcBorders>
              <w:top w:val="outset" w:color="auto" w:sz="4" w:space="0"/>
              <w:left w:val="outset" w:color="auto" w:sz="4" w:space="0"/>
              <w:bottom w:val="outset" w:color="auto" w:sz="4" w:space="0"/>
              <w:right w:val="outset" w:color="auto" w:sz="4" w:space="0"/>
            </w:tcBorders>
            <w:vAlign w:val="center"/>
          </w:tcPr>
          <w:p w14:paraId="1DE02AE4"/>
        </w:tc>
        <w:tc>
          <w:tcPr>
            <w:tcW w:w="1158" w:type="pct"/>
            <w:tcBorders>
              <w:top w:val="outset" w:color="auto" w:sz="4" w:space="0"/>
              <w:left w:val="outset" w:color="auto" w:sz="4" w:space="0"/>
              <w:bottom w:val="outset" w:color="auto" w:sz="4" w:space="0"/>
              <w:right w:val="outset" w:color="auto" w:sz="4" w:space="0"/>
            </w:tcBorders>
            <w:vAlign w:val="center"/>
          </w:tcPr>
          <w:p w14:paraId="3BDA38A8">
            <w:pPr>
              <w:jc w:val="right"/>
            </w:pPr>
          </w:p>
        </w:tc>
        <w:tc>
          <w:tcPr>
            <w:tcW w:w="1152" w:type="pct"/>
            <w:tcBorders>
              <w:top w:val="outset" w:color="auto" w:sz="4" w:space="0"/>
              <w:left w:val="outset" w:color="auto" w:sz="4" w:space="0"/>
              <w:bottom w:val="outset" w:color="auto" w:sz="4" w:space="0"/>
              <w:right w:val="outset" w:color="auto" w:sz="4" w:space="0"/>
            </w:tcBorders>
            <w:vAlign w:val="center"/>
          </w:tcPr>
          <w:p w14:paraId="3DBC57FA">
            <w:pPr>
              <w:jc w:val="right"/>
            </w:pPr>
          </w:p>
        </w:tc>
      </w:tr>
      <w:tr w14:paraId="05FFBE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62D89F0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取得借款收到的现金</w:t>
            </w:r>
          </w:p>
        </w:tc>
        <w:tc>
          <w:tcPr>
            <w:tcW w:w="995" w:type="pct"/>
            <w:tcBorders>
              <w:top w:val="outset" w:color="auto" w:sz="4" w:space="0"/>
              <w:left w:val="outset" w:color="auto" w:sz="4" w:space="0"/>
              <w:bottom w:val="outset" w:color="auto" w:sz="4" w:space="0"/>
              <w:right w:val="outset" w:color="auto" w:sz="4" w:space="0"/>
            </w:tcBorders>
            <w:vAlign w:val="center"/>
          </w:tcPr>
          <w:p w14:paraId="2B597B61"/>
        </w:tc>
        <w:tc>
          <w:tcPr>
            <w:tcW w:w="1158" w:type="pct"/>
            <w:tcBorders>
              <w:top w:val="outset" w:color="auto" w:sz="4" w:space="0"/>
              <w:left w:val="outset" w:color="auto" w:sz="4" w:space="0"/>
              <w:bottom w:val="outset" w:color="auto" w:sz="4" w:space="0"/>
              <w:right w:val="outset" w:color="auto" w:sz="4" w:space="0"/>
            </w:tcBorders>
            <w:vAlign w:val="center"/>
          </w:tcPr>
          <w:p w14:paraId="22DEF5AE">
            <w:pPr>
              <w:jc w:val="right"/>
            </w:pPr>
            <w:r>
              <w:t>1,309,700,000.00</w:t>
            </w:r>
          </w:p>
        </w:tc>
        <w:tc>
          <w:tcPr>
            <w:tcW w:w="1152" w:type="pct"/>
            <w:tcBorders>
              <w:top w:val="outset" w:color="auto" w:sz="4" w:space="0"/>
              <w:left w:val="outset" w:color="auto" w:sz="4" w:space="0"/>
              <w:bottom w:val="outset" w:color="auto" w:sz="4" w:space="0"/>
              <w:right w:val="outset" w:color="auto" w:sz="4" w:space="0"/>
            </w:tcBorders>
            <w:vAlign w:val="center"/>
          </w:tcPr>
          <w:p w14:paraId="5E83EBF3">
            <w:pPr>
              <w:jc w:val="right"/>
            </w:pPr>
            <w:r>
              <w:t>1,660,550,000.00</w:t>
            </w:r>
          </w:p>
        </w:tc>
      </w:tr>
      <w:tr w14:paraId="2A9BD3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3F29792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收到其他与筹资活动有关的现金</w:t>
            </w:r>
          </w:p>
        </w:tc>
        <w:tc>
          <w:tcPr>
            <w:tcW w:w="995" w:type="pct"/>
            <w:tcBorders>
              <w:top w:val="outset" w:color="auto" w:sz="4" w:space="0"/>
              <w:left w:val="outset" w:color="auto" w:sz="4" w:space="0"/>
              <w:bottom w:val="outset" w:color="auto" w:sz="4" w:space="0"/>
              <w:right w:val="outset" w:color="auto" w:sz="4" w:space="0"/>
            </w:tcBorders>
            <w:vAlign w:val="center"/>
          </w:tcPr>
          <w:p w14:paraId="3519442D"/>
        </w:tc>
        <w:tc>
          <w:tcPr>
            <w:tcW w:w="1158" w:type="pct"/>
            <w:tcBorders>
              <w:top w:val="outset" w:color="auto" w:sz="4" w:space="0"/>
              <w:left w:val="outset" w:color="auto" w:sz="4" w:space="0"/>
              <w:bottom w:val="outset" w:color="auto" w:sz="4" w:space="0"/>
              <w:right w:val="outset" w:color="auto" w:sz="4" w:space="0"/>
            </w:tcBorders>
            <w:vAlign w:val="center"/>
          </w:tcPr>
          <w:p w14:paraId="255953FB">
            <w:pPr>
              <w:jc w:val="right"/>
            </w:pPr>
            <w:r>
              <w:t>441,379,721.80</w:t>
            </w:r>
          </w:p>
        </w:tc>
        <w:tc>
          <w:tcPr>
            <w:tcW w:w="1152" w:type="pct"/>
            <w:tcBorders>
              <w:top w:val="outset" w:color="auto" w:sz="4" w:space="0"/>
              <w:left w:val="outset" w:color="auto" w:sz="4" w:space="0"/>
              <w:bottom w:val="outset" w:color="auto" w:sz="4" w:space="0"/>
              <w:right w:val="outset" w:color="auto" w:sz="4" w:space="0"/>
            </w:tcBorders>
            <w:vAlign w:val="center"/>
          </w:tcPr>
          <w:p w14:paraId="6EF791A8">
            <w:pPr>
              <w:jc w:val="right"/>
            </w:pPr>
            <w:r>
              <w:t>474,037,256.37</w:t>
            </w:r>
          </w:p>
        </w:tc>
      </w:tr>
      <w:tr w14:paraId="45C554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695" w:type="pct"/>
            <w:tcBorders>
              <w:top w:val="outset" w:color="auto" w:sz="4" w:space="0"/>
              <w:left w:val="outset" w:color="auto" w:sz="4" w:space="0"/>
              <w:bottom w:val="outset" w:color="auto" w:sz="4" w:space="0"/>
              <w:right w:val="outset" w:color="auto" w:sz="4" w:space="0"/>
            </w:tcBorders>
            <w:vAlign w:val="center"/>
          </w:tcPr>
          <w:p w14:paraId="3701CDB3">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筹资活动现金流入小计</w:t>
            </w:r>
          </w:p>
        </w:tc>
        <w:tc>
          <w:tcPr>
            <w:tcW w:w="995" w:type="pct"/>
            <w:tcBorders>
              <w:top w:val="outset" w:color="auto" w:sz="4" w:space="0"/>
              <w:left w:val="outset" w:color="auto" w:sz="4" w:space="0"/>
              <w:bottom w:val="outset" w:color="auto" w:sz="4" w:space="0"/>
              <w:right w:val="outset" w:color="auto" w:sz="4" w:space="0"/>
            </w:tcBorders>
            <w:vAlign w:val="center"/>
          </w:tcPr>
          <w:p w14:paraId="5B3D3021"/>
        </w:tc>
        <w:tc>
          <w:tcPr>
            <w:tcW w:w="1158" w:type="pct"/>
            <w:tcBorders>
              <w:top w:val="outset" w:color="auto" w:sz="4" w:space="0"/>
              <w:left w:val="outset" w:color="auto" w:sz="4" w:space="0"/>
              <w:bottom w:val="outset" w:color="auto" w:sz="4" w:space="0"/>
              <w:right w:val="outset" w:color="auto" w:sz="4" w:space="0"/>
            </w:tcBorders>
            <w:vAlign w:val="center"/>
          </w:tcPr>
          <w:p w14:paraId="556C559A">
            <w:pPr>
              <w:jc w:val="right"/>
            </w:pPr>
            <w:r>
              <w:t>1,751,079,721.80</w:t>
            </w:r>
          </w:p>
        </w:tc>
        <w:tc>
          <w:tcPr>
            <w:tcW w:w="1152" w:type="pct"/>
            <w:tcBorders>
              <w:top w:val="outset" w:color="auto" w:sz="4" w:space="0"/>
              <w:left w:val="outset" w:color="auto" w:sz="4" w:space="0"/>
              <w:bottom w:val="outset" w:color="auto" w:sz="4" w:space="0"/>
              <w:right w:val="outset" w:color="auto" w:sz="4" w:space="0"/>
            </w:tcBorders>
            <w:vAlign w:val="center"/>
          </w:tcPr>
          <w:p w14:paraId="381CD933">
            <w:pPr>
              <w:tabs>
                <w:tab w:val="center" w:pos="989"/>
                <w:tab w:val="right" w:pos="1979"/>
              </w:tabs>
              <w:jc w:val="right"/>
            </w:pPr>
            <w:r>
              <w:t>2,134,587,256.37</w:t>
            </w:r>
          </w:p>
        </w:tc>
      </w:tr>
      <w:tr w14:paraId="7D57DF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3E4FCC7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偿还债务支付的现金</w:t>
            </w:r>
          </w:p>
        </w:tc>
        <w:tc>
          <w:tcPr>
            <w:tcW w:w="995" w:type="pct"/>
            <w:tcBorders>
              <w:top w:val="outset" w:color="auto" w:sz="4" w:space="0"/>
              <w:left w:val="outset" w:color="auto" w:sz="4" w:space="0"/>
              <w:bottom w:val="outset" w:color="auto" w:sz="4" w:space="0"/>
              <w:right w:val="outset" w:color="auto" w:sz="4" w:space="0"/>
            </w:tcBorders>
            <w:vAlign w:val="center"/>
          </w:tcPr>
          <w:p w14:paraId="1664D9B7"/>
        </w:tc>
        <w:tc>
          <w:tcPr>
            <w:tcW w:w="1158" w:type="pct"/>
            <w:tcBorders>
              <w:top w:val="outset" w:color="auto" w:sz="4" w:space="0"/>
              <w:left w:val="outset" w:color="auto" w:sz="4" w:space="0"/>
              <w:bottom w:val="outset" w:color="auto" w:sz="4" w:space="0"/>
              <w:right w:val="outset" w:color="auto" w:sz="4" w:space="0"/>
            </w:tcBorders>
            <w:vAlign w:val="center"/>
          </w:tcPr>
          <w:p w14:paraId="3600F016">
            <w:pPr>
              <w:jc w:val="right"/>
            </w:pPr>
            <w:r>
              <w:t>1,280,850,000.00</w:t>
            </w:r>
          </w:p>
        </w:tc>
        <w:tc>
          <w:tcPr>
            <w:tcW w:w="1152" w:type="pct"/>
            <w:tcBorders>
              <w:top w:val="outset" w:color="auto" w:sz="4" w:space="0"/>
              <w:left w:val="outset" w:color="auto" w:sz="4" w:space="0"/>
              <w:bottom w:val="outset" w:color="auto" w:sz="4" w:space="0"/>
              <w:right w:val="outset" w:color="auto" w:sz="4" w:space="0"/>
            </w:tcBorders>
            <w:vAlign w:val="center"/>
          </w:tcPr>
          <w:p w14:paraId="5D075515">
            <w:pPr>
              <w:jc w:val="right"/>
            </w:pPr>
            <w:r>
              <w:t>1,319,000,000.00</w:t>
            </w:r>
          </w:p>
        </w:tc>
      </w:tr>
      <w:tr w14:paraId="3F7308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2F200F3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分配股利、利润或偿付利息支付的现金</w:t>
            </w:r>
          </w:p>
        </w:tc>
        <w:tc>
          <w:tcPr>
            <w:tcW w:w="995" w:type="pct"/>
            <w:tcBorders>
              <w:top w:val="outset" w:color="auto" w:sz="4" w:space="0"/>
              <w:left w:val="outset" w:color="auto" w:sz="4" w:space="0"/>
              <w:bottom w:val="outset" w:color="auto" w:sz="4" w:space="0"/>
              <w:right w:val="outset" w:color="auto" w:sz="4" w:space="0"/>
            </w:tcBorders>
            <w:vAlign w:val="center"/>
          </w:tcPr>
          <w:p w14:paraId="7BF42ECE"/>
        </w:tc>
        <w:tc>
          <w:tcPr>
            <w:tcW w:w="1158" w:type="pct"/>
            <w:tcBorders>
              <w:top w:val="outset" w:color="auto" w:sz="4" w:space="0"/>
              <w:left w:val="outset" w:color="auto" w:sz="4" w:space="0"/>
              <w:bottom w:val="outset" w:color="auto" w:sz="4" w:space="0"/>
              <w:right w:val="outset" w:color="auto" w:sz="4" w:space="0"/>
            </w:tcBorders>
            <w:vAlign w:val="center"/>
          </w:tcPr>
          <w:p w14:paraId="61B48AC5">
            <w:pPr>
              <w:jc w:val="right"/>
            </w:pPr>
            <w:r>
              <w:t>63,349,970.76</w:t>
            </w:r>
          </w:p>
        </w:tc>
        <w:tc>
          <w:tcPr>
            <w:tcW w:w="1152" w:type="pct"/>
            <w:tcBorders>
              <w:top w:val="outset" w:color="auto" w:sz="4" w:space="0"/>
              <w:left w:val="outset" w:color="auto" w:sz="4" w:space="0"/>
              <w:bottom w:val="outset" w:color="auto" w:sz="4" w:space="0"/>
              <w:right w:val="outset" w:color="auto" w:sz="4" w:space="0"/>
            </w:tcBorders>
            <w:vAlign w:val="center"/>
          </w:tcPr>
          <w:p w14:paraId="663CA42C">
            <w:pPr>
              <w:jc w:val="right"/>
            </w:pPr>
            <w:r>
              <w:t>69,830,020.56</w:t>
            </w:r>
          </w:p>
        </w:tc>
      </w:tr>
      <w:tr w14:paraId="018473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3B17DCCC">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支付其他与筹资活动有关的现金</w:t>
            </w:r>
          </w:p>
        </w:tc>
        <w:tc>
          <w:tcPr>
            <w:tcW w:w="995" w:type="pct"/>
            <w:tcBorders>
              <w:top w:val="outset" w:color="auto" w:sz="4" w:space="0"/>
              <w:left w:val="outset" w:color="auto" w:sz="4" w:space="0"/>
              <w:bottom w:val="outset" w:color="auto" w:sz="4" w:space="0"/>
              <w:right w:val="outset" w:color="auto" w:sz="4" w:space="0"/>
            </w:tcBorders>
            <w:vAlign w:val="center"/>
          </w:tcPr>
          <w:p w14:paraId="1D7E60B8"/>
        </w:tc>
        <w:tc>
          <w:tcPr>
            <w:tcW w:w="1158" w:type="pct"/>
            <w:tcBorders>
              <w:top w:val="outset" w:color="auto" w:sz="4" w:space="0"/>
              <w:left w:val="outset" w:color="auto" w:sz="4" w:space="0"/>
              <w:bottom w:val="outset" w:color="auto" w:sz="4" w:space="0"/>
              <w:right w:val="outset" w:color="auto" w:sz="4" w:space="0"/>
            </w:tcBorders>
            <w:vAlign w:val="center"/>
          </w:tcPr>
          <w:p w14:paraId="145127D2">
            <w:pPr>
              <w:jc w:val="right"/>
            </w:pPr>
            <w:r>
              <w:t>539,487,792.77</w:t>
            </w:r>
          </w:p>
        </w:tc>
        <w:tc>
          <w:tcPr>
            <w:tcW w:w="1152" w:type="pct"/>
            <w:tcBorders>
              <w:top w:val="outset" w:color="auto" w:sz="4" w:space="0"/>
              <w:left w:val="outset" w:color="auto" w:sz="4" w:space="0"/>
              <w:bottom w:val="outset" w:color="auto" w:sz="4" w:space="0"/>
              <w:right w:val="outset" w:color="auto" w:sz="4" w:space="0"/>
            </w:tcBorders>
            <w:vAlign w:val="center"/>
          </w:tcPr>
          <w:p w14:paraId="087166E1">
            <w:pPr>
              <w:jc w:val="right"/>
            </w:pPr>
            <w:r>
              <w:t>736,062,788.43</w:t>
            </w:r>
          </w:p>
        </w:tc>
      </w:tr>
      <w:tr w14:paraId="1FBA6B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513F4F42">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筹资活动现金流出小计</w:t>
            </w:r>
          </w:p>
        </w:tc>
        <w:tc>
          <w:tcPr>
            <w:tcW w:w="995" w:type="pct"/>
            <w:tcBorders>
              <w:top w:val="outset" w:color="auto" w:sz="4" w:space="0"/>
              <w:left w:val="outset" w:color="auto" w:sz="4" w:space="0"/>
              <w:bottom w:val="outset" w:color="auto" w:sz="4" w:space="0"/>
              <w:right w:val="outset" w:color="auto" w:sz="4" w:space="0"/>
            </w:tcBorders>
            <w:vAlign w:val="center"/>
          </w:tcPr>
          <w:p w14:paraId="04D06907"/>
        </w:tc>
        <w:tc>
          <w:tcPr>
            <w:tcW w:w="1158" w:type="pct"/>
            <w:tcBorders>
              <w:top w:val="outset" w:color="auto" w:sz="4" w:space="0"/>
              <w:left w:val="outset" w:color="auto" w:sz="4" w:space="0"/>
              <w:bottom w:val="outset" w:color="auto" w:sz="4" w:space="0"/>
              <w:right w:val="outset" w:color="auto" w:sz="4" w:space="0"/>
            </w:tcBorders>
            <w:vAlign w:val="center"/>
          </w:tcPr>
          <w:p w14:paraId="4A59EC83">
            <w:pPr>
              <w:jc w:val="right"/>
            </w:pPr>
            <w:r>
              <w:t>1,883,687,763.53</w:t>
            </w:r>
          </w:p>
        </w:tc>
        <w:tc>
          <w:tcPr>
            <w:tcW w:w="1152" w:type="pct"/>
            <w:tcBorders>
              <w:top w:val="outset" w:color="auto" w:sz="4" w:space="0"/>
              <w:left w:val="outset" w:color="auto" w:sz="4" w:space="0"/>
              <w:bottom w:val="outset" w:color="auto" w:sz="4" w:space="0"/>
              <w:right w:val="outset" w:color="auto" w:sz="4" w:space="0"/>
            </w:tcBorders>
            <w:vAlign w:val="center"/>
          </w:tcPr>
          <w:p w14:paraId="76D3358D">
            <w:pPr>
              <w:jc w:val="right"/>
            </w:pPr>
            <w:r>
              <w:t>2,124,892,808.99</w:t>
            </w:r>
          </w:p>
        </w:tc>
      </w:tr>
      <w:tr w14:paraId="593CE5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4DC8F10D">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筹资活动产生的现金流量净额</w:t>
            </w:r>
          </w:p>
        </w:tc>
        <w:tc>
          <w:tcPr>
            <w:tcW w:w="995" w:type="pct"/>
            <w:tcBorders>
              <w:top w:val="outset" w:color="auto" w:sz="4" w:space="0"/>
              <w:left w:val="outset" w:color="auto" w:sz="4" w:space="0"/>
              <w:bottom w:val="outset" w:color="auto" w:sz="4" w:space="0"/>
              <w:right w:val="outset" w:color="auto" w:sz="4" w:space="0"/>
            </w:tcBorders>
            <w:vAlign w:val="center"/>
          </w:tcPr>
          <w:p w14:paraId="30D44B8D"/>
        </w:tc>
        <w:tc>
          <w:tcPr>
            <w:tcW w:w="1158" w:type="pct"/>
            <w:tcBorders>
              <w:top w:val="outset" w:color="auto" w:sz="4" w:space="0"/>
              <w:left w:val="outset" w:color="auto" w:sz="4" w:space="0"/>
              <w:bottom w:val="outset" w:color="auto" w:sz="4" w:space="0"/>
              <w:right w:val="outset" w:color="auto" w:sz="4" w:space="0"/>
            </w:tcBorders>
            <w:vAlign w:val="center"/>
          </w:tcPr>
          <w:p w14:paraId="5B63332B">
            <w:pPr>
              <w:jc w:val="right"/>
            </w:pPr>
            <w:r>
              <w:t>-132,608,041.73</w:t>
            </w:r>
          </w:p>
        </w:tc>
        <w:tc>
          <w:tcPr>
            <w:tcW w:w="1152" w:type="pct"/>
            <w:tcBorders>
              <w:top w:val="outset" w:color="auto" w:sz="4" w:space="0"/>
              <w:left w:val="outset" w:color="auto" w:sz="4" w:space="0"/>
              <w:bottom w:val="outset" w:color="auto" w:sz="4" w:space="0"/>
              <w:right w:val="outset" w:color="auto" w:sz="4" w:space="0"/>
            </w:tcBorders>
            <w:vAlign w:val="center"/>
          </w:tcPr>
          <w:p w14:paraId="07AED563">
            <w:pPr>
              <w:jc w:val="right"/>
            </w:pPr>
            <w:r>
              <w:t>9,694,447.38</w:t>
            </w:r>
          </w:p>
        </w:tc>
      </w:tr>
      <w:tr w14:paraId="165CBB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103D0B43">
            <w:pPr>
              <w:rPr>
                <w:color w:val="000000" w:themeColor="text1"/>
                <w14:textFill>
                  <w14:solidFill>
                    <w14:schemeClr w14:val="tx1"/>
                  </w14:solidFill>
                </w14:textFill>
              </w:rPr>
            </w:pPr>
            <w:r>
              <w:rPr>
                <w:rFonts w:hint="eastAsia"/>
                <w:b/>
                <w:color w:val="000000" w:themeColor="text1"/>
                <w14:textFill>
                  <w14:solidFill>
                    <w14:schemeClr w14:val="tx1"/>
                  </w14:solidFill>
                </w14:textFill>
              </w:rPr>
              <w:t>四、汇率变动对现金及现金等价物的影响</w:t>
            </w:r>
          </w:p>
        </w:tc>
        <w:tc>
          <w:tcPr>
            <w:tcW w:w="995" w:type="pct"/>
            <w:tcBorders>
              <w:top w:val="outset" w:color="auto" w:sz="4" w:space="0"/>
              <w:left w:val="outset" w:color="auto" w:sz="4" w:space="0"/>
              <w:bottom w:val="outset" w:color="auto" w:sz="4" w:space="0"/>
              <w:right w:val="outset" w:color="auto" w:sz="4" w:space="0"/>
            </w:tcBorders>
            <w:vAlign w:val="center"/>
          </w:tcPr>
          <w:p w14:paraId="10E5BFD1"/>
        </w:tc>
        <w:tc>
          <w:tcPr>
            <w:tcW w:w="1158" w:type="pct"/>
            <w:tcBorders>
              <w:top w:val="outset" w:color="auto" w:sz="4" w:space="0"/>
              <w:left w:val="outset" w:color="auto" w:sz="4" w:space="0"/>
              <w:bottom w:val="outset" w:color="auto" w:sz="4" w:space="0"/>
              <w:right w:val="outset" w:color="auto" w:sz="4" w:space="0"/>
            </w:tcBorders>
            <w:vAlign w:val="center"/>
          </w:tcPr>
          <w:p w14:paraId="58FC6A6C">
            <w:pPr>
              <w:jc w:val="right"/>
            </w:pPr>
          </w:p>
        </w:tc>
        <w:tc>
          <w:tcPr>
            <w:tcW w:w="1152" w:type="pct"/>
            <w:tcBorders>
              <w:top w:val="outset" w:color="auto" w:sz="4" w:space="0"/>
              <w:left w:val="outset" w:color="auto" w:sz="4" w:space="0"/>
              <w:bottom w:val="outset" w:color="auto" w:sz="4" w:space="0"/>
              <w:right w:val="outset" w:color="auto" w:sz="4" w:space="0"/>
            </w:tcBorders>
            <w:vAlign w:val="center"/>
          </w:tcPr>
          <w:p w14:paraId="668BA599">
            <w:pPr>
              <w:jc w:val="right"/>
            </w:pPr>
          </w:p>
        </w:tc>
      </w:tr>
      <w:tr w14:paraId="049377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7E9D3315">
            <w:pPr>
              <w:rPr>
                <w:color w:val="000000" w:themeColor="text1"/>
                <w14:textFill>
                  <w14:solidFill>
                    <w14:schemeClr w14:val="tx1"/>
                  </w14:solidFill>
                </w14:textFill>
              </w:rPr>
            </w:pPr>
            <w:r>
              <w:rPr>
                <w:rFonts w:hint="eastAsia"/>
                <w:b/>
                <w:color w:val="000000" w:themeColor="text1"/>
                <w14:textFill>
                  <w14:solidFill>
                    <w14:schemeClr w14:val="tx1"/>
                  </w14:solidFill>
                </w14:textFill>
              </w:rPr>
              <w:t>五、现金及现金等价物净增加额</w:t>
            </w:r>
          </w:p>
        </w:tc>
        <w:tc>
          <w:tcPr>
            <w:tcW w:w="995" w:type="pct"/>
            <w:tcBorders>
              <w:top w:val="outset" w:color="auto" w:sz="4" w:space="0"/>
              <w:left w:val="outset" w:color="auto" w:sz="4" w:space="0"/>
              <w:bottom w:val="outset" w:color="auto" w:sz="4" w:space="0"/>
              <w:right w:val="outset" w:color="auto" w:sz="4" w:space="0"/>
            </w:tcBorders>
            <w:vAlign w:val="center"/>
          </w:tcPr>
          <w:p w14:paraId="6FBDB2BF"/>
        </w:tc>
        <w:tc>
          <w:tcPr>
            <w:tcW w:w="1158" w:type="pct"/>
            <w:tcBorders>
              <w:top w:val="outset" w:color="auto" w:sz="4" w:space="0"/>
              <w:left w:val="outset" w:color="auto" w:sz="4" w:space="0"/>
              <w:bottom w:val="outset" w:color="auto" w:sz="4" w:space="0"/>
              <w:right w:val="outset" w:color="auto" w:sz="4" w:space="0"/>
            </w:tcBorders>
            <w:vAlign w:val="center"/>
          </w:tcPr>
          <w:p w14:paraId="5B7F4EFC">
            <w:pPr>
              <w:jc w:val="right"/>
            </w:pPr>
            <w:r>
              <w:t>-6,391,699.04</w:t>
            </w:r>
          </w:p>
        </w:tc>
        <w:tc>
          <w:tcPr>
            <w:tcW w:w="1152" w:type="pct"/>
            <w:tcBorders>
              <w:top w:val="outset" w:color="auto" w:sz="4" w:space="0"/>
              <w:left w:val="outset" w:color="auto" w:sz="4" w:space="0"/>
              <w:bottom w:val="outset" w:color="auto" w:sz="4" w:space="0"/>
              <w:right w:val="outset" w:color="auto" w:sz="4" w:space="0"/>
            </w:tcBorders>
            <w:vAlign w:val="center"/>
          </w:tcPr>
          <w:p w14:paraId="3E05EE4B">
            <w:pPr>
              <w:jc w:val="right"/>
            </w:pPr>
            <w:r>
              <w:t>469,467.86</w:t>
            </w:r>
          </w:p>
        </w:tc>
      </w:tr>
      <w:tr w14:paraId="351432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695" w:type="pct"/>
            <w:tcBorders>
              <w:top w:val="outset" w:color="auto" w:sz="4" w:space="0"/>
              <w:left w:val="outset" w:color="auto" w:sz="4" w:space="0"/>
              <w:bottom w:val="outset" w:color="auto" w:sz="4" w:space="0"/>
              <w:right w:val="outset" w:color="auto" w:sz="4" w:space="0"/>
            </w:tcBorders>
            <w:vAlign w:val="center"/>
          </w:tcPr>
          <w:p w14:paraId="28599C0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加：期初现金及现金等价物余额</w:t>
            </w:r>
          </w:p>
        </w:tc>
        <w:tc>
          <w:tcPr>
            <w:tcW w:w="995" w:type="pct"/>
            <w:tcBorders>
              <w:top w:val="outset" w:color="auto" w:sz="4" w:space="0"/>
              <w:left w:val="outset" w:color="auto" w:sz="4" w:space="0"/>
              <w:bottom w:val="outset" w:color="auto" w:sz="4" w:space="0"/>
              <w:right w:val="outset" w:color="auto" w:sz="4" w:space="0"/>
            </w:tcBorders>
            <w:vAlign w:val="center"/>
          </w:tcPr>
          <w:p w14:paraId="10C406C0"/>
        </w:tc>
        <w:tc>
          <w:tcPr>
            <w:tcW w:w="1158" w:type="pct"/>
            <w:tcBorders>
              <w:top w:val="outset" w:color="auto" w:sz="4" w:space="0"/>
              <w:left w:val="outset" w:color="auto" w:sz="4" w:space="0"/>
              <w:bottom w:val="outset" w:color="auto" w:sz="4" w:space="0"/>
              <w:right w:val="outset" w:color="auto" w:sz="4" w:space="0"/>
            </w:tcBorders>
            <w:vAlign w:val="center"/>
          </w:tcPr>
          <w:p w14:paraId="4B43A26E">
            <w:pPr>
              <w:jc w:val="right"/>
            </w:pPr>
            <w:r>
              <w:t>18,385,200.10</w:t>
            </w:r>
          </w:p>
        </w:tc>
        <w:tc>
          <w:tcPr>
            <w:tcW w:w="1152" w:type="pct"/>
            <w:tcBorders>
              <w:top w:val="outset" w:color="auto" w:sz="4" w:space="0"/>
              <w:left w:val="outset" w:color="auto" w:sz="4" w:space="0"/>
              <w:bottom w:val="outset" w:color="auto" w:sz="4" w:space="0"/>
              <w:right w:val="outset" w:color="auto" w:sz="4" w:space="0"/>
            </w:tcBorders>
            <w:vAlign w:val="center"/>
          </w:tcPr>
          <w:p w14:paraId="7CBB3604">
            <w:pPr>
              <w:jc w:val="right"/>
            </w:pPr>
            <w:r>
              <w:t>14,060,550.25</w:t>
            </w:r>
          </w:p>
        </w:tc>
      </w:tr>
      <w:tr w14:paraId="10CD67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95" w:type="pct"/>
            <w:tcBorders>
              <w:top w:val="outset" w:color="auto" w:sz="4" w:space="0"/>
              <w:left w:val="outset" w:color="auto" w:sz="4" w:space="0"/>
              <w:bottom w:val="outset" w:color="auto" w:sz="4" w:space="0"/>
              <w:right w:val="outset" w:color="auto" w:sz="4" w:space="0"/>
            </w:tcBorders>
            <w:vAlign w:val="center"/>
          </w:tcPr>
          <w:p w14:paraId="62DEC2D4">
            <w:pPr>
              <w:rPr>
                <w:color w:val="000000" w:themeColor="text1"/>
                <w14:textFill>
                  <w14:solidFill>
                    <w14:schemeClr w14:val="tx1"/>
                  </w14:solidFill>
                </w14:textFill>
              </w:rPr>
            </w:pPr>
            <w:r>
              <w:rPr>
                <w:rFonts w:hint="eastAsia"/>
                <w:b/>
                <w:color w:val="000000" w:themeColor="text1"/>
                <w14:textFill>
                  <w14:solidFill>
                    <w14:schemeClr w14:val="tx1"/>
                  </w14:solidFill>
                </w14:textFill>
              </w:rPr>
              <w:t>六、期末现金及现金等价物余额</w:t>
            </w:r>
          </w:p>
        </w:tc>
        <w:tc>
          <w:tcPr>
            <w:tcW w:w="995" w:type="pct"/>
            <w:tcBorders>
              <w:top w:val="outset" w:color="auto" w:sz="4" w:space="0"/>
              <w:left w:val="outset" w:color="auto" w:sz="4" w:space="0"/>
              <w:bottom w:val="outset" w:color="auto" w:sz="4" w:space="0"/>
              <w:right w:val="outset" w:color="auto" w:sz="4" w:space="0"/>
            </w:tcBorders>
            <w:vAlign w:val="center"/>
          </w:tcPr>
          <w:p w14:paraId="16E5334F"/>
        </w:tc>
        <w:tc>
          <w:tcPr>
            <w:tcW w:w="1158" w:type="pct"/>
            <w:tcBorders>
              <w:top w:val="outset" w:color="auto" w:sz="4" w:space="0"/>
              <w:left w:val="outset" w:color="auto" w:sz="4" w:space="0"/>
              <w:bottom w:val="outset" w:color="auto" w:sz="4" w:space="0"/>
              <w:right w:val="outset" w:color="auto" w:sz="4" w:space="0"/>
            </w:tcBorders>
            <w:vAlign w:val="center"/>
          </w:tcPr>
          <w:p w14:paraId="71EE0D93">
            <w:pPr>
              <w:jc w:val="right"/>
            </w:pPr>
            <w:r>
              <w:t>11,993,501.06</w:t>
            </w:r>
          </w:p>
        </w:tc>
        <w:tc>
          <w:tcPr>
            <w:tcW w:w="1152" w:type="pct"/>
            <w:tcBorders>
              <w:top w:val="outset" w:color="auto" w:sz="4" w:space="0"/>
              <w:left w:val="outset" w:color="auto" w:sz="4" w:space="0"/>
              <w:bottom w:val="outset" w:color="auto" w:sz="4" w:space="0"/>
              <w:right w:val="outset" w:color="auto" w:sz="4" w:space="0"/>
            </w:tcBorders>
            <w:vAlign w:val="center"/>
          </w:tcPr>
          <w:p w14:paraId="548BC33A">
            <w:pPr>
              <w:jc w:val="right"/>
            </w:pPr>
            <w:r>
              <w:t>14,530,018.11</w:t>
            </w:r>
          </w:p>
        </w:tc>
      </w:tr>
    </w:tbl>
    <w:p w14:paraId="330C6F7D">
      <w:pPr>
        <w:snapToGrid w:val="0"/>
        <w:spacing w:line="240" w:lineRule="atLeast"/>
        <w:ind w:right="-153" w:rightChars="-73"/>
        <w:rPr>
          <w:color w:val="000000" w:themeColor="text1"/>
          <w14:textFill>
            <w14:solidFill>
              <w14:schemeClr w14:val="tx1"/>
            </w14:solidFill>
          </w14:textFill>
        </w:rPr>
      </w:pPr>
    </w:p>
    <w:p w14:paraId="7F1DE181">
      <w:pPr>
        <w:snapToGrid w:val="0"/>
        <w:spacing w:line="240" w:lineRule="atLeast"/>
        <w:ind w:right="-153" w:rightChars="-73"/>
        <w:rPr>
          <w:b/>
          <w:bCs w:val="0"/>
          <w:color w:val="000000" w:themeColor="text1"/>
          <w14:textFill>
            <w14:solidFill>
              <w14:schemeClr w14:val="tx1"/>
            </w14:solidFill>
          </w14:textFill>
        </w:rPr>
      </w:pPr>
      <w:r>
        <w:rPr>
          <w:color w:val="000000" w:themeColor="text1"/>
          <w14:textFill>
            <w14:solidFill>
              <w14:schemeClr w14:val="tx1"/>
            </w14:solidFill>
          </w14:textFill>
        </w:rPr>
        <w:t>公司负责人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公司负责人"/>
          <w:tag w:val="_GBC_b872f4b10a12453987b2d73dfe2a5ff9"/>
          <w:id w:val="172221668"/>
          <w:placeholder>
            <w:docPart w:val="GBC22222222222222222222222222222"/>
          </w:placeholder>
          <w:dataBinding w:prefixMappings="xmlns:clcid-mr='clcid-mr'" w:xpath="/*/clcid-mr:GongSi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唐传勤</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主管会计工作负责人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主管会计工作负责人姓名"/>
          <w:tag w:val="_GBC_29443dd8858043c68f8217b05d1e3346"/>
          <w:id w:val="2076852496"/>
          <w:placeholder>
            <w:docPart w:val="GBC22222222222222222222222222222"/>
          </w:placeholder>
          <w:dataBinding w:prefixMappings="xmlns:clcid-mr='clcid-mr'" w:xpath="/*/clcid-mr:ZhuGuanKuaiJiGongZuo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宋荣超</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会计机构负责人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会计机构负责人姓名"/>
          <w:tag w:val="_GBC_952065710c0f41709539d877935c1903"/>
          <w:id w:val="1376663929"/>
          <w:placeholder>
            <w:docPart w:val="GBC22222222222222222222222222222"/>
          </w:placeholder>
          <w:dataBinding w:prefixMappings="xmlns:clcid-mr='clcid-mr'" w:xpath="/*/clcid-mr:KuaiJiJiGou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张小嫘</w:t>
          </w:r>
        </w:sdtContent>
      </w:sdt>
    </w:p>
    <w:p w14:paraId="3860FC90">
      <w:pPr>
        <w:rPr>
          <w:b/>
          <w:bCs w:val="0"/>
          <w:color w:val="000000" w:themeColor="text1"/>
          <w14:textFill>
            <w14:solidFill>
              <w14:schemeClr w14:val="tx1"/>
            </w14:solidFill>
          </w14:textFill>
        </w:rPr>
      </w:pPr>
    </w:p>
    <w:bookmarkEnd w:id="124"/>
    <w:p w14:paraId="7BC5ECF6">
      <w:pPr>
        <w:snapToGrid w:val="0"/>
        <w:spacing w:line="240" w:lineRule="atLeast"/>
        <w:ind w:right="-153" w:rightChars="-73"/>
        <w:rPr>
          <w:color w:val="000000" w:themeColor="text1"/>
          <w14:textFill>
            <w14:solidFill>
              <w14:schemeClr w14:val="tx1"/>
            </w14:solidFill>
          </w14:textFill>
        </w:rPr>
        <w:sectPr>
          <w:pgSz w:w="11906" w:h="16838"/>
          <w:pgMar w:top="1525" w:right="1276" w:bottom="1440" w:left="1797" w:header="851" w:footer="992" w:gutter="0"/>
          <w:cols w:space="425" w:num="1"/>
          <w:docGrid w:linePitch="312" w:charSpace="0"/>
        </w:sectPr>
      </w:pPr>
      <w:bookmarkStart w:id="126" w:name="_Hlk10211660"/>
      <w:bookmarkEnd w:id="126"/>
    </w:p>
    <w:p w14:paraId="73209299">
      <w:pPr>
        <w:snapToGrid w:val="0"/>
        <w:spacing w:line="240" w:lineRule="atLeast"/>
        <w:ind w:right="-153" w:rightChars="-73"/>
        <w:rPr>
          <w:color w:val="000000" w:themeColor="text1"/>
          <w14:textFill>
            <w14:solidFill>
              <w14:schemeClr w14:val="tx1"/>
            </w14:solidFill>
          </w14:textFill>
        </w:rPr>
      </w:pPr>
    </w:p>
    <w:p w14:paraId="43A4F3E3">
      <w:pPr>
        <w:rPr>
          <w:bCs w:val="0"/>
        </w:rPr>
      </w:pPr>
      <w:bookmarkStart w:id="127" w:name="_Hlk10211858"/>
    </w:p>
    <w:p w14:paraId="2A2D327E">
      <w:pPr>
        <w:pStyle w:val="4"/>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合并</w:t>
      </w:r>
      <w:r>
        <w:rPr>
          <w:rFonts w:hint="eastAsia" w:ascii="宋体" w:hAnsi="宋体"/>
          <w:color w:val="000000" w:themeColor="text1"/>
          <w14:textFill>
            <w14:solidFill>
              <w14:schemeClr w14:val="tx1"/>
            </w14:solidFill>
          </w14:textFill>
        </w:rPr>
        <w:t>所有者权益变动表</w:t>
      </w:r>
    </w:p>
    <w:p w14:paraId="22F6DC40">
      <w:pPr>
        <w:tabs>
          <w:tab w:val="left" w:pos="10080"/>
        </w:tabs>
        <w:snapToGrid w:val="0"/>
        <w:spacing w:line="240" w:lineRule="atLeast"/>
        <w:ind w:right="25" w:rightChars="12"/>
        <w:jc w:val="center"/>
        <w:rPr>
          <w:color w:val="000000" w:themeColor="text1"/>
          <w14:textFill>
            <w14:solidFill>
              <w14:schemeClr w14:val="tx1"/>
            </w14:solidFill>
          </w14:textFill>
        </w:rPr>
      </w:pPr>
      <w:r>
        <w:rPr>
          <w:color w:val="000000" w:themeColor="text1"/>
          <w14:textFill>
            <w14:solidFill>
              <w14:schemeClr w14:val="tx1"/>
            </w14:solidFill>
          </w14:textFill>
        </w:rPr>
        <w:t>2026年</w:t>
      </w:r>
      <w:r>
        <w:rPr>
          <w:rFonts w:hint="eastAsia"/>
          <w:color w:val="000000" w:themeColor="text1"/>
          <w14:textFill>
            <w14:solidFill>
              <w14:schemeClr w14:val="tx1"/>
            </w14:solidFill>
          </w14:textFill>
        </w:rPr>
        <w:t>1—6月</w:t>
      </w:r>
    </w:p>
    <w:p w14:paraId="736C39DF">
      <w:pPr>
        <w:tabs>
          <w:tab w:val="left" w:pos="10080"/>
        </w:tabs>
        <w:snapToGrid w:val="0"/>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单位：</w:t>
      </w:r>
      <w:sdt>
        <w:sdtPr>
          <w:rPr>
            <w:color w:val="000000" w:themeColor="text1"/>
            <w14:textFill>
              <w14:solidFill>
                <w14:schemeClr w14:val="tx1"/>
              </w14:solidFill>
            </w14:textFill>
          </w:rPr>
          <w:alias w:val="单位：合并股东权益调节表"/>
          <w:tag w:val="_GBC_57faea4e453e49ad93821b7dd6ce8bc4"/>
          <w:id w:val="5520441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元</w:t>
          </w:r>
        </w:sdtContent>
      </w:sdt>
      <w:r>
        <w:rPr>
          <w:color w:val="000000" w:themeColor="text1"/>
          <w14:textFill>
            <w14:solidFill>
              <w14:schemeClr w14:val="tx1"/>
            </w14:solidFill>
          </w14:textFill>
        </w:rPr>
        <w:t xml:space="preserve"> 币种：</w:t>
      </w:r>
      <w:sdt>
        <w:sdtPr>
          <w:rPr>
            <w:color w:val="000000" w:themeColor="text1"/>
            <w14:textFill>
              <w14:solidFill>
                <w14:schemeClr w14:val="tx1"/>
              </w14:solidFill>
            </w14:textFill>
          </w:rPr>
          <w:alias w:val="币种：合并股东权益调节表"/>
          <w:tag w:val="_GBC_cef77704267643d794145c73763360e5"/>
          <w:id w:val="-2747904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人民币</w:t>
          </w:r>
        </w:sdtContent>
      </w:sdt>
    </w:p>
    <w:tbl>
      <w:tblPr>
        <w:tblStyle w:val="37"/>
        <w:tblW w:w="5778" w:type="pct"/>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1564"/>
        <w:gridCol w:w="423"/>
        <w:gridCol w:w="436"/>
        <w:gridCol w:w="285"/>
        <w:gridCol w:w="1416"/>
        <w:gridCol w:w="285"/>
        <w:gridCol w:w="1275"/>
        <w:gridCol w:w="426"/>
        <w:gridCol w:w="1416"/>
        <w:gridCol w:w="381"/>
        <w:gridCol w:w="1605"/>
        <w:gridCol w:w="401"/>
        <w:gridCol w:w="1483"/>
        <w:gridCol w:w="1362"/>
        <w:gridCol w:w="1701"/>
      </w:tblGrid>
      <w:tr w14:paraId="7FDE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restart"/>
            <w:vAlign w:val="center"/>
          </w:tcPr>
          <w:sdt>
            <w:sdtPr>
              <w:tag w:val="_PLD_5bd68ed5796041328d1a003c1362ceaf"/>
              <w:id w:val="239841211"/>
            </w:sdtPr>
            <w:sdtContent>
              <w:p w14:paraId="19F509D0">
                <w:pPr>
                  <w:snapToGrid w:val="0"/>
                  <w:spacing w:line="240" w:lineRule="atLeast"/>
                  <w:jc w:val="center"/>
                  <w:rPr>
                    <w:color w:val="000000" w:themeColor="text1"/>
                    <w:sz w:val="18"/>
                    <w:szCs w:val="18"/>
                    <w14:textFill>
                      <w14:solidFill>
                        <w14:schemeClr w14:val="tx1"/>
                      </w14:solidFill>
                    </w14:textFill>
                  </w:rPr>
                </w:pPr>
                <w:bookmarkStart w:id="128" w:name="OLE_LINK20"/>
                <w:r>
                  <w:rPr>
                    <w:rFonts w:hint="eastAsia"/>
                    <w:color w:val="000000" w:themeColor="text1"/>
                    <w:sz w:val="18"/>
                    <w:szCs w:val="18"/>
                    <w14:textFill>
                      <w14:solidFill>
                        <w14:schemeClr w14:val="tx1"/>
                      </w14:solidFill>
                    </w14:textFill>
                  </w:rPr>
                  <w:t>项目</w:t>
                </w:r>
              </w:p>
            </w:sdtContent>
          </w:sdt>
        </w:tc>
        <w:tc>
          <w:tcPr>
            <w:tcW w:w="4513" w:type="pct"/>
            <w:gridSpan w:val="15"/>
            <w:vAlign w:val="center"/>
          </w:tcPr>
          <w:p w14:paraId="68863652">
            <w:pPr>
              <w:snapToGrid w:val="0"/>
              <w:spacing w:line="240" w:lineRule="atLeast"/>
              <w:ind w:right="-1594" w:rightChars="-759"/>
              <w:jc w:val="center"/>
              <w:rPr>
                <w:color w:val="000000" w:themeColor="text1"/>
                <w14:textFill>
                  <w14:solidFill>
                    <w14:schemeClr w14:val="tx1"/>
                  </w14:solidFill>
                </w14:textFill>
              </w:rPr>
            </w:pPr>
            <w:sdt>
              <w:sdtPr>
                <w:tag w:val="_PLD_70c71cd0427542b1b96a0fa943173d3d"/>
                <w:id w:val="-255597295"/>
              </w:sdtPr>
              <w:sdtContent>
                <w:r>
                  <w:rPr>
                    <w:rFonts w:hint="eastAsia"/>
                    <w:color w:val="000000" w:themeColor="text1"/>
                    <w:sz w:val="18"/>
                    <w:szCs w:val="18"/>
                    <w14:textFill>
                      <w14:solidFill>
                        <w14:schemeClr w14:val="tx1"/>
                      </w14:solidFill>
                    </w14:textFill>
                  </w:rPr>
                  <w:t>2026年半年度</w:t>
                </w:r>
              </w:sdtContent>
            </w:sdt>
          </w:p>
        </w:tc>
      </w:tr>
      <w:tr w14:paraId="627A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487" w:type="pct"/>
            <w:vMerge w:val="continue"/>
            <w:vAlign w:val="center"/>
          </w:tcPr>
          <w:p w14:paraId="2055280D">
            <w:pPr>
              <w:snapToGrid w:val="0"/>
              <w:spacing w:line="240" w:lineRule="atLeast"/>
              <w:ind w:right="-1594" w:rightChars="-759"/>
              <w:rPr>
                <w:color w:val="000000" w:themeColor="text1"/>
                <w:sz w:val="18"/>
                <w:szCs w:val="18"/>
                <w14:textFill>
                  <w14:solidFill>
                    <w14:schemeClr w14:val="tx1"/>
                  </w14:solidFill>
                </w14:textFill>
              </w:rPr>
            </w:pPr>
          </w:p>
        </w:tc>
        <w:sdt>
          <w:sdtPr>
            <w:tag w:val="_PLD_e146ec74496c4c03a714dcef40faa972"/>
            <w:id w:val="962454706"/>
          </w:sdtPr>
          <w:sdtContent>
            <w:tc>
              <w:tcPr>
                <w:tcW w:w="3557" w:type="pct"/>
                <w:gridSpan w:val="13"/>
                <w:vAlign w:val="center"/>
              </w:tcPr>
              <w:p w14:paraId="7DEE3158">
                <w:pPr>
                  <w:jc w:val="center"/>
                  <w:rPr>
                    <w:color w:val="000000" w:themeColor="text1"/>
                    <w14:textFill>
                      <w14:solidFill>
                        <w14:schemeClr w14:val="tx1"/>
                      </w14:solidFill>
                    </w14:textFill>
                  </w:rPr>
                </w:pPr>
                <w:r>
                  <w:rPr>
                    <w:color w:val="000000" w:themeColor="text1"/>
                    <w:sz w:val="18"/>
                    <w:szCs w:val="18"/>
                    <w14:textFill>
                      <w14:solidFill>
                        <w14:schemeClr w14:val="tx1"/>
                      </w14:solidFill>
                    </w14:textFill>
                  </w:rPr>
                  <w:t>归属于母公司所有者权益</w:t>
                </w:r>
              </w:p>
            </w:tc>
          </w:sdtContent>
        </w:sdt>
        <w:sdt>
          <w:sdtPr>
            <w:tag w:val="_PLD_b1ca85c50c1341e59b4b412e92d87f2f"/>
            <w:id w:val="-599948721"/>
          </w:sdtPr>
          <w:sdtContent>
            <w:tc>
              <w:tcPr>
                <w:tcW w:w="425" w:type="pct"/>
                <w:vMerge w:val="restart"/>
                <w:vAlign w:val="center"/>
              </w:tcPr>
              <w:p w14:paraId="35E7E6C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少数股东权益</w:t>
                </w:r>
              </w:p>
            </w:tc>
          </w:sdtContent>
        </w:sdt>
        <w:sdt>
          <w:sdtPr>
            <w:tag w:val="_PLD_0e252e0d00f04386b93d4e3064ba423d"/>
            <w:id w:val="2025896295"/>
          </w:sdtPr>
          <w:sdtContent>
            <w:tc>
              <w:tcPr>
                <w:tcW w:w="531" w:type="pct"/>
                <w:vMerge w:val="restart"/>
                <w:vAlign w:val="center"/>
              </w:tcPr>
              <w:p w14:paraId="1C8CD95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所有者权益合计</w:t>
                </w:r>
              </w:p>
            </w:tc>
          </w:sdtContent>
        </w:sdt>
      </w:tr>
      <w:tr w14:paraId="11B0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487" w:type="pct"/>
            <w:vMerge w:val="continue"/>
            <w:vAlign w:val="center"/>
          </w:tcPr>
          <w:p w14:paraId="02A1E0D6">
            <w:pPr>
              <w:snapToGrid w:val="0"/>
              <w:spacing w:line="240" w:lineRule="atLeast"/>
              <w:ind w:right="-1594" w:rightChars="-759"/>
              <w:rPr>
                <w:color w:val="000000" w:themeColor="text1"/>
                <w:sz w:val="18"/>
                <w:szCs w:val="18"/>
                <w14:textFill>
                  <w14:solidFill>
                    <w14:schemeClr w14:val="tx1"/>
                  </w14:solidFill>
                </w14:textFill>
              </w:rPr>
            </w:pPr>
          </w:p>
        </w:tc>
        <w:sdt>
          <w:sdtPr>
            <w:tag w:val="_PLD_1605afb5a60946a9ba86cca783d492d3"/>
            <w:id w:val="165445775"/>
          </w:sdtPr>
          <w:sdtContent>
            <w:tc>
              <w:tcPr>
                <w:tcW w:w="488" w:type="pct"/>
                <w:vMerge w:val="restart"/>
                <w:vAlign w:val="center"/>
              </w:tcPr>
              <w:p w14:paraId="173B284B">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实收资本</w:t>
                </w:r>
                <w:r>
                  <w:rPr>
                    <w:color w:val="000000" w:themeColor="text1"/>
                    <w:sz w:val="18"/>
                    <w:szCs w:val="18"/>
                    <w14:textFill>
                      <w14:solidFill>
                        <w14:schemeClr w14:val="tx1"/>
                      </w14:solidFill>
                    </w14:textFill>
                  </w:rPr>
                  <w:t xml:space="preserve"> (或股本)</w:t>
                </w:r>
              </w:p>
            </w:tc>
          </w:sdtContent>
        </w:sdt>
        <w:sdt>
          <w:sdtPr>
            <w:tag w:val="_PLD_78f5e518a65d422c99d27d23e96afb9e"/>
            <w:id w:val="1106470378"/>
          </w:sdtPr>
          <w:sdtContent>
            <w:tc>
              <w:tcPr>
                <w:tcW w:w="357" w:type="pct"/>
                <w:gridSpan w:val="3"/>
                <w:vAlign w:val="center"/>
              </w:tcPr>
              <w:p w14:paraId="538581B7">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其他权益工具</w:t>
                </w:r>
              </w:p>
            </w:tc>
          </w:sdtContent>
        </w:sdt>
        <w:sdt>
          <w:sdtPr>
            <w:tag w:val="_PLD_f67d05ac9f6f4daaafdf90084911dcee"/>
            <w:id w:val="275534151"/>
          </w:sdtPr>
          <w:sdtContent>
            <w:tc>
              <w:tcPr>
                <w:tcW w:w="442" w:type="pct"/>
                <w:vMerge w:val="restart"/>
                <w:vAlign w:val="center"/>
              </w:tcPr>
              <w:p w14:paraId="43CE2A5D">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资本公积</w:t>
                </w:r>
              </w:p>
            </w:tc>
          </w:sdtContent>
        </w:sdt>
        <w:sdt>
          <w:sdtPr>
            <w:tag w:val="_PLD_21df11f52b3443acacf7dd8421b5cc67"/>
            <w:id w:val="1751763579"/>
          </w:sdtPr>
          <w:sdtContent>
            <w:tc>
              <w:tcPr>
                <w:tcW w:w="89" w:type="pct"/>
                <w:vMerge w:val="restart"/>
                <w:vAlign w:val="center"/>
              </w:tcPr>
              <w:p w14:paraId="573C064E">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减：库存股</w:t>
                </w:r>
              </w:p>
            </w:tc>
          </w:sdtContent>
        </w:sdt>
        <w:sdt>
          <w:sdtPr>
            <w:tag w:val="_PLD_bdc12fd277ea4fbe9c90f9480d9ecddb"/>
            <w:id w:val="1050500874"/>
          </w:sdtPr>
          <w:sdtContent>
            <w:tc>
              <w:tcPr>
                <w:tcW w:w="398" w:type="pct"/>
                <w:vMerge w:val="restart"/>
                <w:vAlign w:val="center"/>
              </w:tcPr>
              <w:p w14:paraId="34CAB3FB">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其他综合收益</w:t>
                </w:r>
              </w:p>
            </w:tc>
          </w:sdtContent>
        </w:sdt>
        <w:sdt>
          <w:sdtPr>
            <w:tag w:val="_PLD_b4aa95f4be904a02958b77b5542bb78d"/>
            <w:id w:val="1302740828"/>
          </w:sdtPr>
          <w:sdtContent>
            <w:tc>
              <w:tcPr>
                <w:tcW w:w="133" w:type="pct"/>
                <w:vMerge w:val="restart"/>
                <w:vAlign w:val="center"/>
              </w:tcPr>
              <w:p w14:paraId="5F676F43">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专项储备</w:t>
                </w:r>
              </w:p>
            </w:tc>
          </w:sdtContent>
        </w:sdt>
        <w:sdt>
          <w:sdtPr>
            <w:tag w:val="_PLD_1ee8f47ee38e4000af64e781a1a0e729"/>
            <w:id w:val="206533487"/>
          </w:sdtPr>
          <w:sdtContent>
            <w:tc>
              <w:tcPr>
                <w:tcW w:w="442" w:type="pct"/>
                <w:vMerge w:val="restart"/>
                <w:vAlign w:val="center"/>
              </w:tcPr>
              <w:p w14:paraId="1E243755">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盈余公积</w:t>
                </w:r>
              </w:p>
            </w:tc>
          </w:sdtContent>
        </w:sdt>
        <w:sdt>
          <w:sdtPr>
            <w:tag w:val="_PLD_b09258af0aa4494b8e88e711ca2dd7b8"/>
            <w:id w:val="-799525878"/>
          </w:sdtPr>
          <w:sdtContent>
            <w:tc>
              <w:tcPr>
                <w:tcW w:w="119" w:type="pct"/>
                <w:vMerge w:val="restart"/>
                <w:vAlign w:val="center"/>
              </w:tcPr>
              <w:p w14:paraId="6E6B711F">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一般风险准备</w:t>
                </w:r>
              </w:p>
            </w:tc>
          </w:sdtContent>
        </w:sdt>
        <w:sdt>
          <w:sdtPr>
            <w:tag w:val="_PLD_f20054bead0a491aafe7bb5a5952f48f"/>
            <w:id w:val="-1201941504"/>
          </w:sdtPr>
          <w:sdtContent>
            <w:tc>
              <w:tcPr>
                <w:tcW w:w="501" w:type="pct"/>
                <w:vMerge w:val="restart"/>
                <w:vAlign w:val="center"/>
              </w:tcPr>
              <w:p w14:paraId="2ADFA9C6">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未分配利润</w:t>
                </w:r>
              </w:p>
            </w:tc>
          </w:sdtContent>
        </w:sdt>
        <w:tc>
          <w:tcPr>
            <w:tcW w:w="125" w:type="pct"/>
            <w:vMerge w:val="restart"/>
            <w:vAlign w:val="center"/>
          </w:tcPr>
          <w:sdt>
            <w:sdtPr>
              <w:tag w:val="_PLD_ee763dfa69fd4fa3bec927cefa83eadc"/>
              <w:id w:val="-374474177"/>
            </w:sdtPr>
            <w:sdtContent>
              <w:p w14:paraId="6180DFF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w:t>
                </w:r>
              </w:p>
            </w:sdtContent>
          </w:sdt>
        </w:tc>
        <w:tc>
          <w:tcPr>
            <w:tcW w:w="463" w:type="pct"/>
            <w:vMerge w:val="restart"/>
            <w:vAlign w:val="center"/>
          </w:tcPr>
          <w:sdt>
            <w:sdtPr>
              <w:tag w:val="_PLD_97c92cf2be1e4f36880a16a2c16704b4"/>
              <w:id w:val="-1065330651"/>
            </w:sdtPr>
            <w:sdtContent>
              <w:p w14:paraId="281D6BDD">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小计</w:t>
                </w:r>
              </w:p>
            </w:sdtContent>
          </w:sdt>
        </w:tc>
        <w:tc>
          <w:tcPr>
            <w:tcW w:w="425" w:type="pct"/>
            <w:vMerge w:val="continue"/>
            <w:vAlign w:val="center"/>
          </w:tcPr>
          <w:p w14:paraId="0BBFC24C">
            <w:pPr>
              <w:jc w:val="center"/>
              <w:rPr>
                <w:color w:val="000000" w:themeColor="text1"/>
                <w:sz w:val="18"/>
                <w:szCs w:val="18"/>
                <w14:textFill>
                  <w14:solidFill>
                    <w14:schemeClr w14:val="tx1"/>
                  </w14:solidFill>
                </w14:textFill>
              </w:rPr>
            </w:pPr>
          </w:p>
        </w:tc>
        <w:tc>
          <w:tcPr>
            <w:tcW w:w="531" w:type="pct"/>
            <w:vMerge w:val="continue"/>
            <w:vAlign w:val="center"/>
          </w:tcPr>
          <w:p w14:paraId="568D9C40">
            <w:pPr>
              <w:jc w:val="center"/>
              <w:rPr>
                <w:color w:val="000000" w:themeColor="text1"/>
                <w:sz w:val="18"/>
                <w:szCs w:val="18"/>
                <w14:textFill>
                  <w14:solidFill>
                    <w14:schemeClr w14:val="tx1"/>
                  </w14:solidFill>
                </w14:textFill>
              </w:rPr>
            </w:pPr>
          </w:p>
        </w:tc>
      </w:tr>
      <w:tr w14:paraId="7A73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87" w:type="pct"/>
            <w:vMerge w:val="continue"/>
            <w:vAlign w:val="center"/>
          </w:tcPr>
          <w:p w14:paraId="2B7E56DC">
            <w:pPr>
              <w:snapToGrid w:val="0"/>
              <w:spacing w:line="240" w:lineRule="atLeast"/>
              <w:ind w:right="-1594" w:rightChars="-759"/>
              <w:rPr>
                <w:color w:val="000000" w:themeColor="text1"/>
                <w:sz w:val="18"/>
                <w:szCs w:val="18"/>
                <w14:textFill>
                  <w14:solidFill>
                    <w14:schemeClr w14:val="tx1"/>
                  </w14:solidFill>
                </w14:textFill>
              </w:rPr>
            </w:pPr>
          </w:p>
        </w:tc>
        <w:tc>
          <w:tcPr>
            <w:tcW w:w="488" w:type="pct"/>
            <w:vMerge w:val="continue"/>
            <w:vAlign w:val="center"/>
          </w:tcPr>
          <w:p w14:paraId="28D6EF3E">
            <w:pPr>
              <w:snapToGrid w:val="0"/>
              <w:spacing w:line="240" w:lineRule="atLeast"/>
              <w:jc w:val="center"/>
              <w:rPr>
                <w:color w:val="000000" w:themeColor="text1"/>
                <w:sz w:val="18"/>
                <w:szCs w:val="18"/>
                <w14:textFill>
                  <w14:solidFill>
                    <w14:schemeClr w14:val="tx1"/>
                  </w14:solidFill>
                </w14:textFill>
              </w:rPr>
            </w:pPr>
          </w:p>
        </w:tc>
        <w:sdt>
          <w:sdtPr>
            <w:tag w:val="_PLD_7b6493af25ff4e3986120f711cb3be4e"/>
            <w:id w:val="-467120720"/>
          </w:sdtPr>
          <w:sdtContent>
            <w:tc>
              <w:tcPr>
                <w:tcW w:w="132" w:type="pct"/>
                <w:vAlign w:val="center"/>
              </w:tcPr>
              <w:p w14:paraId="58A4F5A3">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优先股</w:t>
                </w:r>
              </w:p>
            </w:tc>
          </w:sdtContent>
        </w:sdt>
        <w:sdt>
          <w:sdtPr>
            <w:tag w:val="_PLD_446c35c8857c4ad0bb648db82e104141"/>
            <w:id w:val="-1582374198"/>
          </w:sdtPr>
          <w:sdtContent>
            <w:tc>
              <w:tcPr>
                <w:tcW w:w="136" w:type="pct"/>
                <w:vAlign w:val="center"/>
              </w:tcPr>
              <w:p w14:paraId="4B705F6E">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永续债</w:t>
                </w:r>
              </w:p>
            </w:tc>
          </w:sdtContent>
        </w:sdt>
        <w:sdt>
          <w:sdtPr>
            <w:tag w:val="_PLD_e8048d05ab294ec8a2a849ca1f70a7c9"/>
            <w:id w:val="-1146749972"/>
          </w:sdtPr>
          <w:sdtContent>
            <w:tc>
              <w:tcPr>
                <w:tcW w:w="89" w:type="pct"/>
                <w:vAlign w:val="center"/>
              </w:tcPr>
              <w:p w14:paraId="3109EA69">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w:t>
                </w:r>
              </w:p>
            </w:tc>
          </w:sdtContent>
        </w:sdt>
        <w:tc>
          <w:tcPr>
            <w:tcW w:w="442" w:type="pct"/>
            <w:vMerge w:val="continue"/>
            <w:vAlign w:val="center"/>
          </w:tcPr>
          <w:p w14:paraId="647283C0">
            <w:pPr>
              <w:snapToGrid w:val="0"/>
              <w:spacing w:line="240" w:lineRule="atLeast"/>
              <w:jc w:val="center"/>
              <w:rPr>
                <w:color w:val="000000" w:themeColor="text1"/>
                <w:sz w:val="18"/>
                <w:szCs w:val="18"/>
                <w14:textFill>
                  <w14:solidFill>
                    <w14:schemeClr w14:val="tx1"/>
                  </w14:solidFill>
                </w14:textFill>
              </w:rPr>
            </w:pPr>
          </w:p>
        </w:tc>
        <w:tc>
          <w:tcPr>
            <w:tcW w:w="89" w:type="pct"/>
            <w:vMerge w:val="continue"/>
            <w:vAlign w:val="center"/>
          </w:tcPr>
          <w:p w14:paraId="18355324">
            <w:pPr>
              <w:snapToGrid w:val="0"/>
              <w:spacing w:line="240" w:lineRule="atLeast"/>
              <w:jc w:val="center"/>
              <w:rPr>
                <w:color w:val="000000" w:themeColor="text1"/>
                <w:sz w:val="18"/>
                <w:szCs w:val="18"/>
                <w14:textFill>
                  <w14:solidFill>
                    <w14:schemeClr w14:val="tx1"/>
                  </w14:solidFill>
                </w14:textFill>
              </w:rPr>
            </w:pPr>
          </w:p>
        </w:tc>
        <w:tc>
          <w:tcPr>
            <w:tcW w:w="398" w:type="pct"/>
            <w:vMerge w:val="continue"/>
            <w:vAlign w:val="center"/>
          </w:tcPr>
          <w:p w14:paraId="50C33F41">
            <w:pPr>
              <w:snapToGrid w:val="0"/>
              <w:spacing w:line="240" w:lineRule="atLeast"/>
              <w:jc w:val="center"/>
              <w:rPr>
                <w:color w:val="000000" w:themeColor="text1"/>
                <w:sz w:val="18"/>
                <w:szCs w:val="18"/>
                <w14:textFill>
                  <w14:solidFill>
                    <w14:schemeClr w14:val="tx1"/>
                  </w14:solidFill>
                </w14:textFill>
              </w:rPr>
            </w:pPr>
          </w:p>
        </w:tc>
        <w:tc>
          <w:tcPr>
            <w:tcW w:w="133" w:type="pct"/>
            <w:vMerge w:val="continue"/>
            <w:vAlign w:val="center"/>
          </w:tcPr>
          <w:p w14:paraId="6D5E7CC6">
            <w:pPr>
              <w:snapToGrid w:val="0"/>
              <w:spacing w:line="240" w:lineRule="atLeast"/>
              <w:jc w:val="center"/>
              <w:rPr>
                <w:color w:val="000000" w:themeColor="text1"/>
                <w:sz w:val="18"/>
                <w:szCs w:val="18"/>
                <w14:textFill>
                  <w14:solidFill>
                    <w14:schemeClr w14:val="tx1"/>
                  </w14:solidFill>
                </w14:textFill>
              </w:rPr>
            </w:pPr>
          </w:p>
        </w:tc>
        <w:tc>
          <w:tcPr>
            <w:tcW w:w="442" w:type="pct"/>
            <w:vMerge w:val="continue"/>
            <w:vAlign w:val="center"/>
          </w:tcPr>
          <w:p w14:paraId="5CE5A1CD">
            <w:pPr>
              <w:snapToGrid w:val="0"/>
              <w:spacing w:line="240" w:lineRule="atLeast"/>
              <w:jc w:val="center"/>
              <w:rPr>
                <w:color w:val="000000" w:themeColor="text1"/>
                <w:sz w:val="18"/>
                <w:szCs w:val="18"/>
                <w14:textFill>
                  <w14:solidFill>
                    <w14:schemeClr w14:val="tx1"/>
                  </w14:solidFill>
                </w14:textFill>
              </w:rPr>
            </w:pPr>
          </w:p>
        </w:tc>
        <w:tc>
          <w:tcPr>
            <w:tcW w:w="119" w:type="pct"/>
            <w:vMerge w:val="continue"/>
            <w:vAlign w:val="center"/>
          </w:tcPr>
          <w:p w14:paraId="707D28A3">
            <w:pPr>
              <w:snapToGrid w:val="0"/>
              <w:spacing w:line="240" w:lineRule="atLeast"/>
              <w:jc w:val="center"/>
              <w:rPr>
                <w:color w:val="000000" w:themeColor="text1"/>
                <w:sz w:val="18"/>
                <w:szCs w:val="18"/>
                <w14:textFill>
                  <w14:solidFill>
                    <w14:schemeClr w14:val="tx1"/>
                  </w14:solidFill>
                </w14:textFill>
              </w:rPr>
            </w:pPr>
          </w:p>
        </w:tc>
        <w:tc>
          <w:tcPr>
            <w:tcW w:w="501" w:type="pct"/>
            <w:vMerge w:val="continue"/>
            <w:vAlign w:val="center"/>
          </w:tcPr>
          <w:p w14:paraId="0C8CD607">
            <w:pPr>
              <w:snapToGrid w:val="0"/>
              <w:spacing w:line="240" w:lineRule="atLeast"/>
              <w:jc w:val="center"/>
              <w:rPr>
                <w:color w:val="000000" w:themeColor="text1"/>
                <w:sz w:val="18"/>
                <w:szCs w:val="18"/>
                <w14:textFill>
                  <w14:solidFill>
                    <w14:schemeClr w14:val="tx1"/>
                  </w14:solidFill>
                </w14:textFill>
              </w:rPr>
            </w:pPr>
          </w:p>
        </w:tc>
        <w:tc>
          <w:tcPr>
            <w:tcW w:w="125" w:type="pct"/>
            <w:vMerge w:val="continue"/>
            <w:vAlign w:val="center"/>
          </w:tcPr>
          <w:p w14:paraId="11FB71BC">
            <w:pPr>
              <w:jc w:val="center"/>
              <w:rPr>
                <w:color w:val="000000" w:themeColor="text1"/>
                <w:sz w:val="18"/>
                <w:szCs w:val="18"/>
                <w14:textFill>
                  <w14:solidFill>
                    <w14:schemeClr w14:val="tx1"/>
                  </w14:solidFill>
                </w14:textFill>
              </w:rPr>
            </w:pPr>
          </w:p>
        </w:tc>
        <w:tc>
          <w:tcPr>
            <w:tcW w:w="463" w:type="pct"/>
            <w:vMerge w:val="continue"/>
            <w:vAlign w:val="center"/>
          </w:tcPr>
          <w:p w14:paraId="7646ECB2">
            <w:pPr>
              <w:jc w:val="center"/>
              <w:rPr>
                <w:color w:val="000000" w:themeColor="text1"/>
                <w:sz w:val="18"/>
                <w:szCs w:val="18"/>
                <w14:textFill>
                  <w14:solidFill>
                    <w14:schemeClr w14:val="tx1"/>
                  </w14:solidFill>
                </w14:textFill>
              </w:rPr>
            </w:pPr>
          </w:p>
        </w:tc>
        <w:tc>
          <w:tcPr>
            <w:tcW w:w="425" w:type="pct"/>
            <w:vMerge w:val="continue"/>
            <w:vAlign w:val="center"/>
          </w:tcPr>
          <w:p w14:paraId="19F359BC">
            <w:pPr>
              <w:jc w:val="center"/>
              <w:rPr>
                <w:color w:val="000000" w:themeColor="text1"/>
                <w:sz w:val="18"/>
                <w:szCs w:val="18"/>
                <w14:textFill>
                  <w14:solidFill>
                    <w14:schemeClr w14:val="tx1"/>
                  </w14:solidFill>
                </w14:textFill>
              </w:rPr>
            </w:pPr>
          </w:p>
        </w:tc>
        <w:tc>
          <w:tcPr>
            <w:tcW w:w="531" w:type="pct"/>
            <w:vMerge w:val="continue"/>
            <w:tcBorders>
              <w:bottom w:val="nil"/>
            </w:tcBorders>
            <w:vAlign w:val="center"/>
          </w:tcPr>
          <w:p w14:paraId="27C63885">
            <w:pPr>
              <w:jc w:val="center"/>
              <w:rPr>
                <w:color w:val="000000" w:themeColor="text1"/>
                <w:sz w:val="18"/>
                <w:szCs w:val="18"/>
                <w14:textFill>
                  <w14:solidFill>
                    <w14:schemeClr w14:val="tx1"/>
                  </w14:solidFill>
                </w14:textFill>
              </w:rPr>
            </w:pPr>
          </w:p>
        </w:tc>
      </w:tr>
      <w:tr w14:paraId="4CD2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1f22f69e67ea4292afb08dec65f863c7"/>
            <w:id w:val="54208069"/>
          </w:sdtPr>
          <w:sdtContent>
            <w:tc>
              <w:tcPr>
                <w:tcW w:w="487" w:type="pct"/>
                <w:vAlign w:val="center"/>
              </w:tcPr>
              <w:p w14:paraId="2CE4D8DF">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一、上年</w:t>
                </w:r>
                <w:r>
                  <w:rPr>
                    <w:rFonts w:hint="eastAsia"/>
                    <w:color w:val="000000" w:themeColor="text1"/>
                    <w:sz w:val="18"/>
                    <w:szCs w:val="18"/>
                    <w14:textFill>
                      <w14:solidFill>
                        <w14:schemeClr w14:val="tx1"/>
                      </w14:solidFill>
                    </w14:textFill>
                  </w:rPr>
                  <w:t>期</w:t>
                </w:r>
                <w:r>
                  <w:rPr>
                    <w:color w:val="000000" w:themeColor="text1"/>
                    <w:sz w:val="18"/>
                    <w:szCs w:val="18"/>
                    <w14:textFill>
                      <w14:solidFill>
                        <w14:schemeClr w14:val="tx1"/>
                      </w14:solidFill>
                    </w14:textFill>
                  </w:rPr>
                  <w:t>末余额</w:t>
                </w:r>
              </w:p>
            </w:tc>
          </w:sdtContent>
        </w:sdt>
        <w:tc>
          <w:tcPr>
            <w:tcW w:w="488" w:type="pct"/>
            <w:vAlign w:val="center"/>
          </w:tcPr>
          <w:p w14:paraId="62609DAE">
            <w:pPr>
              <w:jc w:val="right"/>
              <w:rPr>
                <w:sz w:val="18"/>
                <w:szCs w:val="18"/>
              </w:rPr>
            </w:pPr>
            <w:r>
              <w:rPr>
                <w:sz w:val="18"/>
                <w:szCs w:val="18"/>
              </w:rPr>
              <w:t>1,460,994,304.00</w:t>
            </w:r>
          </w:p>
        </w:tc>
        <w:tc>
          <w:tcPr>
            <w:tcW w:w="132" w:type="pct"/>
            <w:vAlign w:val="center"/>
          </w:tcPr>
          <w:p w14:paraId="2F8DFEAB">
            <w:pPr>
              <w:jc w:val="right"/>
              <w:rPr>
                <w:sz w:val="18"/>
                <w:szCs w:val="18"/>
              </w:rPr>
            </w:pPr>
          </w:p>
        </w:tc>
        <w:tc>
          <w:tcPr>
            <w:tcW w:w="136" w:type="pct"/>
            <w:vAlign w:val="center"/>
          </w:tcPr>
          <w:p w14:paraId="756FB385">
            <w:pPr>
              <w:jc w:val="right"/>
              <w:rPr>
                <w:sz w:val="18"/>
                <w:szCs w:val="18"/>
              </w:rPr>
            </w:pPr>
          </w:p>
        </w:tc>
        <w:tc>
          <w:tcPr>
            <w:tcW w:w="89" w:type="pct"/>
            <w:vAlign w:val="center"/>
          </w:tcPr>
          <w:p w14:paraId="5946E782">
            <w:pPr>
              <w:jc w:val="right"/>
              <w:rPr>
                <w:sz w:val="18"/>
                <w:szCs w:val="18"/>
              </w:rPr>
            </w:pPr>
          </w:p>
        </w:tc>
        <w:tc>
          <w:tcPr>
            <w:tcW w:w="442" w:type="pct"/>
            <w:vAlign w:val="center"/>
          </w:tcPr>
          <w:p w14:paraId="102C392D">
            <w:pPr>
              <w:jc w:val="right"/>
              <w:rPr>
                <w:sz w:val="18"/>
                <w:szCs w:val="18"/>
              </w:rPr>
            </w:pPr>
            <w:r>
              <w:rPr>
                <w:sz w:val="18"/>
                <w:szCs w:val="18"/>
              </w:rPr>
              <w:t>394,938,785.79</w:t>
            </w:r>
          </w:p>
        </w:tc>
        <w:tc>
          <w:tcPr>
            <w:tcW w:w="89" w:type="pct"/>
            <w:vAlign w:val="center"/>
          </w:tcPr>
          <w:p w14:paraId="0B9A29C0">
            <w:pPr>
              <w:jc w:val="right"/>
              <w:rPr>
                <w:sz w:val="18"/>
                <w:szCs w:val="18"/>
              </w:rPr>
            </w:pPr>
          </w:p>
        </w:tc>
        <w:tc>
          <w:tcPr>
            <w:tcW w:w="398" w:type="pct"/>
            <w:vAlign w:val="center"/>
          </w:tcPr>
          <w:p w14:paraId="34405948">
            <w:pPr>
              <w:jc w:val="right"/>
              <w:rPr>
                <w:sz w:val="18"/>
                <w:szCs w:val="18"/>
              </w:rPr>
            </w:pPr>
            <w:r>
              <w:rPr>
                <w:sz w:val="18"/>
                <w:szCs w:val="18"/>
              </w:rPr>
              <w:t>92,779,101.53</w:t>
            </w:r>
          </w:p>
        </w:tc>
        <w:tc>
          <w:tcPr>
            <w:tcW w:w="133" w:type="pct"/>
            <w:vAlign w:val="center"/>
          </w:tcPr>
          <w:p w14:paraId="23ADF148">
            <w:pPr>
              <w:jc w:val="right"/>
              <w:rPr>
                <w:sz w:val="18"/>
                <w:szCs w:val="18"/>
              </w:rPr>
            </w:pPr>
          </w:p>
        </w:tc>
        <w:tc>
          <w:tcPr>
            <w:tcW w:w="442" w:type="pct"/>
            <w:vAlign w:val="center"/>
          </w:tcPr>
          <w:p w14:paraId="630E0DA1">
            <w:pPr>
              <w:jc w:val="right"/>
              <w:rPr>
                <w:sz w:val="18"/>
                <w:szCs w:val="18"/>
              </w:rPr>
            </w:pPr>
            <w:r>
              <w:rPr>
                <w:sz w:val="18"/>
                <w:szCs w:val="18"/>
              </w:rPr>
              <w:t>275,429,601.44</w:t>
            </w:r>
          </w:p>
        </w:tc>
        <w:tc>
          <w:tcPr>
            <w:tcW w:w="119" w:type="pct"/>
            <w:vAlign w:val="center"/>
          </w:tcPr>
          <w:p w14:paraId="2D2DB55A">
            <w:pPr>
              <w:jc w:val="right"/>
              <w:rPr>
                <w:sz w:val="18"/>
                <w:szCs w:val="18"/>
              </w:rPr>
            </w:pPr>
          </w:p>
        </w:tc>
        <w:tc>
          <w:tcPr>
            <w:tcW w:w="501" w:type="pct"/>
            <w:vAlign w:val="center"/>
          </w:tcPr>
          <w:p w14:paraId="4D930BB2">
            <w:pPr>
              <w:jc w:val="right"/>
              <w:rPr>
                <w:sz w:val="18"/>
                <w:szCs w:val="18"/>
              </w:rPr>
            </w:pPr>
            <w:r>
              <w:rPr>
                <w:sz w:val="18"/>
                <w:szCs w:val="18"/>
              </w:rPr>
              <w:t>1,195,110,646.29</w:t>
            </w:r>
          </w:p>
        </w:tc>
        <w:tc>
          <w:tcPr>
            <w:tcW w:w="125" w:type="pct"/>
            <w:vAlign w:val="center"/>
          </w:tcPr>
          <w:p w14:paraId="1D3488E1">
            <w:pPr>
              <w:jc w:val="right"/>
              <w:rPr>
                <w:sz w:val="18"/>
                <w:szCs w:val="18"/>
              </w:rPr>
            </w:pPr>
          </w:p>
        </w:tc>
        <w:tc>
          <w:tcPr>
            <w:tcW w:w="463" w:type="pct"/>
            <w:vAlign w:val="center"/>
          </w:tcPr>
          <w:p w14:paraId="0373D1B8">
            <w:pPr>
              <w:jc w:val="right"/>
              <w:rPr>
                <w:sz w:val="18"/>
                <w:szCs w:val="18"/>
              </w:rPr>
            </w:pPr>
            <w:r>
              <w:rPr>
                <w:sz w:val="18"/>
                <w:szCs w:val="18"/>
              </w:rPr>
              <w:t>3,419,252,439.05</w:t>
            </w:r>
          </w:p>
        </w:tc>
        <w:tc>
          <w:tcPr>
            <w:tcW w:w="425" w:type="pct"/>
            <w:vAlign w:val="center"/>
          </w:tcPr>
          <w:p w14:paraId="0D41393E">
            <w:pPr>
              <w:jc w:val="right"/>
              <w:rPr>
                <w:sz w:val="18"/>
                <w:szCs w:val="18"/>
              </w:rPr>
            </w:pPr>
            <w:r>
              <w:rPr>
                <w:sz w:val="18"/>
                <w:szCs w:val="18"/>
              </w:rPr>
              <w:t>16,227,505.12</w:t>
            </w:r>
          </w:p>
        </w:tc>
        <w:tc>
          <w:tcPr>
            <w:tcW w:w="531" w:type="pct"/>
            <w:vAlign w:val="center"/>
          </w:tcPr>
          <w:p w14:paraId="1A3DB83F">
            <w:pPr>
              <w:jc w:val="right"/>
              <w:rPr>
                <w:sz w:val="18"/>
                <w:szCs w:val="18"/>
              </w:rPr>
            </w:pPr>
            <w:r>
              <w:rPr>
                <w:sz w:val="18"/>
                <w:szCs w:val="18"/>
              </w:rPr>
              <w:t>3,435,479,944.17</w:t>
            </w:r>
          </w:p>
        </w:tc>
      </w:tr>
      <w:tr w14:paraId="080E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8753148a28244d68bf92b2fbad32f9b8"/>
            <w:id w:val="1765112930"/>
          </w:sdtPr>
          <w:sdtContent>
            <w:tc>
              <w:tcPr>
                <w:tcW w:w="487" w:type="pct"/>
                <w:vAlign w:val="center"/>
              </w:tcPr>
              <w:p w14:paraId="31AE0C39">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加：</w:t>
                </w:r>
                <w:r>
                  <w:rPr>
                    <w:color w:val="000000" w:themeColor="text1"/>
                    <w:sz w:val="18"/>
                    <w:szCs w:val="18"/>
                    <w14:textFill>
                      <w14:solidFill>
                        <w14:schemeClr w14:val="tx1"/>
                      </w14:solidFill>
                    </w14:textFill>
                  </w:rPr>
                  <w:t>会计政策变更</w:t>
                </w:r>
              </w:p>
            </w:tc>
          </w:sdtContent>
        </w:sdt>
        <w:tc>
          <w:tcPr>
            <w:tcW w:w="488" w:type="pct"/>
            <w:vAlign w:val="center"/>
          </w:tcPr>
          <w:p w14:paraId="7D17A8CA">
            <w:pPr>
              <w:jc w:val="right"/>
              <w:rPr>
                <w:sz w:val="18"/>
                <w:szCs w:val="18"/>
              </w:rPr>
            </w:pPr>
          </w:p>
        </w:tc>
        <w:tc>
          <w:tcPr>
            <w:tcW w:w="132" w:type="pct"/>
            <w:vAlign w:val="center"/>
          </w:tcPr>
          <w:p w14:paraId="0FB35588">
            <w:pPr>
              <w:jc w:val="right"/>
              <w:rPr>
                <w:sz w:val="18"/>
                <w:szCs w:val="18"/>
              </w:rPr>
            </w:pPr>
          </w:p>
        </w:tc>
        <w:tc>
          <w:tcPr>
            <w:tcW w:w="136" w:type="pct"/>
            <w:vAlign w:val="center"/>
          </w:tcPr>
          <w:p w14:paraId="6DE4F787">
            <w:pPr>
              <w:jc w:val="right"/>
              <w:rPr>
                <w:sz w:val="18"/>
                <w:szCs w:val="18"/>
              </w:rPr>
            </w:pPr>
          </w:p>
        </w:tc>
        <w:tc>
          <w:tcPr>
            <w:tcW w:w="89" w:type="pct"/>
            <w:vAlign w:val="center"/>
          </w:tcPr>
          <w:p w14:paraId="03F8EDEF">
            <w:pPr>
              <w:jc w:val="right"/>
              <w:rPr>
                <w:sz w:val="18"/>
                <w:szCs w:val="18"/>
              </w:rPr>
            </w:pPr>
          </w:p>
        </w:tc>
        <w:tc>
          <w:tcPr>
            <w:tcW w:w="442" w:type="pct"/>
            <w:vAlign w:val="center"/>
          </w:tcPr>
          <w:p w14:paraId="7FCC8EE9">
            <w:pPr>
              <w:jc w:val="right"/>
              <w:rPr>
                <w:sz w:val="18"/>
                <w:szCs w:val="18"/>
              </w:rPr>
            </w:pPr>
          </w:p>
        </w:tc>
        <w:tc>
          <w:tcPr>
            <w:tcW w:w="89" w:type="pct"/>
            <w:vAlign w:val="center"/>
          </w:tcPr>
          <w:p w14:paraId="65937D79">
            <w:pPr>
              <w:jc w:val="right"/>
              <w:rPr>
                <w:sz w:val="18"/>
                <w:szCs w:val="18"/>
              </w:rPr>
            </w:pPr>
          </w:p>
        </w:tc>
        <w:tc>
          <w:tcPr>
            <w:tcW w:w="398" w:type="pct"/>
            <w:vAlign w:val="center"/>
          </w:tcPr>
          <w:p w14:paraId="66417C79">
            <w:pPr>
              <w:jc w:val="right"/>
              <w:rPr>
                <w:sz w:val="18"/>
                <w:szCs w:val="18"/>
              </w:rPr>
            </w:pPr>
          </w:p>
        </w:tc>
        <w:tc>
          <w:tcPr>
            <w:tcW w:w="133" w:type="pct"/>
            <w:vAlign w:val="center"/>
          </w:tcPr>
          <w:p w14:paraId="79510EE9">
            <w:pPr>
              <w:jc w:val="right"/>
              <w:rPr>
                <w:sz w:val="18"/>
                <w:szCs w:val="18"/>
              </w:rPr>
            </w:pPr>
          </w:p>
        </w:tc>
        <w:tc>
          <w:tcPr>
            <w:tcW w:w="442" w:type="pct"/>
            <w:vAlign w:val="center"/>
          </w:tcPr>
          <w:p w14:paraId="35B6027F">
            <w:pPr>
              <w:jc w:val="right"/>
              <w:rPr>
                <w:sz w:val="18"/>
                <w:szCs w:val="18"/>
              </w:rPr>
            </w:pPr>
          </w:p>
        </w:tc>
        <w:tc>
          <w:tcPr>
            <w:tcW w:w="119" w:type="pct"/>
            <w:vAlign w:val="center"/>
          </w:tcPr>
          <w:p w14:paraId="228A93BC">
            <w:pPr>
              <w:jc w:val="right"/>
              <w:rPr>
                <w:sz w:val="18"/>
                <w:szCs w:val="18"/>
              </w:rPr>
            </w:pPr>
          </w:p>
        </w:tc>
        <w:tc>
          <w:tcPr>
            <w:tcW w:w="501" w:type="pct"/>
            <w:vAlign w:val="center"/>
          </w:tcPr>
          <w:p w14:paraId="395265B8">
            <w:pPr>
              <w:jc w:val="right"/>
              <w:rPr>
                <w:sz w:val="18"/>
                <w:szCs w:val="18"/>
              </w:rPr>
            </w:pPr>
          </w:p>
        </w:tc>
        <w:tc>
          <w:tcPr>
            <w:tcW w:w="125" w:type="pct"/>
            <w:vAlign w:val="center"/>
          </w:tcPr>
          <w:p w14:paraId="29151631">
            <w:pPr>
              <w:jc w:val="right"/>
              <w:rPr>
                <w:sz w:val="18"/>
                <w:szCs w:val="18"/>
              </w:rPr>
            </w:pPr>
          </w:p>
        </w:tc>
        <w:tc>
          <w:tcPr>
            <w:tcW w:w="463" w:type="pct"/>
            <w:vAlign w:val="center"/>
          </w:tcPr>
          <w:p w14:paraId="2901212E">
            <w:pPr>
              <w:jc w:val="right"/>
              <w:rPr>
                <w:sz w:val="18"/>
                <w:szCs w:val="18"/>
              </w:rPr>
            </w:pPr>
          </w:p>
        </w:tc>
        <w:tc>
          <w:tcPr>
            <w:tcW w:w="425" w:type="pct"/>
            <w:vAlign w:val="center"/>
          </w:tcPr>
          <w:p w14:paraId="2B62B136">
            <w:pPr>
              <w:jc w:val="right"/>
              <w:rPr>
                <w:sz w:val="18"/>
                <w:szCs w:val="18"/>
              </w:rPr>
            </w:pPr>
          </w:p>
        </w:tc>
        <w:tc>
          <w:tcPr>
            <w:tcW w:w="531" w:type="pct"/>
            <w:vAlign w:val="center"/>
          </w:tcPr>
          <w:p w14:paraId="043533BF">
            <w:pPr>
              <w:jc w:val="right"/>
              <w:rPr>
                <w:sz w:val="18"/>
                <w:szCs w:val="18"/>
              </w:rPr>
            </w:pPr>
          </w:p>
        </w:tc>
      </w:tr>
      <w:tr w14:paraId="5A94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291ece6b974e4962be6cec3c398fd5be"/>
            <w:id w:val="518042976"/>
          </w:sdtPr>
          <w:sdtContent>
            <w:tc>
              <w:tcPr>
                <w:tcW w:w="487" w:type="pct"/>
                <w:vAlign w:val="center"/>
              </w:tcPr>
              <w:p w14:paraId="3BB4D15F">
                <w:pPr>
                  <w:ind w:firstLine="420" w:firstLineChars="20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前期差错更正</w:t>
                </w:r>
              </w:p>
            </w:tc>
          </w:sdtContent>
        </w:sdt>
        <w:tc>
          <w:tcPr>
            <w:tcW w:w="488" w:type="pct"/>
            <w:vAlign w:val="center"/>
          </w:tcPr>
          <w:p w14:paraId="22D10EE4">
            <w:pPr>
              <w:jc w:val="right"/>
              <w:rPr>
                <w:sz w:val="18"/>
                <w:szCs w:val="18"/>
              </w:rPr>
            </w:pPr>
          </w:p>
        </w:tc>
        <w:tc>
          <w:tcPr>
            <w:tcW w:w="132" w:type="pct"/>
            <w:vAlign w:val="center"/>
          </w:tcPr>
          <w:p w14:paraId="49351173">
            <w:pPr>
              <w:jc w:val="right"/>
              <w:rPr>
                <w:sz w:val="18"/>
                <w:szCs w:val="18"/>
              </w:rPr>
            </w:pPr>
          </w:p>
        </w:tc>
        <w:tc>
          <w:tcPr>
            <w:tcW w:w="136" w:type="pct"/>
            <w:vAlign w:val="center"/>
          </w:tcPr>
          <w:p w14:paraId="13EB53B4">
            <w:pPr>
              <w:jc w:val="right"/>
              <w:rPr>
                <w:sz w:val="18"/>
                <w:szCs w:val="18"/>
              </w:rPr>
            </w:pPr>
          </w:p>
        </w:tc>
        <w:tc>
          <w:tcPr>
            <w:tcW w:w="89" w:type="pct"/>
            <w:vAlign w:val="center"/>
          </w:tcPr>
          <w:p w14:paraId="45F6DB95">
            <w:pPr>
              <w:jc w:val="right"/>
              <w:rPr>
                <w:sz w:val="18"/>
                <w:szCs w:val="18"/>
              </w:rPr>
            </w:pPr>
          </w:p>
        </w:tc>
        <w:tc>
          <w:tcPr>
            <w:tcW w:w="442" w:type="pct"/>
            <w:vAlign w:val="center"/>
          </w:tcPr>
          <w:p w14:paraId="2A52D000">
            <w:pPr>
              <w:jc w:val="right"/>
              <w:rPr>
                <w:sz w:val="18"/>
                <w:szCs w:val="18"/>
              </w:rPr>
            </w:pPr>
          </w:p>
        </w:tc>
        <w:tc>
          <w:tcPr>
            <w:tcW w:w="89" w:type="pct"/>
            <w:vAlign w:val="center"/>
          </w:tcPr>
          <w:p w14:paraId="460266EB">
            <w:pPr>
              <w:jc w:val="right"/>
              <w:rPr>
                <w:sz w:val="18"/>
                <w:szCs w:val="18"/>
              </w:rPr>
            </w:pPr>
          </w:p>
        </w:tc>
        <w:tc>
          <w:tcPr>
            <w:tcW w:w="398" w:type="pct"/>
            <w:vAlign w:val="center"/>
          </w:tcPr>
          <w:p w14:paraId="653313D2">
            <w:pPr>
              <w:jc w:val="right"/>
              <w:rPr>
                <w:sz w:val="18"/>
                <w:szCs w:val="18"/>
              </w:rPr>
            </w:pPr>
          </w:p>
        </w:tc>
        <w:tc>
          <w:tcPr>
            <w:tcW w:w="133" w:type="pct"/>
            <w:vAlign w:val="center"/>
          </w:tcPr>
          <w:p w14:paraId="738C3FF2">
            <w:pPr>
              <w:jc w:val="right"/>
              <w:rPr>
                <w:sz w:val="18"/>
                <w:szCs w:val="18"/>
              </w:rPr>
            </w:pPr>
          </w:p>
        </w:tc>
        <w:tc>
          <w:tcPr>
            <w:tcW w:w="442" w:type="pct"/>
            <w:vAlign w:val="center"/>
          </w:tcPr>
          <w:p w14:paraId="667E0CE4">
            <w:pPr>
              <w:jc w:val="right"/>
              <w:rPr>
                <w:sz w:val="18"/>
                <w:szCs w:val="18"/>
              </w:rPr>
            </w:pPr>
          </w:p>
        </w:tc>
        <w:tc>
          <w:tcPr>
            <w:tcW w:w="119" w:type="pct"/>
            <w:vAlign w:val="center"/>
          </w:tcPr>
          <w:p w14:paraId="0CC168EA">
            <w:pPr>
              <w:jc w:val="right"/>
              <w:rPr>
                <w:sz w:val="18"/>
                <w:szCs w:val="18"/>
              </w:rPr>
            </w:pPr>
          </w:p>
        </w:tc>
        <w:tc>
          <w:tcPr>
            <w:tcW w:w="501" w:type="pct"/>
            <w:vAlign w:val="center"/>
          </w:tcPr>
          <w:p w14:paraId="72E28390">
            <w:pPr>
              <w:jc w:val="right"/>
              <w:rPr>
                <w:sz w:val="18"/>
                <w:szCs w:val="18"/>
              </w:rPr>
            </w:pPr>
          </w:p>
        </w:tc>
        <w:tc>
          <w:tcPr>
            <w:tcW w:w="125" w:type="pct"/>
            <w:vAlign w:val="center"/>
          </w:tcPr>
          <w:p w14:paraId="76DE321B">
            <w:pPr>
              <w:jc w:val="right"/>
              <w:rPr>
                <w:sz w:val="18"/>
                <w:szCs w:val="18"/>
              </w:rPr>
            </w:pPr>
          </w:p>
        </w:tc>
        <w:tc>
          <w:tcPr>
            <w:tcW w:w="463" w:type="pct"/>
            <w:vAlign w:val="center"/>
          </w:tcPr>
          <w:p w14:paraId="45352D52">
            <w:pPr>
              <w:jc w:val="right"/>
              <w:rPr>
                <w:sz w:val="18"/>
                <w:szCs w:val="18"/>
              </w:rPr>
            </w:pPr>
          </w:p>
        </w:tc>
        <w:tc>
          <w:tcPr>
            <w:tcW w:w="425" w:type="pct"/>
            <w:vAlign w:val="center"/>
          </w:tcPr>
          <w:p w14:paraId="241871D7">
            <w:pPr>
              <w:jc w:val="right"/>
              <w:rPr>
                <w:sz w:val="18"/>
                <w:szCs w:val="18"/>
              </w:rPr>
            </w:pPr>
          </w:p>
        </w:tc>
        <w:tc>
          <w:tcPr>
            <w:tcW w:w="531" w:type="pct"/>
            <w:vAlign w:val="center"/>
          </w:tcPr>
          <w:p w14:paraId="58D410C8">
            <w:pPr>
              <w:jc w:val="right"/>
              <w:rPr>
                <w:sz w:val="18"/>
                <w:szCs w:val="18"/>
              </w:rPr>
            </w:pPr>
          </w:p>
        </w:tc>
      </w:tr>
      <w:tr w14:paraId="33C9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7953fd87201b462ab8c42a4716d6cb65"/>
            <w:id w:val="-1926110696"/>
          </w:sdtPr>
          <w:sdtContent>
            <w:tc>
              <w:tcPr>
                <w:tcW w:w="487" w:type="pct"/>
                <w:vAlign w:val="center"/>
              </w:tcPr>
              <w:p w14:paraId="15CB558D">
                <w:pPr>
                  <w:ind w:firstLine="42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w:t>
                </w:r>
              </w:p>
            </w:tc>
          </w:sdtContent>
        </w:sdt>
        <w:tc>
          <w:tcPr>
            <w:tcW w:w="488" w:type="pct"/>
            <w:vAlign w:val="center"/>
          </w:tcPr>
          <w:p w14:paraId="349DB001">
            <w:pPr>
              <w:jc w:val="right"/>
              <w:rPr>
                <w:sz w:val="18"/>
                <w:szCs w:val="18"/>
              </w:rPr>
            </w:pPr>
          </w:p>
        </w:tc>
        <w:tc>
          <w:tcPr>
            <w:tcW w:w="132" w:type="pct"/>
            <w:vAlign w:val="center"/>
          </w:tcPr>
          <w:p w14:paraId="2075EF88">
            <w:pPr>
              <w:jc w:val="right"/>
              <w:rPr>
                <w:sz w:val="18"/>
                <w:szCs w:val="18"/>
              </w:rPr>
            </w:pPr>
          </w:p>
        </w:tc>
        <w:tc>
          <w:tcPr>
            <w:tcW w:w="136" w:type="pct"/>
            <w:vAlign w:val="center"/>
          </w:tcPr>
          <w:p w14:paraId="6772EDB9">
            <w:pPr>
              <w:jc w:val="right"/>
              <w:rPr>
                <w:sz w:val="18"/>
                <w:szCs w:val="18"/>
              </w:rPr>
            </w:pPr>
          </w:p>
        </w:tc>
        <w:tc>
          <w:tcPr>
            <w:tcW w:w="89" w:type="pct"/>
            <w:vAlign w:val="center"/>
          </w:tcPr>
          <w:p w14:paraId="3F16D0B0">
            <w:pPr>
              <w:jc w:val="right"/>
              <w:rPr>
                <w:sz w:val="18"/>
                <w:szCs w:val="18"/>
              </w:rPr>
            </w:pPr>
          </w:p>
        </w:tc>
        <w:tc>
          <w:tcPr>
            <w:tcW w:w="442" w:type="pct"/>
            <w:vAlign w:val="center"/>
          </w:tcPr>
          <w:p w14:paraId="6950BACA">
            <w:pPr>
              <w:jc w:val="right"/>
              <w:rPr>
                <w:sz w:val="18"/>
                <w:szCs w:val="18"/>
              </w:rPr>
            </w:pPr>
          </w:p>
        </w:tc>
        <w:tc>
          <w:tcPr>
            <w:tcW w:w="89" w:type="pct"/>
            <w:vAlign w:val="center"/>
          </w:tcPr>
          <w:p w14:paraId="591AC2D4">
            <w:pPr>
              <w:jc w:val="right"/>
              <w:rPr>
                <w:sz w:val="18"/>
                <w:szCs w:val="18"/>
              </w:rPr>
            </w:pPr>
          </w:p>
        </w:tc>
        <w:tc>
          <w:tcPr>
            <w:tcW w:w="398" w:type="pct"/>
            <w:vAlign w:val="center"/>
          </w:tcPr>
          <w:p w14:paraId="72B12AFC">
            <w:pPr>
              <w:jc w:val="right"/>
              <w:rPr>
                <w:sz w:val="18"/>
                <w:szCs w:val="18"/>
              </w:rPr>
            </w:pPr>
          </w:p>
        </w:tc>
        <w:tc>
          <w:tcPr>
            <w:tcW w:w="133" w:type="pct"/>
            <w:vAlign w:val="center"/>
          </w:tcPr>
          <w:p w14:paraId="11CAFBF0">
            <w:pPr>
              <w:jc w:val="right"/>
              <w:rPr>
                <w:sz w:val="18"/>
                <w:szCs w:val="18"/>
              </w:rPr>
            </w:pPr>
          </w:p>
        </w:tc>
        <w:tc>
          <w:tcPr>
            <w:tcW w:w="442" w:type="pct"/>
            <w:vAlign w:val="center"/>
          </w:tcPr>
          <w:p w14:paraId="332FD95D">
            <w:pPr>
              <w:jc w:val="right"/>
              <w:rPr>
                <w:sz w:val="18"/>
                <w:szCs w:val="18"/>
              </w:rPr>
            </w:pPr>
          </w:p>
        </w:tc>
        <w:tc>
          <w:tcPr>
            <w:tcW w:w="119" w:type="pct"/>
            <w:vAlign w:val="center"/>
          </w:tcPr>
          <w:p w14:paraId="4DB2A0F2">
            <w:pPr>
              <w:jc w:val="right"/>
              <w:rPr>
                <w:sz w:val="18"/>
                <w:szCs w:val="18"/>
              </w:rPr>
            </w:pPr>
          </w:p>
        </w:tc>
        <w:tc>
          <w:tcPr>
            <w:tcW w:w="501" w:type="pct"/>
            <w:vAlign w:val="center"/>
          </w:tcPr>
          <w:p w14:paraId="58D54DC9">
            <w:pPr>
              <w:jc w:val="right"/>
              <w:rPr>
                <w:sz w:val="18"/>
                <w:szCs w:val="18"/>
              </w:rPr>
            </w:pPr>
          </w:p>
        </w:tc>
        <w:tc>
          <w:tcPr>
            <w:tcW w:w="125" w:type="pct"/>
            <w:vAlign w:val="center"/>
          </w:tcPr>
          <w:p w14:paraId="0A160B1D">
            <w:pPr>
              <w:jc w:val="right"/>
              <w:rPr>
                <w:sz w:val="18"/>
                <w:szCs w:val="18"/>
              </w:rPr>
            </w:pPr>
          </w:p>
        </w:tc>
        <w:tc>
          <w:tcPr>
            <w:tcW w:w="463" w:type="pct"/>
            <w:vAlign w:val="center"/>
          </w:tcPr>
          <w:p w14:paraId="0AB50B04">
            <w:pPr>
              <w:jc w:val="right"/>
              <w:rPr>
                <w:sz w:val="18"/>
                <w:szCs w:val="18"/>
              </w:rPr>
            </w:pPr>
          </w:p>
        </w:tc>
        <w:tc>
          <w:tcPr>
            <w:tcW w:w="425" w:type="pct"/>
            <w:vAlign w:val="center"/>
          </w:tcPr>
          <w:p w14:paraId="5E7443C3">
            <w:pPr>
              <w:jc w:val="right"/>
              <w:rPr>
                <w:sz w:val="18"/>
                <w:szCs w:val="18"/>
              </w:rPr>
            </w:pPr>
          </w:p>
        </w:tc>
        <w:tc>
          <w:tcPr>
            <w:tcW w:w="531" w:type="pct"/>
            <w:vAlign w:val="center"/>
          </w:tcPr>
          <w:p w14:paraId="2D58693B">
            <w:pPr>
              <w:jc w:val="right"/>
              <w:rPr>
                <w:sz w:val="18"/>
                <w:szCs w:val="18"/>
              </w:rPr>
            </w:pPr>
          </w:p>
        </w:tc>
      </w:tr>
      <w:tr w14:paraId="41C4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16d601e73dc14990b60ca53acf1371ba"/>
            <w:id w:val="562139750"/>
          </w:sdtPr>
          <w:sdtContent>
            <w:tc>
              <w:tcPr>
                <w:tcW w:w="487" w:type="pct"/>
                <w:vAlign w:val="center"/>
              </w:tcPr>
              <w:p w14:paraId="5F708125">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二、本年</w:t>
                </w:r>
                <w:r>
                  <w:rPr>
                    <w:rFonts w:hint="eastAsia"/>
                    <w:color w:val="000000" w:themeColor="text1"/>
                    <w:sz w:val="18"/>
                    <w:szCs w:val="18"/>
                    <w14:textFill>
                      <w14:solidFill>
                        <w14:schemeClr w14:val="tx1"/>
                      </w14:solidFill>
                    </w14:textFill>
                  </w:rPr>
                  <w:t>期</w:t>
                </w:r>
                <w:r>
                  <w:rPr>
                    <w:color w:val="000000" w:themeColor="text1"/>
                    <w:sz w:val="18"/>
                    <w:szCs w:val="18"/>
                    <w14:textFill>
                      <w14:solidFill>
                        <w14:schemeClr w14:val="tx1"/>
                      </w14:solidFill>
                    </w14:textFill>
                  </w:rPr>
                  <w:t>初余额</w:t>
                </w:r>
              </w:p>
            </w:tc>
          </w:sdtContent>
        </w:sdt>
        <w:tc>
          <w:tcPr>
            <w:tcW w:w="488" w:type="pct"/>
            <w:vAlign w:val="center"/>
          </w:tcPr>
          <w:p w14:paraId="7A175AC7">
            <w:pPr>
              <w:jc w:val="right"/>
              <w:rPr>
                <w:sz w:val="18"/>
                <w:szCs w:val="18"/>
              </w:rPr>
            </w:pPr>
            <w:r>
              <w:rPr>
                <w:sz w:val="18"/>
                <w:szCs w:val="18"/>
              </w:rPr>
              <w:t>1,460,994,304.00</w:t>
            </w:r>
          </w:p>
        </w:tc>
        <w:tc>
          <w:tcPr>
            <w:tcW w:w="132" w:type="pct"/>
            <w:vAlign w:val="center"/>
          </w:tcPr>
          <w:p w14:paraId="6D028B89">
            <w:pPr>
              <w:jc w:val="right"/>
              <w:rPr>
                <w:sz w:val="18"/>
                <w:szCs w:val="18"/>
              </w:rPr>
            </w:pPr>
          </w:p>
        </w:tc>
        <w:tc>
          <w:tcPr>
            <w:tcW w:w="136" w:type="pct"/>
            <w:vAlign w:val="center"/>
          </w:tcPr>
          <w:p w14:paraId="15B001BB">
            <w:pPr>
              <w:jc w:val="right"/>
              <w:rPr>
                <w:sz w:val="18"/>
                <w:szCs w:val="18"/>
              </w:rPr>
            </w:pPr>
          </w:p>
        </w:tc>
        <w:tc>
          <w:tcPr>
            <w:tcW w:w="89" w:type="pct"/>
            <w:vAlign w:val="center"/>
          </w:tcPr>
          <w:p w14:paraId="1C3F1942">
            <w:pPr>
              <w:jc w:val="right"/>
              <w:rPr>
                <w:sz w:val="18"/>
                <w:szCs w:val="18"/>
              </w:rPr>
            </w:pPr>
          </w:p>
        </w:tc>
        <w:tc>
          <w:tcPr>
            <w:tcW w:w="442" w:type="pct"/>
            <w:vAlign w:val="center"/>
          </w:tcPr>
          <w:p w14:paraId="3BB8C6E7">
            <w:pPr>
              <w:jc w:val="right"/>
              <w:rPr>
                <w:sz w:val="18"/>
                <w:szCs w:val="18"/>
              </w:rPr>
            </w:pPr>
            <w:r>
              <w:rPr>
                <w:sz w:val="18"/>
                <w:szCs w:val="18"/>
              </w:rPr>
              <w:t>394,938,785.79</w:t>
            </w:r>
          </w:p>
        </w:tc>
        <w:tc>
          <w:tcPr>
            <w:tcW w:w="89" w:type="pct"/>
            <w:vAlign w:val="center"/>
          </w:tcPr>
          <w:p w14:paraId="3AB36229">
            <w:pPr>
              <w:jc w:val="right"/>
              <w:rPr>
                <w:sz w:val="18"/>
                <w:szCs w:val="18"/>
              </w:rPr>
            </w:pPr>
          </w:p>
        </w:tc>
        <w:tc>
          <w:tcPr>
            <w:tcW w:w="398" w:type="pct"/>
            <w:vAlign w:val="center"/>
          </w:tcPr>
          <w:p w14:paraId="0EC99B5C">
            <w:pPr>
              <w:jc w:val="right"/>
              <w:rPr>
                <w:sz w:val="18"/>
                <w:szCs w:val="18"/>
              </w:rPr>
            </w:pPr>
            <w:r>
              <w:rPr>
                <w:sz w:val="18"/>
                <w:szCs w:val="18"/>
              </w:rPr>
              <w:t>92,779,101.53</w:t>
            </w:r>
          </w:p>
        </w:tc>
        <w:tc>
          <w:tcPr>
            <w:tcW w:w="133" w:type="pct"/>
            <w:vAlign w:val="center"/>
          </w:tcPr>
          <w:p w14:paraId="6759D171">
            <w:pPr>
              <w:jc w:val="right"/>
              <w:rPr>
                <w:sz w:val="18"/>
                <w:szCs w:val="18"/>
              </w:rPr>
            </w:pPr>
          </w:p>
        </w:tc>
        <w:tc>
          <w:tcPr>
            <w:tcW w:w="442" w:type="pct"/>
            <w:vAlign w:val="center"/>
          </w:tcPr>
          <w:p w14:paraId="7BC4BEA7">
            <w:pPr>
              <w:jc w:val="right"/>
              <w:rPr>
                <w:sz w:val="18"/>
                <w:szCs w:val="18"/>
              </w:rPr>
            </w:pPr>
            <w:r>
              <w:rPr>
                <w:sz w:val="18"/>
                <w:szCs w:val="18"/>
              </w:rPr>
              <w:t>275,429,601.44</w:t>
            </w:r>
          </w:p>
        </w:tc>
        <w:tc>
          <w:tcPr>
            <w:tcW w:w="119" w:type="pct"/>
            <w:vAlign w:val="center"/>
          </w:tcPr>
          <w:p w14:paraId="45D30E5E">
            <w:pPr>
              <w:jc w:val="right"/>
              <w:rPr>
                <w:sz w:val="18"/>
                <w:szCs w:val="18"/>
              </w:rPr>
            </w:pPr>
          </w:p>
        </w:tc>
        <w:tc>
          <w:tcPr>
            <w:tcW w:w="501" w:type="pct"/>
            <w:vAlign w:val="center"/>
          </w:tcPr>
          <w:p w14:paraId="4CDB162C">
            <w:pPr>
              <w:jc w:val="right"/>
              <w:rPr>
                <w:sz w:val="18"/>
                <w:szCs w:val="18"/>
              </w:rPr>
            </w:pPr>
            <w:r>
              <w:rPr>
                <w:sz w:val="18"/>
                <w:szCs w:val="18"/>
              </w:rPr>
              <w:t>1,195,110,646.29</w:t>
            </w:r>
          </w:p>
        </w:tc>
        <w:tc>
          <w:tcPr>
            <w:tcW w:w="125" w:type="pct"/>
            <w:vAlign w:val="center"/>
          </w:tcPr>
          <w:p w14:paraId="0BEE70A7">
            <w:pPr>
              <w:jc w:val="right"/>
              <w:rPr>
                <w:sz w:val="18"/>
                <w:szCs w:val="18"/>
              </w:rPr>
            </w:pPr>
          </w:p>
        </w:tc>
        <w:tc>
          <w:tcPr>
            <w:tcW w:w="463" w:type="pct"/>
            <w:vAlign w:val="center"/>
          </w:tcPr>
          <w:p w14:paraId="556461E7">
            <w:pPr>
              <w:jc w:val="right"/>
              <w:rPr>
                <w:sz w:val="18"/>
                <w:szCs w:val="18"/>
              </w:rPr>
            </w:pPr>
            <w:r>
              <w:rPr>
                <w:sz w:val="18"/>
                <w:szCs w:val="18"/>
              </w:rPr>
              <w:t>3,419,252,439.05</w:t>
            </w:r>
          </w:p>
        </w:tc>
        <w:tc>
          <w:tcPr>
            <w:tcW w:w="425" w:type="pct"/>
            <w:vAlign w:val="center"/>
          </w:tcPr>
          <w:p w14:paraId="070CAD58">
            <w:pPr>
              <w:jc w:val="right"/>
              <w:rPr>
                <w:sz w:val="18"/>
                <w:szCs w:val="18"/>
              </w:rPr>
            </w:pPr>
            <w:r>
              <w:rPr>
                <w:sz w:val="18"/>
                <w:szCs w:val="18"/>
              </w:rPr>
              <w:t>16,227,505.12</w:t>
            </w:r>
          </w:p>
        </w:tc>
        <w:tc>
          <w:tcPr>
            <w:tcW w:w="531" w:type="pct"/>
            <w:vAlign w:val="center"/>
          </w:tcPr>
          <w:p w14:paraId="0C62B4F5">
            <w:pPr>
              <w:jc w:val="right"/>
              <w:rPr>
                <w:sz w:val="18"/>
                <w:szCs w:val="18"/>
              </w:rPr>
            </w:pPr>
            <w:r>
              <w:rPr>
                <w:sz w:val="18"/>
                <w:szCs w:val="18"/>
              </w:rPr>
              <w:t>3,435,479,944.17</w:t>
            </w:r>
          </w:p>
        </w:tc>
      </w:tr>
      <w:tr w14:paraId="527F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60156dcb8ac241a7929015e75c8eef16"/>
            <w:id w:val="-1132319105"/>
          </w:sdtPr>
          <w:sdtContent>
            <w:tc>
              <w:tcPr>
                <w:tcW w:w="487" w:type="pct"/>
                <w:vAlign w:val="center"/>
              </w:tcPr>
              <w:p w14:paraId="34074F51">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三、本</w:t>
                </w:r>
                <w:r>
                  <w:rPr>
                    <w:rFonts w:hint="eastAsia"/>
                    <w:color w:val="000000" w:themeColor="text1"/>
                    <w:sz w:val="18"/>
                    <w:szCs w:val="18"/>
                    <w14:textFill>
                      <w14:solidFill>
                        <w14:schemeClr w14:val="tx1"/>
                      </w14:solidFill>
                    </w14:textFill>
                  </w:rPr>
                  <w:t>期</w:t>
                </w:r>
                <w:r>
                  <w:rPr>
                    <w:color w:val="000000" w:themeColor="text1"/>
                    <w:sz w:val="18"/>
                    <w:szCs w:val="18"/>
                    <w14:textFill>
                      <w14:solidFill>
                        <w14:schemeClr w14:val="tx1"/>
                      </w14:solidFill>
                    </w14:textFill>
                  </w:rPr>
                  <w:t>增减变动金额（减少以“</w:t>
                </w: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”号填列）</w:t>
                </w:r>
              </w:p>
            </w:tc>
          </w:sdtContent>
        </w:sdt>
        <w:tc>
          <w:tcPr>
            <w:tcW w:w="488" w:type="pct"/>
            <w:vAlign w:val="center"/>
          </w:tcPr>
          <w:p w14:paraId="177AA58E">
            <w:pPr>
              <w:jc w:val="right"/>
              <w:rPr>
                <w:sz w:val="18"/>
                <w:szCs w:val="18"/>
              </w:rPr>
            </w:pPr>
          </w:p>
        </w:tc>
        <w:tc>
          <w:tcPr>
            <w:tcW w:w="132" w:type="pct"/>
            <w:vAlign w:val="center"/>
          </w:tcPr>
          <w:p w14:paraId="572DE4DE">
            <w:pPr>
              <w:jc w:val="right"/>
              <w:rPr>
                <w:sz w:val="18"/>
                <w:szCs w:val="18"/>
              </w:rPr>
            </w:pPr>
          </w:p>
        </w:tc>
        <w:tc>
          <w:tcPr>
            <w:tcW w:w="136" w:type="pct"/>
            <w:vAlign w:val="center"/>
          </w:tcPr>
          <w:p w14:paraId="16B1FFE7">
            <w:pPr>
              <w:jc w:val="right"/>
              <w:rPr>
                <w:sz w:val="18"/>
                <w:szCs w:val="18"/>
              </w:rPr>
            </w:pPr>
          </w:p>
        </w:tc>
        <w:tc>
          <w:tcPr>
            <w:tcW w:w="89" w:type="pct"/>
            <w:vAlign w:val="center"/>
          </w:tcPr>
          <w:p w14:paraId="45B2FFEF">
            <w:pPr>
              <w:jc w:val="right"/>
              <w:rPr>
                <w:sz w:val="18"/>
                <w:szCs w:val="18"/>
              </w:rPr>
            </w:pPr>
          </w:p>
        </w:tc>
        <w:tc>
          <w:tcPr>
            <w:tcW w:w="442" w:type="pct"/>
            <w:vAlign w:val="center"/>
          </w:tcPr>
          <w:p w14:paraId="7F114472">
            <w:pPr>
              <w:jc w:val="right"/>
              <w:rPr>
                <w:sz w:val="18"/>
                <w:szCs w:val="18"/>
              </w:rPr>
            </w:pPr>
          </w:p>
        </w:tc>
        <w:tc>
          <w:tcPr>
            <w:tcW w:w="89" w:type="pct"/>
            <w:vAlign w:val="center"/>
          </w:tcPr>
          <w:p w14:paraId="547BB456">
            <w:pPr>
              <w:jc w:val="right"/>
              <w:rPr>
                <w:sz w:val="18"/>
                <w:szCs w:val="18"/>
              </w:rPr>
            </w:pPr>
          </w:p>
        </w:tc>
        <w:tc>
          <w:tcPr>
            <w:tcW w:w="398" w:type="pct"/>
            <w:vAlign w:val="center"/>
          </w:tcPr>
          <w:p w14:paraId="28C228E0">
            <w:pPr>
              <w:jc w:val="right"/>
              <w:rPr>
                <w:sz w:val="18"/>
                <w:szCs w:val="18"/>
              </w:rPr>
            </w:pPr>
          </w:p>
        </w:tc>
        <w:tc>
          <w:tcPr>
            <w:tcW w:w="133" w:type="pct"/>
            <w:vAlign w:val="center"/>
          </w:tcPr>
          <w:p w14:paraId="3BA6E6DA">
            <w:pPr>
              <w:jc w:val="right"/>
              <w:rPr>
                <w:sz w:val="18"/>
                <w:szCs w:val="18"/>
              </w:rPr>
            </w:pPr>
          </w:p>
        </w:tc>
        <w:tc>
          <w:tcPr>
            <w:tcW w:w="442" w:type="pct"/>
            <w:vAlign w:val="center"/>
          </w:tcPr>
          <w:p w14:paraId="0CF30BFF">
            <w:pPr>
              <w:jc w:val="right"/>
              <w:rPr>
                <w:sz w:val="18"/>
                <w:szCs w:val="18"/>
              </w:rPr>
            </w:pPr>
          </w:p>
        </w:tc>
        <w:tc>
          <w:tcPr>
            <w:tcW w:w="119" w:type="pct"/>
            <w:vAlign w:val="center"/>
          </w:tcPr>
          <w:p w14:paraId="631FDE19">
            <w:pPr>
              <w:jc w:val="right"/>
              <w:rPr>
                <w:sz w:val="18"/>
                <w:szCs w:val="18"/>
              </w:rPr>
            </w:pPr>
          </w:p>
        </w:tc>
        <w:tc>
          <w:tcPr>
            <w:tcW w:w="501" w:type="pct"/>
            <w:vAlign w:val="center"/>
          </w:tcPr>
          <w:p w14:paraId="58984237">
            <w:pPr>
              <w:jc w:val="right"/>
              <w:rPr>
                <w:sz w:val="18"/>
                <w:szCs w:val="18"/>
              </w:rPr>
            </w:pPr>
            <w:r>
              <w:rPr>
                <w:sz w:val="18"/>
                <w:szCs w:val="18"/>
              </w:rPr>
              <w:t>21,</w:t>
            </w:r>
            <w:r>
              <w:rPr>
                <w:rFonts w:hint="eastAsia"/>
                <w:sz w:val="18"/>
                <w:szCs w:val="18"/>
              </w:rPr>
              <w:t>0</w:t>
            </w:r>
            <w:r>
              <w:rPr>
                <w:sz w:val="18"/>
                <w:szCs w:val="18"/>
              </w:rPr>
              <w:t>0</w:t>
            </w:r>
            <w:r>
              <w:rPr>
                <w:rFonts w:hint="eastAsia"/>
                <w:sz w:val="18"/>
                <w:szCs w:val="18"/>
              </w:rPr>
              <w:t>8</w:t>
            </w:r>
            <w:r>
              <w:rPr>
                <w:sz w:val="18"/>
                <w:szCs w:val="18"/>
              </w:rPr>
              <w:t>,2</w:t>
            </w:r>
            <w:r>
              <w:rPr>
                <w:rFonts w:hint="eastAsia"/>
                <w:sz w:val="18"/>
                <w:szCs w:val="18"/>
              </w:rPr>
              <w:t>99</w:t>
            </w:r>
            <w:r>
              <w:rPr>
                <w:sz w:val="18"/>
                <w:szCs w:val="18"/>
              </w:rPr>
              <w:t>.</w:t>
            </w:r>
            <w:r>
              <w:rPr>
                <w:rFonts w:hint="eastAsia"/>
                <w:sz w:val="18"/>
                <w:szCs w:val="18"/>
              </w:rPr>
              <w:t>58</w:t>
            </w:r>
          </w:p>
        </w:tc>
        <w:tc>
          <w:tcPr>
            <w:tcW w:w="125" w:type="pct"/>
            <w:vAlign w:val="center"/>
          </w:tcPr>
          <w:p w14:paraId="64312FB7">
            <w:pPr>
              <w:jc w:val="right"/>
              <w:rPr>
                <w:sz w:val="18"/>
                <w:szCs w:val="18"/>
              </w:rPr>
            </w:pPr>
          </w:p>
        </w:tc>
        <w:tc>
          <w:tcPr>
            <w:tcW w:w="463" w:type="pct"/>
            <w:vAlign w:val="center"/>
          </w:tcPr>
          <w:p w14:paraId="4E00635C">
            <w:pPr>
              <w:jc w:val="right"/>
              <w:rPr>
                <w:sz w:val="18"/>
                <w:szCs w:val="18"/>
              </w:rPr>
            </w:pPr>
            <w:r>
              <w:rPr>
                <w:sz w:val="18"/>
                <w:szCs w:val="18"/>
              </w:rPr>
              <w:t>21,008,299.58</w:t>
            </w:r>
          </w:p>
        </w:tc>
        <w:tc>
          <w:tcPr>
            <w:tcW w:w="425" w:type="pct"/>
            <w:vAlign w:val="center"/>
          </w:tcPr>
          <w:p w14:paraId="7FF09F21">
            <w:pPr>
              <w:jc w:val="right"/>
              <w:rPr>
                <w:sz w:val="18"/>
                <w:szCs w:val="18"/>
              </w:rPr>
            </w:pPr>
            <w:r>
              <w:rPr>
                <w:sz w:val="18"/>
                <w:szCs w:val="18"/>
              </w:rPr>
              <w:t>699,243.34</w:t>
            </w:r>
          </w:p>
        </w:tc>
        <w:tc>
          <w:tcPr>
            <w:tcW w:w="531" w:type="pct"/>
            <w:vAlign w:val="center"/>
          </w:tcPr>
          <w:p w14:paraId="4D15A59B">
            <w:pPr>
              <w:jc w:val="right"/>
              <w:rPr>
                <w:sz w:val="18"/>
                <w:szCs w:val="18"/>
              </w:rPr>
            </w:pPr>
            <w:r>
              <w:rPr>
                <w:sz w:val="18"/>
                <w:szCs w:val="18"/>
              </w:rPr>
              <w:t>21,707,542.92</w:t>
            </w:r>
          </w:p>
        </w:tc>
      </w:tr>
      <w:tr w14:paraId="7F8A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b05dacde51ff43abaf7ec73bf9668d99"/>
            <w:id w:val="336280225"/>
          </w:sdtPr>
          <w:sdtContent>
            <w:tc>
              <w:tcPr>
                <w:tcW w:w="487" w:type="pct"/>
                <w:vAlign w:val="center"/>
              </w:tcPr>
              <w:p w14:paraId="6E00D3F5">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（一）综合收益总额</w:t>
                </w:r>
              </w:p>
            </w:tc>
          </w:sdtContent>
        </w:sdt>
        <w:tc>
          <w:tcPr>
            <w:tcW w:w="488" w:type="pct"/>
            <w:vAlign w:val="center"/>
          </w:tcPr>
          <w:p w14:paraId="30D04D46">
            <w:pPr>
              <w:jc w:val="right"/>
              <w:rPr>
                <w:sz w:val="18"/>
                <w:szCs w:val="18"/>
              </w:rPr>
            </w:pPr>
          </w:p>
        </w:tc>
        <w:tc>
          <w:tcPr>
            <w:tcW w:w="132" w:type="pct"/>
            <w:vAlign w:val="center"/>
          </w:tcPr>
          <w:p w14:paraId="4231463A">
            <w:pPr>
              <w:jc w:val="right"/>
              <w:rPr>
                <w:sz w:val="18"/>
                <w:szCs w:val="18"/>
              </w:rPr>
            </w:pPr>
          </w:p>
        </w:tc>
        <w:tc>
          <w:tcPr>
            <w:tcW w:w="136" w:type="pct"/>
            <w:vAlign w:val="center"/>
          </w:tcPr>
          <w:p w14:paraId="77600A11">
            <w:pPr>
              <w:jc w:val="right"/>
              <w:rPr>
                <w:sz w:val="18"/>
                <w:szCs w:val="18"/>
              </w:rPr>
            </w:pPr>
          </w:p>
        </w:tc>
        <w:tc>
          <w:tcPr>
            <w:tcW w:w="89" w:type="pct"/>
            <w:vAlign w:val="center"/>
          </w:tcPr>
          <w:p w14:paraId="3A6F16B4">
            <w:pPr>
              <w:jc w:val="right"/>
              <w:rPr>
                <w:sz w:val="18"/>
                <w:szCs w:val="18"/>
              </w:rPr>
            </w:pPr>
          </w:p>
        </w:tc>
        <w:tc>
          <w:tcPr>
            <w:tcW w:w="442" w:type="pct"/>
            <w:vAlign w:val="center"/>
          </w:tcPr>
          <w:p w14:paraId="52C6B9DA">
            <w:pPr>
              <w:jc w:val="right"/>
              <w:rPr>
                <w:sz w:val="18"/>
                <w:szCs w:val="18"/>
              </w:rPr>
            </w:pPr>
          </w:p>
        </w:tc>
        <w:tc>
          <w:tcPr>
            <w:tcW w:w="89" w:type="pct"/>
            <w:vAlign w:val="center"/>
          </w:tcPr>
          <w:p w14:paraId="2CD4BE75">
            <w:pPr>
              <w:jc w:val="right"/>
              <w:rPr>
                <w:sz w:val="18"/>
                <w:szCs w:val="18"/>
              </w:rPr>
            </w:pPr>
          </w:p>
        </w:tc>
        <w:tc>
          <w:tcPr>
            <w:tcW w:w="398" w:type="pct"/>
            <w:vAlign w:val="center"/>
          </w:tcPr>
          <w:p w14:paraId="789B554F">
            <w:pPr>
              <w:jc w:val="right"/>
              <w:rPr>
                <w:sz w:val="18"/>
                <w:szCs w:val="18"/>
              </w:rPr>
            </w:pPr>
          </w:p>
        </w:tc>
        <w:tc>
          <w:tcPr>
            <w:tcW w:w="133" w:type="pct"/>
            <w:vAlign w:val="center"/>
          </w:tcPr>
          <w:p w14:paraId="7A24AA7C">
            <w:pPr>
              <w:jc w:val="right"/>
              <w:rPr>
                <w:sz w:val="18"/>
                <w:szCs w:val="18"/>
              </w:rPr>
            </w:pPr>
          </w:p>
        </w:tc>
        <w:tc>
          <w:tcPr>
            <w:tcW w:w="442" w:type="pct"/>
            <w:vAlign w:val="center"/>
          </w:tcPr>
          <w:p w14:paraId="6BAD61BD">
            <w:pPr>
              <w:jc w:val="right"/>
              <w:rPr>
                <w:sz w:val="18"/>
                <w:szCs w:val="18"/>
              </w:rPr>
            </w:pPr>
          </w:p>
        </w:tc>
        <w:tc>
          <w:tcPr>
            <w:tcW w:w="119" w:type="pct"/>
            <w:vAlign w:val="center"/>
          </w:tcPr>
          <w:p w14:paraId="758B71E3">
            <w:pPr>
              <w:jc w:val="right"/>
              <w:rPr>
                <w:sz w:val="18"/>
                <w:szCs w:val="18"/>
              </w:rPr>
            </w:pPr>
          </w:p>
        </w:tc>
        <w:tc>
          <w:tcPr>
            <w:tcW w:w="501" w:type="pct"/>
            <w:vAlign w:val="center"/>
          </w:tcPr>
          <w:p w14:paraId="019D16C4">
            <w:pPr>
              <w:jc w:val="right"/>
              <w:rPr>
                <w:sz w:val="18"/>
                <w:szCs w:val="18"/>
              </w:rPr>
            </w:pPr>
            <w:r>
              <w:rPr>
                <w:sz w:val="18"/>
                <w:szCs w:val="18"/>
              </w:rPr>
              <w:t>29,978,804.61</w:t>
            </w:r>
          </w:p>
        </w:tc>
        <w:tc>
          <w:tcPr>
            <w:tcW w:w="125" w:type="pct"/>
            <w:vAlign w:val="center"/>
          </w:tcPr>
          <w:p w14:paraId="027F1614">
            <w:pPr>
              <w:jc w:val="right"/>
              <w:rPr>
                <w:sz w:val="18"/>
                <w:szCs w:val="18"/>
              </w:rPr>
            </w:pPr>
          </w:p>
        </w:tc>
        <w:tc>
          <w:tcPr>
            <w:tcW w:w="463" w:type="pct"/>
            <w:vAlign w:val="center"/>
          </w:tcPr>
          <w:p w14:paraId="607EAB92">
            <w:pPr>
              <w:jc w:val="right"/>
              <w:rPr>
                <w:sz w:val="18"/>
                <w:szCs w:val="18"/>
              </w:rPr>
            </w:pPr>
            <w:r>
              <w:rPr>
                <w:sz w:val="18"/>
                <w:szCs w:val="18"/>
              </w:rPr>
              <w:t>29,978,804.61</w:t>
            </w:r>
          </w:p>
        </w:tc>
        <w:tc>
          <w:tcPr>
            <w:tcW w:w="425" w:type="pct"/>
            <w:vAlign w:val="center"/>
          </w:tcPr>
          <w:p w14:paraId="7688EF1D">
            <w:pPr>
              <w:jc w:val="right"/>
              <w:rPr>
                <w:sz w:val="18"/>
                <w:szCs w:val="18"/>
              </w:rPr>
            </w:pPr>
            <w:r>
              <w:rPr>
                <w:sz w:val="18"/>
                <w:szCs w:val="18"/>
              </w:rPr>
              <w:t>699,243.34</w:t>
            </w:r>
          </w:p>
        </w:tc>
        <w:tc>
          <w:tcPr>
            <w:tcW w:w="531" w:type="pct"/>
            <w:vAlign w:val="center"/>
          </w:tcPr>
          <w:p w14:paraId="7E4A32C7">
            <w:pPr>
              <w:jc w:val="right"/>
              <w:rPr>
                <w:sz w:val="18"/>
                <w:szCs w:val="18"/>
              </w:rPr>
            </w:pPr>
            <w:r>
              <w:rPr>
                <w:sz w:val="18"/>
                <w:szCs w:val="18"/>
              </w:rPr>
              <w:t>30,678,047.95</w:t>
            </w:r>
          </w:p>
        </w:tc>
      </w:tr>
      <w:tr w14:paraId="2091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f17921fb207340239c73a056e615d773"/>
            <w:id w:val="-1749811992"/>
          </w:sdtPr>
          <w:sdtContent>
            <w:tc>
              <w:tcPr>
                <w:tcW w:w="487" w:type="pct"/>
                <w:vAlign w:val="center"/>
              </w:tcPr>
              <w:p w14:paraId="113C2EF1">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二</w:t>
                </w:r>
                <w:r>
                  <w:rPr>
                    <w:color w:val="000000" w:themeColor="text1"/>
                    <w:sz w:val="18"/>
                    <w:szCs w:val="18"/>
                    <w14:textFill>
                      <w14:solidFill>
                        <w14:schemeClr w14:val="tx1"/>
                      </w14:solidFill>
                    </w14:textFill>
                  </w:rPr>
                  <w:t>）所有者投入和减少资本</w:t>
                </w:r>
              </w:p>
            </w:tc>
          </w:sdtContent>
        </w:sdt>
        <w:tc>
          <w:tcPr>
            <w:tcW w:w="488" w:type="pct"/>
            <w:vAlign w:val="center"/>
          </w:tcPr>
          <w:p w14:paraId="4CE17B30">
            <w:pPr>
              <w:jc w:val="right"/>
              <w:rPr>
                <w:sz w:val="18"/>
                <w:szCs w:val="18"/>
              </w:rPr>
            </w:pPr>
          </w:p>
        </w:tc>
        <w:tc>
          <w:tcPr>
            <w:tcW w:w="132" w:type="pct"/>
            <w:vAlign w:val="center"/>
          </w:tcPr>
          <w:p w14:paraId="013FBDA7">
            <w:pPr>
              <w:jc w:val="right"/>
              <w:rPr>
                <w:sz w:val="18"/>
                <w:szCs w:val="18"/>
              </w:rPr>
            </w:pPr>
          </w:p>
        </w:tc>
        <w:tc>
          <w:tcPr>
            <w:tcW w:w="136" w:type="pct"/>
            <w:vAlign w:val="center"/>
          </w:tcPr>
          <w:p w14:paraId="055B61A6">
            <w:pPr>
              <w:jc w:val="right"/>
              <w:rPr>
                <w:sz w:val="18"/>
                <w:szCs w:val="18"/>
              </w:rPr>
            </w:pPr>
          </w:p>
        </w:tc>
        <w:tc>
          <w:tcPr>
            <w:tcW w:w="89" w:type="pct"/>
            <w:vAlign w:val="center"/>
          </w:tcPr>
          <w:p w14:paraId="1DBDD6B4">
            <w:pPr>
              <w:jc w:val="right"/>
              <w:rPr>
                <w:sz w:val="18"/>
                <w:szCs w:val="18"/>
              </w:rPr>
            </w:pPr>
          </w:p>
        </w:tc>
        <w:tc>
          <w:tcPr>
            <w:tcW w:w="442" w:type="pct"/>
            <w:vAlign w:val="center"/>
          </w:tcPr>
          <w:p w14:paraId="16E27B9C">
            <w:pPr>
              <w:jc w:val="right"/>
              <w:rPr>
                <w:sz w:val="18"/>
                <w:szCs w:val="18"/>
              </w:rPr>
            </w:pPr>
          </w:p>
        </w:tc>
        <w:tc>
          <w:tcPr>
            <w:tcW w:w="89" w:type="pct"/>
            <w:vAlign w:val="center"/>
          </w:tcPr>
          <w:p w14:paraId="09ACDD6A">
            <w:pPr>
              <w:jc w:val="right"/>
              <w:rPr>
                <w:sz w:val="18"/>
                <w:szCs w:val="18"/>
              </w:rPr>
            </w:pPr>
          </w:p>
        </w:tc>
        <w:tc>
          <w:tcPr>
            <w:tcW w:w="398" w:type="pct"/>
            <w:vAlign w:val="center"/>
          </w:tcPr>
          <w:p w14:paraId="47B6DD26">
            <w:pPr>
              <w:jc w:val="right"/>
              <w:rPr>
                <w:sz w:val="18"/>
                <w:szCs w:val="18"/>
              </w:rPr>
            </w:pPr>
          </w:p>
        </w:tc>
        <w:tc>
          <w:tcPr>
            <w:tcW w:w="133" w:type="pct"/>
            <w:vAlign w:val="center"/>
          </w:tcPr>
          <w:p w14:paraId="4D4ECE63">
            <w:pPr>
              <w:jc w:val="right"/>
              <w:rPr>
                <w:sz w:val="18"/>
                <w:szCs w:val="18"/>
              </w:rPr>
            </w:pPr>
          </w:p>
        </w:tc>
        <w:tc>
          <w:tcPr>
            <w:tcW w:w="442" w:type="pct"/>
            <w:vAlign w:val="center"/>
          </w:tcPr>
          <w:p w14:paraId="63508A5F">
            <w:pPr>
              <w:jc w:val="right"/>
              <w:rPr>
                <w:sz w:val="18"/>
                <w:szCs w:val="18"/>
              </w:rPr>
            </w:pPr>
          </w:p>
        </w:tc>
        <w:tc>
          <w:tcPr>
            <w:tcW w:w="119" w:type="pct"/>
            <w:vAlign w:val="center"/>
          </w:tcPr>
          <w:p w14:paraId="23D9599F">
            <w:pPr>
              <w:jc w:val="right"/>
              <w:rPr>
                <w:sz w:val="18"/>
                <w:szCs w:val="18"/>
              </w:rPr>
            </w:pPr>
          </w:p>
        </w:tc>
        <w:tc>
          <w:tcPr>
            <w:tcW w:w="501" w:type="pct"/>
            <w:vAlign w:val="center"/>
          </w:tcPr>
          <w:p w14:paraId="644FECF2">
            <w:pPr>
              <w:jc w:val="right"/>
              <w:rPr>
                <w:sz w:val="18"/>
                <w:szCs w:val="18"/>
              </w:rPr>
            </w:pPr>
          </w:p>
        </w:tc>
        <w:tc>
          <w:tcPr>
            <w:tcW w:w="125" w:type="pct"/>
            <w:vAlign w:val="center"/>
          </w:tcPr>
          <w:p w14:paraId="6941E4FD">
            <w:pPr>
              <w:jc w:val="right"/>
              <w:rPr>
                <w:sz w:val="18"/>
                <w:szCs w:val="18"/>
              </w:rPr>
            </w:pPr>
          </w:p>
        </w:tc>
        <w:tc>
          <w:tcPr>
            <w:tcW w:w="463" w:type="pct"/>
            <w:vAlign w:val="center"/>
          </w:tcPr>
          <w:p w14:paraId="1FFABF63">
            <w:pPr>
              <w:jc w:val="right"/>
              <w:rPr>
                <w:sz w:val="18"/>
                <w:szCs w:val="18"/>
              </w:rPr>
            </w:pPr>
          </w:p>
        </w:tc>
        <w:tc>
          <w:tcPr>
            <w:tcW w:w="425" w:type="pct"/>
            <w:vAlign w:val="center"/>
          </w:tcPr>
          <w:p w14:paraId="718D0E01">
            <w:pPr>
              <w:jc w:val="right"/>
              <w:rPr>
                <w:sz w:val="18"/>
                <w:szCs w:val="18"/>
              </w:rPr>
            </w:pPr>
          </w:p>
        </w:tc>
        <w:tc>
          <w:tcPr>
            <w:tcW w:w="531" w:type="pct"/>
            <w:vAlign w:val="center"/>
          </w:tcPr>
          <w:p w14:paraId="4B5F42C9">
            <w:pPr>
              <w:jc w:val="right"/>
              <w:rPr>
                <w:sz w:val="18"/>
                <w:szCs w:val="18"/>
              </w:rPr>
            </w:pPr>
          </w:p>
        </w:tc>
      </w:tr>
      <w:tr w14:paraId="7053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a4e5a1909d05445a88f8a664e237ae02"/>
            <w:id w:val="-1166858700"/>
          </w:sdtPr>
          <w:sdtContent>
            <w:tc>
              <w:tcPr>
                <w:tcW w:w="487" w:type="pct"/>
                <w:vAlign w:val="center"/>
              </w:tcPr>
              <w:p w14:paraId="195B3C64">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1．所有者投入的普通股</w:t>
                </w:r>
              </w:p>
            </w:tc>
          </w:sdtContent>
        </w:sdt>
        <w:tc>
          <w:tcPr>
            <w:tcW w:w="488" w:type="pct"/>
            <w:vAlign w:val="center"/>
          </w:tcPr>
          <w:p w14:paraId="5C28870B">
            <w:pPr>
              <w:jc w:val="right"/>
              <w:rPr>
                <w:sz w:val="18"/>
                <w:szCs w:val="18"/>
              </w:rPr>
            </w:pPr>
          </w:p>
        </w:tc>
        <w:tc>
          <w:tcPr>
            <w:tcW w:w="132" w:type="pct"/>
            <w:vAlign w:val="center"/>
          </w:tcPr>
          <w:p w14:paraId="19D18C1D">
            <w:pPr>
              <w:jc w:val="right"/>
              <w:rPr>
                <w:sz w:val="18"/>
                <w:szCs w:val="18"/>
              </w:rPr>
            </w:pPr>
          </w:p>
        </w:tc>
        <w:tc>
          <w:tcPr>
            <w:tcW w:w="136" w:type="pct"/>
            <w:vAlign w:val="center"/>
          </w:tcPr>
          <w:p w14:paraId="16F8E338">
            <w:pPr>
              <w:jc w:val="right"/>
              <w:rPr>
                <w:sz w:val="18"/>
                <w:szCs w:val="18"/>
              </w:rPr>
            </w:pPr>
          </w:p>
        </w:tc>
        <w:tc>
          <w:tcPr>
            <w:tcW w:w="89" w:type="pct"/>
            <w:vAlign w:val="center"/>
          </w:tcPr>
          <w:p w14:paraId="65319509">
            <w:pPr>
              <w:jc w:val="right"/>
              <w:rPr>
                <w:sz w:val="18"/>
                <w:szCs w:val="18"/>
              </w:rPr>
            </w:pPr>
          </w:p>
        </w:tc>
        <w:tc>
          <w:tcPr>
            <w:tcW w:w="442" w:type="pct"/>
            <w:vAlign w:val="center"/>
          </w:tcPr>
          <w:p w14:paraId="3A2F753A">
            <w:pPr>
              <w:jc w:val="right"/>
              <w:rPr>
                <w:sz w:val="18"/>
                <w:szCs w:val="18"/>
              </w:rPr>
            </w:pPr>
          </w:p>
        </w:tc>
        <w:tc>
          <w:tcPr>
            <w:tcW w:w="89" w:type="pct"/>
            <w:vAlign w:val="center"/>
          </w:tcPr>
          <w:p w14:paraId="49B10EAE">
            <w:pPr>
              <w:jc w:val="right"/>
              <w:rPr>
                <w:sz w:val="18"/>
                <w:szCs w:val="18"/>
              </w:rPr>
            </w:pPr>
          </w:p>
        </w:tc>
        <w:tc>
          <w:tcPr>
            <w:tcW w:w="398" w:type="pct"/>
            <w:vAlign w:val="center"/>
          </w:tcPr>
          <w:p w14:paraId="288D1688">
            <w:pPr>
              <w:jc w:val="right"/>
              <w:rPr>
                <w:sz w:val="18"/>
                <w:szCs w:val="18"/>
              </w:rPr>
            </w:pPr>
          </w:p>
        </w:tc>
        <w:tc>
          <w:tcPr>
            <w:tcW w:w="133" w:type="pct"/>
            <w:vAlign w:val="center"/>
          </w:tcPr>
          <w:p w14:paraId="47A639C5">
            <w:pPr>
              <w:jc w:val="right"/>
              <w:rPr>
                <w:sz w:val="18"/>
                <w:szCs w:val="18"/>
              </w:rPr>
            </w:pPr>
          </w:p>
        </w:tc>
        <w:tc>
          <w:tcPr>
            <w:tcW w:w="442" w:type="pct"/>
            <w:vAlign w:val="center"/>
          </w:tcPr>
          <w:p w14:paraId="4F0316A7">
            <w:pPr>
              <w:jc w:val="right"/>
              <w:rPr>
                <w:sz w:val="18"/>
                <w:szCs w:val="18"/>
              </w:rPr>
            </w:pPr>
          </w:p>
        </w:tc>
        <w:tc>
          <w:tcPr>
            <w:tcW w:w="119" w:type="pct"/>
            <w:vAlign w:val="center"/>
          </w:tcPr>
          <w:p w14:paraId="4488E793">
            <w:pPr>
              <w:jc w:val="right"/>
              <w:rPr>
                <w:sz w:val="18"/>
                <w:szCs w:val="18"/>
              </w:rPr>
            </w:pPr>
          </w:p>
        </w:tc>
        <w:tc>
          <w:tcPr>
            <w:tcW w:w="501" w:type="pct"/>
            <w:vAlign w:val="center"/>
          </w:tcPr>
          <w:p w14:paraId="5328C340">
            <w:pPr>
              <w:jc w:val="right"/>
              <w:rPr>
                <w:sz w:val="18"/>
                <w:szCs w:val="18"/>
              </w:rPr>
            </w:pPr>
          </w:p>
        </w:tc>
        <w:tc>
          <w:tcPr>
            <w:tcW w:w="125" w:type="pct"/>
            <w:vAlign w:val="center"/>
          </w:tcPr>
          <w:p w14:paraId="5DD747B6">
            <w:pPr>
              <w:jc w:val="right"/>
              <w:rPr>
                <w:sz w:val="18"/>
                <w:szCs w:val="18"/>
              </w:rPr>
            </w:pPr>
          </w:p>
        </w:tc>
        <w:tc>
          <w:tcPr>
            <w:tcW w:w="463" w:type="pct"/>
            <w:vAlign w:val="center"/>
          </w:tcPr>
          <w:p w14:paraId="26E70CAD">
            <w:pPr>
              <w:jc w:val="right"/>
              <w:rPr>
                <w:sz w:val="18"/>
                <w:szCs w:val="18"/>
              </w:rPr>
            </w:pPr>
          </w:p>
        </w:tc>
        <w:tc>
          <w:tcPr>
            <w:tcW w:w="425" w:type="pct"/>
            <w:vAlign w:val="center"/>
          </w:tcPr>
          <w:p w14:paraId="08DE107C">
            <w:pPr>
              <w:jc w:val="right"/>
              <w:rPr>
                <w:sz w:val="18"/>
                <w:szCs w:val="18"/>
              </w:rPr>
            </w:pPr>
          </w:p>
        </w:tc>
        <w:tc>
          <w:tcPr>
            <w:tcW w:w="531" w:type="pct"/>
            <w:vAlign w:val="center"/>
          </w:tcPr>
          <w:p w14:paraId="4A2B0B09">
            <w:pPr>
              <w:jc w:val="right"/>
              <w:rPr>
                <w:sz w:val="18"/>
                <w:szCs w:val="18"/>
              </w:rPr>
            </w:pPr>
          </w:p>
        </w:tc>
      </w:tr>
      <w:tr w14:paraId="7BEA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00983bc5e4cc404f92b2fab2c532ec5f"/>
            <w:id w:val="-87998855"/>
          </w:sdtPr>
          <w:sdtContent>
            <w:tc>
              <w:tcPr>
                <w:tcW w:w="487" w:type="pct"/>
                <w:vAlign w:val="center"/>
              </w:tcPr>
              <w:p w14:paraId="433D47C4">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2．其他权益工具持有者投入资本</w:t>
                </w:r>
              </w:p>
            </w:tc>
          </w:sdtContent>
        </w:sdt>
        <w:tc>
          <w:tcPr>
            <w:tcW w:w="488" w:type="pct"/>
            <w:vAlign w:val="center"/>
          </w:tcPr>
          <w:p w14:paraId="20F701CC">
            <w:pPr>
              <w:jc w:val="right"/>
              <w:rPr>
                <w:sz w:val="18"/>
                <w:szCs w:val="18"/>
              </w:rPr>
            </w:pPr>
          </w:p>
        </w:tc>
        <w:tc>
          <w:tcPr>
            <w:tcW w:w="132" w:type="pct"/>
            <w:vAlign w:val="center"/>
          </w:tcPr>
          <w:p w14:paraId="3F0CAF8C">
            <w:pPr>
              <w:jc w:val="right"/>
              <w:rPr>
                <w:sz w:val="18"/>
                <w:szCs w:val="18"/>
              </w:rPr>
            </w:pPr>
          </w:p>
        </w:tc>
        <w:tc>
          <w:tcPr>
            <w:tcW w:w="136" w:type="pct"/>
            <w:vAlign w:val="center"/>
          </w:tcPr>
          <w:p w14:paraId="64B76FCA">
            <w:pPr>
              <w:jc w:val="right"/>
              <w:rPr>
                <w:sz w:val="18"/>
                <w:szCs w:val="18"/>
              </w:rPr>
            </w:pPr>
          </w:p>
        </w:tc>
        <w:tc>
          <w:tcPr>
            <w:tcW w:w="89" w:type="pct"/>
            <w:vAlign w:val="center"/>
          </w:tcPr>
          <w:p w14:paraId="6C4881BB">
            <w:pPr>
              <w:jc w:val="right"/>
              <w:rPr>
                <w:sz w:val="18"/>
                <w:szCs w:val="18"/>
              </w:rPr>
            </w:pPr>
          </w:p>
        </w:tc>
        <w:tc>
          <w:tcPr>
            <w:tcW w:w="442" w:type="pct"/>
            <w:vAlign w:val="center"/>
          </w:tcPr>
          <w:p w14:paraId="34A5CB9C">
            <w:pPr>
              <w:jc w:val="right"/>
              <w:rPr>
                <w:sz w:val="18"/>
                <w:szCs w:val="18"/>
              </w:rPr>
            </w:pPr>
          </w:p>
        </w:tc>
        <w:tc>
          <w:tcPr>
            <w:tcW w:w="89" w:type="pct"/>
            <w:vAlign w:val="center"/>
          </w:tcPr>
          <w:p w14:paraId="5780F012">
            <w:pPr>
              <w:jc w:val="right"/>
              <w:rPr>
                <w:sz w:val="18"/>
                <w:szCs w:val="18"/>
              </w:rPr>
            </w:pPr>
          </w:p>
        </w:tc>
        <w:tc>
          <w:tcPr>
            <w:tcW w:w="398" w:type="pct"/>
            <w:vAlign w:val="center"/>
          </w:tcPr>
          <w:p w14:paraId="0886B88F">
            <w:pPr>
              <w:jc w:val="right"/>
              <w:rPr>
                <w:sz w:val="18"/>
                <w:szCs w:val="18"/>
              </w:rPr>
            </w:pPr>
          </w:p>
        </w:tc>
        <w:tc>
          <w:tcPr>
            <w:tcW w:w="133" w:type="pct"/>
            <w:vAlign w:val="center"/>
          </w:tcPr>
          <w:p w14:paraId="33630D82">
            <w:pPr>
              <w:jc w:val="right"/>
              <w:rPr>
                <w:sz w:val="18"/>
                <w:szCs w:val="18"/>
              </w:rPr>
            </w:pPr>
          </w:p>
        </w:tc>
        <w:tc>
          <w:tcPr>
            <w:tcW w:w="442" w:type="pct"/>
            <w:vAlign w:val="center"/>
          </w:tcPr>
          <w:p w14:paraId="7A09F99B">
            <w:pPr>
              <w:jc w:val="right"/>
              <w:rPr>
                <w:sz w:val="18"/>
                <w:szCs w:val="18"/>
              </w:rPr>
            </w:pPr>
          </w:p>
        </w:tc>
        <w:tc>
          <w:tcPr>
            <w:tcW w:w="119" w:type="pct"/>
            <w:vAlign w:val="center"/>
          </w:tcPr>
          <w:p w14:paraId="6BB9B727">
            <w:pPr>
              <w:jc w:val="right"/>
              <w:rPr>
                <w:sz w:val="18"/>
                <w:szCs w:val="18"/>
              </w:rPr>
            </w:pPr>
          </w:p>
        </w:tc>
        <w:tc>
          <w:tcPr>
            <w:tcW w:w="501" w:type="pct"/>
            <w:vAlign w:val="center"/>
          </w:tcPr>
          <w:p w14:paraId="4EB43925">
            <w:pPr>
              <w:jc w:val="right"/>
              <w:rPr>
                <w:sz w:val="18"/>
                <w:szCs w:val="18"/>
              </w:rPr>
            </w:pPr>
          </w:p>
        </w:tc>
        <w:tc>
          <w:tcPr>
            <w:tcW w:w="125" w:type="pct"/>
            <w:vAlign w:val="center"/>
          </w:tcPr>
          <w:p w14:paraId="73012285">
            <w:pPr>
              <w:jc w:val="right"/>
              <w:rPr>
                <w:sz w:val="18"/>
                <w:szCs w:val="18"/>
              </w:rPr>
            </w:pPr>
          </w:p>
        </w:tc>
        <w:tc>
          <w:tcPr>
            <w:tcW w:w="463" w:type="pct"/>
            <w:vAlign w:val="center"/>
          </w:tcPr>
          <w:p w14:paraId="0D963F9B">
            <w:pPr>
              <w:jc w:val="right"/>
              <w:rPr>
                <w:sz w:val="18"/>
                <w:szCs w:val="18"/>
              </w:rPr>
            </w:pPr>
          </w:p>
        </w:tc>
        <w:tc>
          <w:tcPr>
            <w:tcW w:w="425" w:type="pct"/>
            <w:vAlign w:val="center"/>
          </w:tcPr>
          <w:p w14:paraId="5812D760">
            <w:pPr>
              <w:jc w:val="right"/>
              <w:rPr>
                <w:sz w:val="18"/>
                <w:szCs w:val="18"/>
              </w:rPr>
            </w:pPr>
          </w:p>
        </w:tc>
        <w:tc>
          <w:tcPr>
            <w:tcW w:w="531" w:type="pct"/>
            <w:vAlign w:val="center"/>
          </w:tcPr>
          <w:p w14:paraId="65DD754F">
            <w:pPr>
              <w:jc w:val="right"/>
              <w:rPr>
                <w:sz w:val="18"/>
                <w:szCs w:val="18"/>
              </w:rPr>
            </w:pPr>
          </w:p>
        </w:tc>
      </w:tr>
      <w:tr w14:paraId="5785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b945685508384f75ad9507566dd406a5"/>
            <w:id w:val="-48690526"/>
          </w:sdtPr>
          <w:sdtContent>
            <w:tc>
              <w:tcPr>
                <w:tcW w:w="487" w:type="pct"/>
                <w:vAlign w:val="center"/>
              </w:tcPr>
              <w:p w14:paraId="658EE95E">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．股份支付计入所有者权益的金额</w:t>
                </w:r>
              </w:p>
            </w:tc>
          </w:sdtContent>
        </w:sdt>
        <w:tc>
          <w:tcPr>
            <w:tcW w:w="488" w:type="pct"/>
            <w:vAlign w:val="center"/>
          </w:tcPr>
          <w:p w14:paraId="369BAA45">
            <w:pPr>
              <w:jc w:val="right"/>
              <w:rPr>
                <w:sz w:val="18"/>
                <w:szCs w:val="18"/>
              </w:rPr>
            </w:pPr>
          </w:p>
        </w:tc>
        <w:tc>
          <w:tcPr>
            <w:tcW w:w="132" w:type="pct"/>
            <w:vAlign w:val="center"/>
          </w:tcPr>
          <w:p w14:paraId="0CDFDADB">
            <w:pPr>
              <w:jc w:val="right"/>
              <w:rPr>
                <w:sz w:val="18"/>
                <w:szCs w:val="18"/>
              </w:rPr>
            </w:pPr>
          </w:p>
        </w:tc>
        <w:tc>
          <w:tcPr>
            <w:tcW w:w="136" w:type="pct"/>
            <w:vAlign w:val="center"/>
          </w:tcPr>
          <w:p w14:paraId="02DBC979">
            <w:pPr>
              <w:jc w:val="right"/>
              <w:rPr>
                <w:sz w:val="18"/>
                <w:szCs w:val="18"/>
              </w:rPr>
            </w:pPr>
          </w:p>
        </w:tc>
        <w:tc>
          <w:tcPr>
            <w:tcW w:w="89" w:type="pct"/>
            <w:vAlign w:val="center"/>
          </w:tcPr>
          <w:p w14:paraId="44CCC621">
            <w:pPr>
              <w:jc w:val="right"/>
              <w:rPr>
                <w:sz w:val="18"/>
                <w:szCs w:val="18"/>
              </w:rPr>
            </w:pPr>
          </w:p>
        </w:tc>
        <w:tc>
          <w:tcPr>
            <w:tcW w:w="442" w:type="pct"/>
            <w:vAlign w:val="center"/>
          </w:tcPr>
          <w:p w14:paraId="7ED9A90B">
            <w:pPr>
              <w:jc w:val="right"/>
              <w:rPr>
                <w:sz w:val="18"/>
                <w:szCs w:val="18"/>
              </w:rPr>
            </w:pPr>
          </w:p>
        </w:tc>
        <w:tc>
          <w:tcPr>
            <w:tcW w:w="89" w:type="pct"/>
            <w:vAlign w:val="center"/>
          </w:tcPr>
          <w:p w14:paraId="7F36FFA8">
            <w:pPr>
              <w:jc w:val="right"/>
              <w:rPr>
                <w:sz w:val="18"/>
                <w:szCs w:val="18"/>
              </w:rPr>
            </w:pPr>
          </w:p>
        </w:tc>
        <w:tc>
          <w:tcPr>
            <w:tcW w:w="398" w:type="pct"/>
            <w:vAlign w:val="center"/>
          </w:tcPr>
          <w:p w14:paraId="7BFAC930">
            <w:pPr>
              <w:jc w:val="right"/>
              <w:rPr>
                <w:sz w:val="18"/>
                <w:szCs w:val="18"/>
              </w:rPr>
            </w:pPr>
          </w:p>
        </w:tc>
        <w:tc>
          <w:tcPr>
            <w:tcW w:w="133" w:type="pct"/>
            <w:vAlign w:val="center"/>
          </w:tcPr>
          <w:p w14:paraId="5F052BB3">
            <w:pPr>
              <w:jc w:val="right"/>
              <w:rPr>
                <w:sz w:val="18"/>
                <w:szCs w:val="18"/>
              </w:rPr>
            </w:pPr>
          </w:p>
        </w:tc>
        <w:tc>
          <w:tcPr>
            <w:tcW w:w="442" w:type="pct"/>
            <w:vAlign w:val="center"/>
          </w:tcPr>
          <w:p w14:paraId="646A5634">
            <w:pPr>
              <w:jc w:val="right"/>
              <w:rPr>
                <w:sz w:val="18"/>
                <w:szCs w:val="18"/>
              </w:rPr>
            </w:pPr>
          </w:p>
        </w:tc>
        <w:tc>
          <w:tcPr>
            <w:tcW w:w="119" w:type="pct"/>
            <w:vAlign w:val="center"/>
          </w:tcPr>
          <w:p w14:paraId="5E7A0379">
            <w:pPr>
              <w:jc w:val="right"/>
              <w:rPr>
                <w:sz w:val="18"/>
                <w:szCs w:val="18"/>
              </w:rPr>
            </w:pPr>
          </w:p>
        </w:tc>
        <w:tc>
          <w:tcPr>
            <w:tcW w:w="501" w:type="pct"/>
            <w:vAlign w:val="center"/>
          </w:tcPr>
          <w:p w14:paraId="09E41918">
            <w:pPr>
              <w:jc w:val="right"/>
              <w:rPr>
                <w:sz w:val="18"/>
                <w:szCs w:val="18"/>
              </w:rPr>
            </w:pPr>
          </w:p>
        </w:tc>
        <w:tc>
          <w:tcPr>
            <w:tcW w:w="125" w:type="pct"/>
            <w:vAlign w:val="center"/>
          </w:tcPr>
          <w:p w14:paraId="0EA362EC">
            <w:pPr>
              <w:jc w:val="right"/>
              <w:rPr>
                <w:sz w:val="18"/>
                <w:szCs w:val="18"/>
              </w:rPr>
            </w:pPr>
          </w:p>
        </w:tc>
        <w:tc>
          <w:tcPr>
            <w:tcW w:w="463" w:type="pct"/>
            <w:vAlign w:val="center"/>
          </w:tcPr>
          <w:p w14:paraId="2D16A9DD">
            <w:pPr>
              <w:jc w:val="right"/>
              <w:rPr>
                <w:sz w:val="18"/>
                <w:szCs w:val="18"/>
              </w:rPr>
            </w:pPr>
          </w:p>
        </w:tc>
        <w:tc>
          <w:tcPr>
            <w:tcW w:w="425" w:type="pct"/>
            <w:vAlign w:val="center"/>
          </w:tcPr>
          <w:p w14:paraId="597F4A9E">
            <w:pPr>
              <w:jc w:val="right"/>
              <w:rPr>
                <w:sz w:val="18"/>
                <w:szCs w:val="18"/>
              </w:rPr>
            </w:pPr>
          </w:p>
        </w:tc>
        <w:tc>
          <w:tcPr>
            <w:tcW w:w="531" w:type="pct"/>
            <w:vAlign w:val="center"/>
          </w:tcPr>
          <w:p w14:paraId="035E663F">
            <w:pPr>
              <w:jc w:val="right"/>
              <w:rPr>
                <w:sz w:val="18"/>
                <w:szCs w:val="18"/>
              </w:rPr>
            </w:pPr>
          </w:p>
        </w:tc>
      </w:tr>
      <w:tr w14:paraId="64490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86538f5d06744ca9be65b0b439b17643"/>
            <w:id w:val="1141695673"/>
          </w:sdtPr>
          <w:sdtContent>
            <w:tc>
              <w:tcPr>
                <w:tcW w:w="487" w:type="pct"/>
                <w:vAlign w:val="center"/>
              </w:tcPr>
              <w:p w14:paraId="2929AB25">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r>
                  <w:rPr>
                    <w:color w:val="000000" w:themeColor="text1"/>
                    <w:sz w:val="18"/>
                    <w:szCs w:val="18"/>
                    <w14:textFill>
                      <w14:solidFill>
                        <w14:schemeClr w14:val="tx1"/>
                      </w14:solidFill>
                    </w14:textFill>
                  </w:rPr>
                  <w:t>．其他</w:t>
                </w:r>
              </w:p>
            </w:tc>
          </w:sdtContent>
        </w:sdt>
        <w:tc>
          <w:tcPr>
            <w:tcW w:w="488" w:type="pct"/>
            <w:vAlign w:val="center"/>
          </w:tcPr>
          <w:p w14:paraId="3E9769AE">
            <w:pPr>
              <w:jc w:val="right"/>
              <w:rPr>
                <w:sz w:val="18"/>
                <w:szCs w:val="18"/>
              </w:rPr>
            </w:pPr>
          </w:p>
        </w:tc>
        <w:tc>
          <w:tcPr>
            <w:tcW w:w="132" w:type="pct"/>
            <w:vAlign w:val="center"/>
          </w:tcPr>
          <w:p w14:paraId="51BE1DBD">
            <w:pPr>
              <w:jc w:val="right"/>
              <w:rPr>
                <w:sz w:val="18"/>
                <w:szCs w:val="18"/>
              </w:rPr>
            </w:pPr>
          </w:p>
        </w:tc>
        <w:tc>
          <w:tcPr>
            <w:tcW w:w="136" w:type="pct"/>
            <w:vAlign w:val="center"/>
          </w:tcPr>
          <w:p w14:paraId="0587BA39">
            <w:pPr>
              <w:jc w:val="right"/>
              <w:rPr>
                <w:sz w:val="18"/>
                <w:szCs w:val="18"/>
              </w:rPr>
            </w:pPr>
          </w:p>
        </w:tc>
        <w:tc>
          <w:tcPr>
            <w:tcW w:w="89" w:type="pct"/>
            <w:vAlign w:val="center"/>
          </w:tcPr>
          <w:p w14:paraId="42FFD906">
            <w:pPr>
              <w:jc w:val="right"/>
              <w:rPr>
                <w:sz w:val="18"/>
                <w:szCs w:val="18"/>
              </w:rPr>
            </w:pPr>
          </w:p>
        </w:tc>
        <w:tc>
          <w:tcPr>
            <w:tcW w:w="442" w:type="pct"/>
            <w:vAlign w:val="center"/>
          </w:tcPr>
          <w:p w14:paraId="6C359D7C">
            <w:pPr>
              <w:jc w:val="right"/>
              <w:rPr>
                <w:sz w:val="18"/>
                <w:szCs w:val="18"/>
              </w:rPr>
            </w:pPr>
          </w:p>
        </w:tc>
        <w:tc>
          <w:tcPr>
            <w:tcW w:w="89" w:type="pct"/>
            <w:vAlign w:val="center"/>
          </w:tcPr>
          <w:p w14:paraId="5FE783DF">
            <w:pPr>
              <w:jc w:val="right"/>
              <w:rPr>
                <w:sz w:val="18"/>
                <w:szCs w:val="18"/>
              </w:rPr>
            </w:pPr>
          </w:p>
        </w:tc>
        <w:tc>
          <w:tcPr>
            <w:tcW w:w="398" w:type="pct"/>
            <w:vAlign w:val="center"/>
          </w:tcPr>
          <w:p w14:paraId="4FBAFC85">
            <w:pPr>
              <w:jc w:val="right"/>
              <w:rPr>
                <w:sz w:val="18"/>
                <w:szCs w:val="18"/>
              </w:rPr>
            </w:pPr>
          </w:p>
        </w:tc>
        <w:tc>
          <w:tcPr>
            <w:tcW w:w="133" w:type="pct"/>
            <w:vAlign w:val="center"/>
          </w:tcPr>
          <w:p w14:paraId="5376537B">
            <w:pPr>
              <w:jc w:val="right"/>
              <w:rPr>
                <w:sz w:val="18"/>
                <w:szCs w:val="18"/>
              </w:rPr>
            </w:pPr>
          </w:p>
        </w:tc>
        <w:tc>
          <w:tcPr>
            <w:tcW w:w="442" w:type="pct"/>
            <w:vAlign w:val="center"/>
          </w:tcPr>
          <w:p w14:paraId="7D6D755D">
            <w:pPr>
              <w:jc w:val="right"/>
              <w:rPr>
                <w:sz w:val="18"/>
                <w:szCs w:val="18"/>
              </w:rPr>
            </w:pPr>
          </w:p>
        </w:tc>
        <w:tc>
          <w:tcPr>
            <w:tcW w:w="119" w:type="pct"/>
            <w:vAlign w:val="center"/>
          </w:tcPr>
          <w:p w14:paraId="6B3C6F43">
            <w:pPr>
              <w:jc w:val="right"/>
              <w:rPr>
                <w:sz w:val="18"/>
                <w:szCs w:val="18"/>
              </w:rPr>
            </w:pPr>
          </w:p>
        </w:tc>
        <w:tc>
          <w:tcPr>
            <w:tcW w:w="501" w:type="pct"/>
            <w:vAlign w:val="center"/>
          </w:tcPr>
          <w:p w14:paraId="08854E8F">
            <w:pPr>
              <w:jc w:val="right"/>
              <w:rPr>
                <w:sz w:val="18"/>
                <w:szCs w:val="18"/>
              </w:rPr>
            </w:pPr>
          </w:p>
        </w:tc>
        <w:tc>
          <w:tcPr>
            <w:tcW w:w="125" w:type="pct"/>
            <w:vAlign w:val="center"/>
          </w:tcPr>
          <w:p w14:paraId="7D23891B">
            <w:pPr>
              <w:jc w:val="right"/>
              <w:rPr>
                <w:sz w:val="18"/>
                <w:szCs w:val="18"/>
              </w:rPr>
            </w:pPr>
          </w:p>
        </w:tc>
        <w:tc>
          <w:tcPr>
            <w:tcW w:w="463" w:type="pct"/>
            <w:vAlign w:val="center"/>
          </w:tcPr>
          <w:p w14:paraId="574FC3BF">
            <w:pPr>
              <w:jc w:val="right"/>
              <w:rPr>
                <w:sz w:val="18"/>
                <w:szCs w:val="18"/>
              </w:rPr>
            </w:pPr>
          </w:p>
        </w:tc>
        <w:tc>
          <w:tcPr>
            <w:tcW w:w="425" w:type="pct"/>
            <w:vAlign w:val="center"/>
          </w:tcPr>
          <w:p w14:paraId="2A1568CE">
            <w:pPr>
              <w:jc w:val="right"/>
              <w:rPr>
                <w:sz w:val="18"/>
                <w:szCs w:val="18"/>
              </w:rPr>
            </w:pPr>
          </w:p>
        </w:tc>
        <w:tc>
          <w:tcPr>
            <w:tcW w:w="531" w:type="pct"/>
            <w:vAlign w:val="center"/>
          </w:tcPr>
          <w:p w14:paraId="12626854">
            <w:pPr>
              <w:jc w:val="right"/>
              <w:rPr>
                <w:sz w:val="18"/>
                <w:szCs w:val="18"/>
              </w:rPr>
            </w:pPr>
          </w:p>
        </w:tc>
      </w:tr>
      <w:tr w14:paraId="2D2DD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8fb1d678e8ca4e3ba31e34bed05e6c58"/>
            <w:id w:val="-315025349"/>
          </w:sdtPr>
          <w:sdtContent>
            <w:tc>
              <w:tcPr>
                <w:tcW w:w="487" w:type="pct"/>
                <w:vAlign w:val="center"/>
              </w:tcPr>
              <w:p w14:paraId="60D9DF3D">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三</w:t>
                </w:r>
                <w:r>
                  <w:rPr>
                    <w:color w:val="000000" w:themeColor="text1"/>
                    <w:sz w:val="18"/>
                    <w:szCs w:val="18"/>
                    <w14:textFill>
                      <w14:solidFill>
                        <w14:schemeClr w14:val="tx1"/>
                      </w14:solidFill>
                    </w14:textFill>
                  </w:rPr>
                  <w:t>）利润分配</w:t>
                </w:r>
              </w:p>
            </w:tc>
          </w:sdtContent>
        </w:sdt>
        <w:tc>
          <w:tcPr>
            <w:tcW w:w="488" w:type="pct"/>
            <w:vAlign w:val="center"/>
          </w:tcPr>
          <w:p w14:paraId="21561515">
            <w:pPr>
              <w:jc w:val="right"/>
              <w:rPr>
                <w:sz w:val="18"/>
                <w:szCs w:val="18"/>
              </w:rPr>
            </w:pPr>
          </w:p>
        </w:tc>
        <w:tc>
          <w:tcPr>
            <w:tcW w:w="132" w:type="pct"/>
            <w:vAlign w:val="center"/>
          </w:tcPr>
          <w:p w14:paraId="7E738C02">
            <w:pPr>
              <w:jc w:val="right"/>
              <w:rPr>
                <w:sz w:val="18"/>
                <w:szCs w:val="18"/>
              </w:rPr>
            </w:pPr>
          </w:p>
        </w:tc>
        <w:tc>
          <w:tcPr>
            <w:tcW w:w="136" w:type="pct"/>
            <w:vAlign w:val="center"/>
          </w:tcPr>
          <w:p w14:paraId="31CF3093">
            <w:pPr>
              <w:jc w:val="right"/>
              <w:rPr>
                <w:sz w:val="18"/>
                <w:szCs w:val="18"/>
              </w:rPr>
            </w:pPr>
          </w:p>
        </w:tc>
        <w:tc>
          <w:tcPr>
            <w:tcW w:w="89" w:type="pct"/>
            <w:vAlign w:val="center"/>
          </w:tcPr>
          <w:p w14:paraId="74873703">
            <w:pPr>
              <w:jc w:val="right"/>
              <w:rPr>
                <w:sz w:val="18"/>
                <w:szCs w:val="18"/>
              </w:rPr>
            </w:pPr>
          </w:p>
        </w:tc>
        <w:tc>
          <w:tcPr>
            <w:tcW w:w="442" w:type="pct"/>
            <w:vAlign w:val="center"/>
          </w:tcPr>
          <w:p w14:paraId="02567677">
            <w:pPr>
              <w:jc w:val="right"/>
              <w:rPr>
                <w:sz w:val="18"/>
                <w:szCs w:val="18"/>
              </w:rPr>
            </w:pPr>
          </w:p>
        </w:tc>
        <w:tc>
          <w:tcPr>
            <w:tcW w:w="89" w:type="pct"/>
            <w:vAlign w:val="center"/>
          </w:tcPr>
          <w:p w14:paraId="4A0B56D2">
            <w:pPr>
              <w:jc w:val="right"/>
              <w:rPr>
                <w:sz w:val="18"/>
                <w:szCs w:val="18"/>
              </w:rPr>
            </w:pPr>
          </w:p>
        </w:tc>
        <w:tc>
          <w:tcPr>
            <w:tcW w:w="398" w:type="pct"/>
            <w:vAlign w:val="center"/>
          </w:tcPr>
          <w:p w14:paraId="300E9AD9">
            <w:pPr>
              <w:jc w:val="right"/>
              <w:rPr>
                <w:sz w:val="18"/>
                <w:szCs w:val="18"/>
              </w:rPr>
            </w:pPr>
          </w:p>
        </w:tc>
        <w:tc>
          <w:tcPr>
            <w:tcW w:w="133" w:type="pct"/>
            <w:vAlign w:val="center"/>
          </w:tcPr>
          <w:p w14:paraId="3B57382C">
            <w:pPr>
              <w:jc w:val="right"/>
              <w:rPr>
                <w:sz w:val="18"/>
                <w:szCs w:val="18"/>
              </w:rPr>
            </w:pPr>
          </w:p>
        </w:tc>
        <w:tc>
          <w:tcPr>
            <w:tcW w:w="442" w:type="pct"/>
            <w:vAlign w:val="center"/>
          </w:tcPr>
          <w:p w14:paraId="1C12B273">
            <w:pPr>
              <w:jc w:val="right"/>
              <w:rPr>
                <w:sz w:val="18"/>
                <w:szCs w:val="18"/>
              </w:rPr>
            </w:pPr>
          </w:p>
        </w:tc>
        <w:tc>
          <w:tcPr>
            <w:tcW w:w="119" w:type="pct"/>
            <w:vAlign w:val="center"/>
          </w:tcPr>
          <w:p w14:paraId="14549DAD">
            <w:pPr>
              <w:jc w:val="right"/>
              <w:rPr>
                <w:sz w:val="18"/>
                <w:szCs w:val="18"/>
              </w:rPr>
            </w:pPr>
          </w:p>
        </w:tc>
        <w:tc>
          <w:tcPr>
            <w:tcW w:w="501" w:type="pct"/>
            <w:vAlign w:val="center"/>
          </w:tcPr>
          <w:p w14:paraId="0D31BCA9">
            <w:pPr>
              <w:jc w:val="right"/>
              <w:rPr>
                <w:sz w:val="18"/>
                <w:szCs w:val="18"/>
              </w:rPr>
            </w:pPr>
            <w:r>
              <w:rPr>
                <w:sz w:val="18"/>
                <w:szCs w:val="18"/>
              </w:rPr>
              <w:t>-8,970,505.03</w:t>
            </w:r>
          </w:p>
        </w:tc>
        <w:tc>
          <w:tcPr>
            <w:tcW w:w="125" w:type="pct"/>
            <w:vAlign w:val="center"/>
          </w:tcPr>
          <w:p w14:paraId="481F4575">
            <w:pPr>
              <w:jc w:val="right"/>
              <w:rPr>
                <w:sz w:val="18"/>
                <w:szCs w:val="18"/>
              </w:rPr>
            </w:pPr>
          </w:p>
        </w:tc>
        <w:tc>
          <w:tcPr>
            <w:tcW w:w="463" w:type="pct"/>
            <w:vAlign w:val="center"/>
          </w:tcPr>
          <w:p w14:paraId="72B87DD5">
            <w:pPr>
              <w:jc w:val="right"/>
              <w:rPr>
                <w:sz w:val="18"/>
                <w:szCs w:val="18"/>
              </w:rPr>
            </w:pPr>
            <w:r>
              <w:rPr>
                <w:sz w:val="18"/>
                <w:szCs w:val="18"/>
              </w:rPr>
              <w:t>-8,970,505.03</w:t>
            </w:r>
          </w:p>
        </w:tc>
        <w:tc>
          <w:tcPr>
            <w:tcW w:w="425" w:type="pct"/>
            <w:vAlign w:val="center"/>
          </w:tcPr>
          <w:p w14:paraId="2AC03689">
            <w:pPr>
              <w:jc w:val="right"/>
              <w:rPr>
                <w:sz w:val="18"/>
                <w:szCs w:val="18"/>
              </w:rPr>
            </w:pPr>
          </w:p>
        </w:tc>
        <w:tc>
          <w:tcPr>
            <w:tcW w:w="531" w:type="pct"/>
            <w:vAlign w:val="center"/>
          </w:tcPr>
          <w:p w14:paraId="2AF8FDD0">
            <w:pPr>
              <w:jc w:val="right"/>
              <w:rPr>
                <w:sz w:val="18"/>
                <w:szCs w:val="18"/>
              </w:rPr>
            </w:pPr>
            <w:r>
              <w:rPr>
                <w:sz w:val="18"/>
                <w:szCs w:val="18"/>
              </w:rPr>
              <w:t>-8,970,505.03</w:t>
            </w:r>
          </w:p>
        </w:tc>
      </w:tr>
      <w:tr w14:paraId="4754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5badbc22860d48e29f8d8d9a4a633d8c"/>
            <w:id w:val="-345016983"/>
          </w:sdtPr>
          <w:sdtContent>
            <w:tc>
              <w:tcPr>
                <w:tcW w:w="487" w:type="pct"/>
                <w:vAlign w:val="center"/>
              </w:tcPr>
              <w:p w14:paraId="52D57CFB">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1．提取盈余公积</w:t>
                </w:r>
              </w:p>
            </w:tc>
          </w:sdtContent>
        </w:sdt>
        <w:tc>
          <w:tcPr>
            <w:tcW w:w="488" w:type="pct"/>
            <w:vAlign w:val="center"/>
          </w:tcPr>
          <w:p w14:paraId="632894C7">
            <w:pPr>
              <w:jc w:val="right"/>
              <w:rPr>
                <w:sz w:val="18"/>
                <w:szCs w:val="18"/>
              </w:rPr>
            </w:pPr>
          </w:p>
        </w:tc>
        <w:tc>
          <w:tcPr>
            <w:tcW w:w="132" w:type="pct"/>
            <w:vAlign w:val="center"/>
          </w:tcPr>
          <w:p w14:paraId="26E09034">
            <w:pPr>
              <w:jc w:val="right"/>
              <w:rPr>
                <w:sz w:val="18"/>
                <w:szCs w:val="18"/>
              </w:rPr>
            </w:pPr>
          </w:p>
        </w:tc>
        <w:tc>
          <w:tcPr>
            <w:tcW w:w="136" w:type="pct"/>
            <w:vAlign w:val="center"/>
          </w:tcPr>
          <w:p w14:paraId="1008E2AD">
            <w:pPr>
              <w:jc w:val="right"/>
              <w:rPr>
                <w:sz w:val="18"/>
                <w:szCs w:val="18"/>
              </w:rPr>
            </w:pPr>
          </w:p>
        </w:tc>
        <w:tc>
          <w:tcPr>
            <w:tcW w:w="89" w:type="pct"/>
            <w:vAlign w:val="center"/>
          </w:tcPr>
          <w:p w14:paraId="3FECBAC6">
            <w:pPr>
              <w:jc w:val="right"/>
              <w:rPr>
                <w:sz w:val="18"/>
                <w:szCs w:val="18"/>
              </w:rPr>
            </w:pPr>
          </w:p>
        </w:tc>
        <w:tc>
          <w:tcPr>
            <w:tcW w:w="442" w:type="pct"/>
            <w:vAlign w:val="center"/>
          </w:tcPr>
          <w:p w14:paraId="77C6130C">
            <w:pPr>
              <w:jc w:val="right"/>
              <w:rPr>
                <w:sz w:val="18"/>
                <w:szCs w:val="18"/>
              </w:rPr>
            </w:pPr>
          </w:p>
        </w:tc>
        <w:tc>
          <w:tcPr>
            <w:tcW w:w="89" w:type="pct"/>
            <w:vAlign w:val="center"/>
          </w:tcPr>
          <w:p w14:paraId="04D59A64">
            <w:pPr>
              <w:jc w:val="right"/>
              <w:rPr>
                <w:sz w:val="18"/>
                <w:szCs w:val="18"/>
              </w:rPr>
            </w:pPr>
          </w:p>
        </w:tc>
        <w:tc>
          <w:tcPr>
            <w:tcW w:w="398" w:type="pct"/>
            <w:vAlign w:val="center"/>
          </w:tcPr>
          <w:p w14:paraId="11909884">
            <w:pPr>
              <w:jc w:val="right"/>
              <w:rPr>
                <w:sz w:val="18"/>
                <w:szCs w:val="18"/>
              </w:rPr>
            </w:pPr>
          </w:p>
        </w:tc>
        <w:tc>
          <w:tcPr>
            <w:tcW w:w="133" w:type="pct"/>
            <w:vAlign w:val="center"/>
          </w:tcPr>
          <w:p w14:paraId="7337BD8B">
            <w:pPr>
              <w:jc w:val="right"/>
              <w:rPr>
                <w:sz w:val="18"/>
                <w:szCs w:val="18"/>
              </w:rPr>
            </w:pPr>
          </w:p>
        </w:tc>
        <w:tc>
          <w:tcPr>
            <w:tcW w:w="442" w:type="pct"/>
            <w:vAlign w:val="center"/>
          </w:tcPr>
          <w:p w14:paraId="3C6F632D">
            <w:pPr>
              <w:jc w:val="right"/>
              <w:rPr>
                <w:sz w:val="18"/>
                <w:szCs w:val="18"/>
              </w:rPr>
            </w:pPr>
          </w:p>
        </w:tc>
        <w:tc>
          <w:tcPr>
            <w:tcW w:w="119" w:type="pct"/>
            <w:vAlign w:val="center"/>
          </w:tcPr>
          <w:p w14:paraId="183C7B8F">
            <w:pPr>
              <w:jc w:val="right"/>
              <w:rPr>
                <w:sz w:val="18"/>
                <w:szCs w:val="18"/>
              </w:rPr>
            </w:pPr>
          </w:p>
        </w:tc>
        <w:tc>
          <w:tcPr>
            <w:tcW w:w="501" w:type="pct"/>
            <w:vAlign w:val="center"/>
          </w:tcPr>
          <w:p w14:paraId="635CD7FE">
            <w:pPr>
              <w:jc w:val="right"/>
              <w:rPr>
                <w:sz w:val="18"/>
                <w:szCs w:val="18"/>
              </w:rPr>
            </w:pPr>
          </w:p>
        </w:tc>
        <w:tc>
          <w:tcPr>
            <w:tcW w:w="125" w:type="pct"/>
            <w:vAlign w:val="center"/>
          </w:tcPr>
          <w:p w14:paraId="7BD70A34">
            <w:pPr>
              <w:jc w:val="right"/>
              <w:rPr>
                <w:sz w:val="18"/>
                <w:szCs w:val="18"/>
              </w:rPr>
            </w:pPr>
          </w:p>
        </w:tc>
        <w:tc>
          <w:tcPr>
            <w:tcW w:w="463" w:type="pct"/>
            <w:vAlign w:val="center"/>
          </w:tcPr>
          <w:p w14:paraId="03AF726B">
            <w:pPr>
              <w:jc w:val="right"/>
              <w:rPr>
                <w:sz w:val="18"/>
                <w:szCs w:val="18"/>
              </w:rPr>
            </w:pPr>
          </w:p>
        </w:tc>
        <w:tc>
          <w:tcPr>
            <w:tcW w:w="425" w:type="pct"/>
            <w:vAlign w:val="center"/>
          </w:tcPr>
          <w:p w14:paraId="7CC51A5B">
            <w:pPr>
              <w:jc w:val="right"/>
              <w:rPr>
                <w:sz w:val="18"/>
                <w:szCs w:val="18"/>
              </w:rPr>
            </w:pPr>
          </w:p>
        </w:tc>
        <w:tc>
          <w:tcPr>
            <w:tcW w:w="531" w:type="pct"/>
            <w:vAlign w:val="center"/>
          </w:tcPr>
          <w:p w14:paraId="30910AB3">
            <w:pPr>
              <w:jc w:val="right"/>
              <w:rPr>
                <w:sz w:val="18"/>
                <w:szCs w:val="18"/>
              </w:rPr>
            </w:pPr>
          </w:p>
        </w:tc>
      </w:tr>
      <w:tr w14:paraId="15DA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2c8b649d670044a9b5fda521dd40705d"/>
            <w:id w:val="-1505345952"/>
          </w:sdtPr>
          <w:sdtContent>
            <w:tc>
              <w:tcPr>
                <w:tcW w:w="487" w:type="pct"/>
                <w:vAlign w:val="center"/>
              </w:tcPr>
              <w:p w14:paraId="03AB22A4">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2．提取一般风险准备</w:t>
                </w:r>
              </w:p>
            </w:tc>
          </w:sdtContent>
        </w:sdt>
        <w:tc>
          <w:tcPr>
            <w:tcW w:w="488" w:type="pct"/>
            <w:vAlign w:val="center"/>
          </w:tcPr>
          <w:p w14:paraId="575CA519">
            <w:pPr>
              <w:jc w:val="right"/>
              <w:rPr>
                <w:sz w:val="18"/>
                <w:szCs w:val="18"/>
              </w:rPr>
            </w:pPr>
          </w:p>
        </w:tc>
        <w:tc>
          <w:tcPr>
            <w:tcW w:w="132" w:type="pct"/>
            <w:vAlign w:val="center"/>
          </w:tcPr>
          <w:p w14:paraId="1836A0C7">
            <w:pPr>
              <w:jc w:val="right"/>
              <w:rPr>
                <w:sz w:val="18"/>
                <w:szCs w:val="18"/>
              </w:rPr>
            </w:pPr>
          </w:p>
        </w:tc>
        <w:tc>
          <w:tcPr>
            <w:tcW w:w="136" w:type="pct"/>
            <w:vAlign w:val="center"/>
          </w:tcPr>
          <w:p w14:paraId="02C2ACF7">
            <w:pPr>
              <w:jc w:val="right"/>
              <w:rPr>
                <w:sz w:val="18"/>
                <w:szCs w:val="18"/>
              </w:rPr>
            </w:pPr>
          </w:p>
        </w:tc>
        <w:tc>
          <w:tcPr>
            <w:tcW w:w="89" w:type="pct"/>
            <w:vAlign w:val="center"/>
          </w:tcPr>
          <w:p w14:paraId="01723BD4">
            <w:pPr>
              <w:jc w:val="right"/>
              <w:rPr>
                <w:sz w:val="18"/>
                <w:szCs w:val="18"/>
              </w:rPr>
            </w:pPr>
          </w:p>
        </w:tc>
        <w:tc>
          <w:tcPr>
            <w:tcW w:w="442" w:type="pct"/>
            <w:vAlign w:val="center"/>
          </w:tcPr>
          <w:p w14:paraId="166DDB0F">
            <w:pPr>
              <w:jc w:val="right"/>
              <w:rPr>
                <w:sz w:val="18"/>
                <w:szCs w:val="18"/>
              </w:rPr>
            </w:pPr>
          </w:p>
        </w:tc>
        <w:tc>
          <w:tcPr>
            <w:tcW w:w="89" w:type="pct"/>
            <w:vAlign w:val="center"/>
          </w:tcPr>
          <w:p w14:paraId="0F798AEA">
            <w:pPr>
              <w:jc w:val="right"/>
              <w:rPr>
                <w:sz w:val="18"/>
                <w:szCs w:val="18"/>
              </w:rPr>
            </w:pPr>
          </w:p>
        </w:tc>
        <w:tc>
          <w:tcPr>
            <w:tcW w:w="398" w:type="pct"/>
            <w:vAlign w:val="center"/>
          </w:tcPr>
          <w:p w14:paraId="44D2E9C3">
            <w:pPr>
              <w:jc w:val="right"/>
              <w:rPr>
                <w:sz w:val="18"/>
                <w:szCs w:val="18"/>
              </w:rPr>
            </w:pPr>
          </w:p>
        </w:tc>
        <w:tc>
          <w:tcPr>
            <w:tcW w:w="133" w:type="pct"/>
            <w:vAlign w:val="center"/>
          </w:tcPr>
          <w:p w14:paraId="6A5EB70F">
            <w:pPr>
              <w:jc w:val="right"/>
              <w:rPr>
                <w:sz w:val="18"/>
                <w:szCs w:val="18"/>
              </w:rPr>
            </w:pPr>
          </w:p>
        </w:tc>
        <w:tc>
          <w:tcPr>
            <w:tcW w:w="442" w:type="pct"/>
            <w:vAlign w:val="center"/>
          </w:tcPr>
          <w:p w14:paraId="4EA1A8F8">
            <w:pPr>
              <w:jc w:val="right"/>
              <w:rPr>
                <w:sz w:val="18"/>
                <w:szCs w:val="18"/>
              </w:rPr>
            </w:pPr>
          </w:p>
        </w:tc>
        <w:tc>
          <w:tcPr>
            <w:tcW w:w="119" w:type="pct"/>
            <w:vAlign w:val="center"/>
          </w:tcPr>
          <w:p w14:paraId="2ADC08DD">
            <w:pPr>
              <w:jc w:val="right"/>
              <w:rPr>
                <w:sz w:val="18"/>
                <w:szCs w:val="18"/>
              </w:rPr>
            </w:pPr>
          </w:p>
        </w:tc>
        <w:tc>
          <w:tcPr>
            <w:tcW w:w="501" w:type="pct"/>
            <w:vAlign w:val="center"/>
          </w:tcPr>
          <w:p w14:paraId="564CC6CC">
            <w:pPr>
              <w:jc w:val="right"/>
              <w:rPr>
                <w:sz w:val="18"/>
                <w:szCs w:val="18"/>
              </w:rPr>
            </w:pPr>
          </w:p>
        </w:tc>
        <w:tc>
          <w:tcPr>
            <w:tcW w:w="125" w:type="pct"/>
            <w:vAlign w:val="center"/>
          </w:tcPr>
          <w:p w14:paraId="5A736902">
            <w:pPr>
              <w:jc w:val="right"/>
              <w:rPr>
                <w:sz w:val="18"/>
                <w:szCs w:val="18"/>
              </w:rPr>
            </w:pPr>
          </w:p>
        </w:tc>
        <w:tc>
          <w:tcPr>
            <w:tcW w:w="463" w:type="pct"/>
            <w:vAlign w:val="center"/>
          </w:tcPr>
          <w:p w14:paraId="189056F5">
            <w:pPr>
              <w:jc w:val="right"/>
              <w:rPr>
                <w:sz w:val="18"/>
                <w:szCs w:val="18"/>
              </w:rPr>
            </w:pPr>
          </w:p>
        </w:tc>
        <w:tc>
          <w:tcPr>
            <w:tcW w:w="425" w:type="pct"/>
            <w:vAlign w:val="center"/>
          </w:tcPr>
          <w:p w14:paraId="7464B7B0">
            <w:pPr>
              <w:jc w:val="right"/>
              <w:rPr>
                <w:sz w:val="18"/>
                <w:szCs w:val="18"/>
              </w:rPr>
            </w:pPr>
          </w:p>
        </w:tc>
        <w:tc>
          <w:tcPr>
            <w:tcW w:w="531" w:type="pct"/>
            <w:vAlign w:val="center"/>
          </w:tcPr>
          <w:p w14:paraId="56E7CE1A">
            <w:pPr>
              <w:jc w:val="right"/>
              <w:rPr>
                <w:sz w:val="18"/>
                <w:szCs w:val="18"/>
              </w:rPr>
            </w:pPr>
          </w:p>
        </w:tc>
      </w:tr>
      <w:tr w14:paraId="6469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254428ff3bee49c2acd11ef634901543"/>
            <w:id w:val="1041942231"/>
          </w:sdtPr>
          <w:sdtContent>
            <w:tc>
              <w:tcPr>
                <w:tcW w:w="487" w:type="pct"/>
                <w:vAlign w:val="center"/>
              </w:tcPr>
              <w:p w14:paraId="7EAC1708">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3．对所有者（或股东）的分配</w:t>
                </w:r>
              </w:p>
            </w:tc>
          </w:sdtContent>
        </w:sdt>
        <w:tc>
          <w:tcPr>
            <w:tcW w:w="488" w:type="pct"/>
            <w:vAlign w:val="center"/>
          </w:tcPr>
          <w:p w14:paraId="2AFC89EA">
            <w:pPr>
              <w:jc w:val="right"/>
              <w:rPr>
                <w:sz w:val="18"/>
                <w:szCs w:val="18"/>
              </w:rPr>
            </w:pPr>
          </w:p>
        </w:tc>
        <w:tc>
          <w:tcPr>
            <w:tcW w:w="132" w:type="pct"/>
            <w:vAlign w:val="center"/>
          </w:tcPr>
          <w:p w14:paraId="3543A129">
            <w:pPr>
              <w:jc w:val="right"/>
              <w:rPr>
                <w:sz w:val="18"/>
                <w:szCs w:val="18"/>
              </w:rPr>
            </w:pPr>
          </w:p>
        </w:tc>
        <w:tc>
          <w:tcPr>
            <w:tcW w:w="136" w:type="pct"/>
            <w:vAlign w:val="center"/>
          </w:tcPr>
          <w:p w14:paraId="7E8A82D9">
            <w:pPr>
              <w:jc w:val="right"/>
              <w:rPr>
                <w:sz w:val="18"/>
                <w:szCs w:val="18"/>
              </w:rPr>
            </w:pPr>
          </w:p>
        </w:tc>
        <w:tc>
          <w:tcPr>
            <w:tcW w:w="89" w:type="pct"/>
            <w:vAlign w:val="center"/>
          </w:tcPr>
          <w:p w14:paraId="22CAC0AF">
            <w:pPr>
              <w:jc w:val="right"/>
              <w:rPr>
                <w:sz w:val="18"/>
                <w:szCs w:val="18"/>
              </w:rPr>
            </w:pPr>
          </w:p>
        </w:tc>
        <w:tc>
          <w:tcPr>
            <w:tcW w:w="442" w:type="pct"/>
            <w:vAlign w:val="center"/>
          </w:tcPr>
          <w:p w14:paraId="574ECB2C">
            <w:pPr>
              <w:jc w:val="right"/>
              <w:rPr>
                <w:sz w:val="18"/>
                <w:szCs w:val="18"/>
              </w:rPr>
            </w:pPr>
          </w:p>
        </w:tc>
        <w:tc>
          <w:tcPr>
            <w:tcW w:w="89" w:type="pct"/>
            <w:vAlign w:val="center"/>
          </w:tcPr>
          <w:p w14:paraId="04D52969">
            <w:pPr>
              <w:jc w:val="right"/>
              <w:rPr>
                <w:sz w:val="18"/>
                <w:szCs w:val="18"/>
              </w:rPr>
            </w:pPr>
          </w:p>
        </w:tc>
        <w:tc>
          <w:tcPr>
            <w:tcW w:w="398" w:type="pct"/>
            <w:vAlign w:val="center"/>
          </w:tcPr>
          <w:p w14:paraId="00A24D22">
            <w:pPr>
              <w:jc w:val="right"/>
              <w:rPr>
                <w:sz w:val="18"/>
                <w:szCs w:val="18"/>
              </w:rPr>
            </w:pPr>
          </w:p>
        </w:tc>
        <w:tc>
          <w:tcPr>
            <w:tcW w:w="133" w:type="pct"/>
            <w:vAlign w:val="center"/>
          </w:tcPr>
          <w:p w14:paraId="6D75B65D">
            <w:pPr>
              <w:jc w:val="right"/>
              <w:rPr>
                <w:sz w:val="18"/>
                <w:szCs w:val="18"/>
              </w:rPr>
            </w:pPr>
          </w:p>
        </w:tc>
        <w:tc>
          <w:tcPr>
            <w:tcW w:w="442" w:type="pct"/>
            <w:vAlign w:val="center"/>
          </w:tcPr>
          <w:p w14:paraId="57E203A6">
            <w:pPr>
              <w:jc w:val="right"/>
              <w:rPr>
                <w:sz w:val="18"/>
                <w:szCs w:val="18"/>
              </w:rPr>
            </w:pPr>
          </w:p>
        </w:tc>
        <w:tc>
          <w:tcPr>
            <w:tcW w:w="119" w:type="pct"/>
            <w:vAlign w:val="center"/>
          </w:tcPr>
          <w:p w14:paraId="14B2D20C">
            <w:pPr>
              <w:jc w:val="right"/>
              <w:rPr>
                <w:sz w:val="18"/>
                <w:szCs w:val="18"/>
              </w:rPr>
            </w:pPr>
          </w:p>
        </w:tc>
        <w:tc>
          <w:tcPr>
            <w:tcW w:w="501" w:type="pct"/>
            <w:vAlign w:val="center"/>
          </w:tcPr>
          <w:p w14:paraId="2B30C890">
            <w:pPr>
              <w:jc w:val="right"/>
              <w:rPr>
                <w:sz w:val="18"/>
                <w:szCs w:val="18"/>
              </w:rPr>
            </w:pPr>
            <w:r>
              <w:rPr>
                <w:sz w:val="18"/>
                <w:szCs w:val="18"/>
              </w:rPr>
              <w:t>-8,970,505.03</w:t>
            </w:r>
          </w:p>
        </w:tc>
        <w:tc>
          <w:tcPr>
            <w:tcW w:w="125" w:type="pct"/>
            <w:vAlign w:val="center"/>
          </w:tcPr>
          <w:p w14:paraId="098B0A9E">
            <w:pPr>
              <w:jc w:val="right"/>
              <w:rPr>
                <w:sz w:val="18"/>
                <w:szCs w:val="18"/>
              </w:rPr>
            </w:pPr>
          </w:p>
        </w:tc>
        <w:tc>
          <w:tcPr>
            <w:tcW w:w="463" w:type="pct"/>
            <w:vAlign w:val="center"/>
          </w:tcPr>
          <w:p w14:paraId="3622FBC2">
            <w:pPr>
              <w:jc w:val="right"/>
              <w:rPr>
                <w:sz w:val="18"/>
                <w:szCs w:val="18"/>
              </w:rPr>
            </w:pPr>
            <w:r>
              <w:rPr>
                <w:sz w:val="18"/>
                <w:szCs w:val="18"/>
              </w:rPr>
              <w:t>-8,970,505.03</w:t>
            </w:r>
          </w:p>
        </w:tc>
        <w:tc>
          <w:tcPr>
            <w:tcW w:w="425" w:type="pct"/>
            <w:vAlign w:val="center"/>
          </w:tcPr>
          <w:p w14:paraId="77210954">
            <w:pPr>
              <w:jc w:val="right"/>
              <w:rPr>
                <w:sz w:val="18"/>
                <w:szCs w:val="18"/>
              </w:rPr>
            </w:pPr>
          </w:p>
        </w:tc>
        <w:tc>
          <w:tcPr>
            <w:tcW w:w="531" w:type="pct"/>
            <w:vAlign w:val="center"/>
          </w:tcPr>
          <w:p w14:paraId="496FE323">
            <w:pPr>
              <w:jc w:val="right"/>
              <w:rPr>
                <w:sz w:val="18"/>
                <w:szCs w:val="18"/>
              </w:rPr>
            </w:pPr>
            <w:r>
              <w:rPr>
                <w:sz w:val="18"/>
                <w:szCs w:val="18"/>
              </w:rPr>
              <w:t>-8,970,505.03</w:t>
            </w:r>
          </w:p>
        </w:tc>
      </w:tr>
      <w:tr w14:paraId="64C7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b3d350728a6c49ccaa6dbb4adf16c691"/>
            <w:id w:val="-1900287483"/>
          </w:sdtPr>
          <w:sdtContent>
            <w:tc>
              <w:tcPr>
                <w:tcW w:w="487" w:type="pct"/>
                <w:vAlign w:val="center"/>
              </w:tcPr>
              <w:p w14:paraId="3F679B43">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4．其他</w:t>
                </w:r>
              </w:p>
            </w:tc>
          </w:sdtContent>
        </w:sdt>
        <w:tc>
          <w:tcPr>
            <w:tcW w:w="488" w:type="pct"/>
            <w:vAlign w:val="center"/>
          </w:tcPr>
          <w:p w14:paraId="04BC1E0E">
            <w:pPr>
              <w:jc w:val="right"/>
              <w:rPr>
                <w:sz w:val="18"/>
                <w:szCs w:val="18"/>
              </w:rPr>
            </w:pPr>
          </w:p>
        </w:tc>
        <w:tc>
          <w:tcPr>
            <w:tcW w:w="132" w:type="pct"/>
            <w:vAlign w:val="center"/>
          </w:tcPr>
          <w:p w14:paraId="3FD9A1DA">
            <w:pPr>
              <w:jc w:val="right"/>
              <w:rPr>
                <w:sz w:val="18"/>
                <w:szCs w:val="18"/>
              </w:rPr>
            </w:pPr>
          </w:p>
        </w:tc>
        <w:tc>
          <w:tcPr>
            <w:tcW w:w="136" w:type="pct"/>
            <w:vAlign w:val="center"/>
          </w:tcPr>
          <w:p w14:paraId="1B230CD4">
            <w:pPr>
              <w:jc w:val="right"/>
              <w:rPr>
                <w:sz w:val="18"/>
                <w:szCs w:val="18"/>
              </w:rPr>
            </w:pPr>
          </w:p>
        </w:tc>
        <w:tc>
          <w:tcPr>
            <w:tcW w:w="89" w:type="pct"/>
            <w:vAlign w:val="center"/>
          </w:tcPr>
          <w:p w14:paraId="2AAFD252">
            <w:pPr>
              <w:jc w:val="right"/>
              <w:rPr>
                <w:sz w:val="18"/>
                <w:szCs w:val="18"/>
              </w:rPr>
            </w:pPr>
          </w:p>
        </w:tc>
        <w:tc>
          <w:tcPr>
            <w:tcW w:w="442" w:type="pct"/>
            <w:vAlign w:val="center"/>
          </w:tcPr>
          <w:p w14:paraId="36245B32">
            <w:pPr>
              <w:jc w:val="right"/>
              <w:rPr>
                <w:sz w:val="18"/>
                <w:szCs w:val="18"/>
              </w:rPr>
            </w:pPr>
          </w:p>
        </w:tc>
        <w:tc>
          <w:tcPr>
            <w:tcW w:w="89" w:type="pct"/>
            <w:vAlign w:val="center"/>
          </w:tcPr>
          <w:p w14:paraId="2BCB6AFA">
            <w:pPr>
              <w:jc w:val="right"/>
              <w:rPr>
                <w:sz w:val="18"/>
                <w:szCs w:val="18"/>
              </w:rPr>
            </w:pPr>
          </w:p>
        </w:tc>
        <w:tc>
          <w:tcPr>
            <w:tcW w:w="398" w:type="pct"/>
            <w:vAlign w:val="center"/>
          </w:tcPr>
          <w:p w14:paraId="35D3BC2F">
            <w:pPr>
              <w:jc w:val="right"/>
              <w:rPr>
                <w:sz w:val="18"/>
                <w:szCs w:val="18"/>
              </w:rPr>
            </w:pPr>
          </w:p>
        </w:tc>
        <w:tc>
          <w:tcPr>
            <w:tcW w:w="133" w:type="pct"/>
            <w:vAlign w:val="center"/>
          </w:tcPr>
          <w:p w14:paraId="16E715DE">
            <w:pPr>
              <w:jc w:val="right"/>
              <w:rPr>
                <w:sz w:val="18"/>
                <w:szCs w:val="18"/>
              </w:rPr>
            </w:pPr>
          </w:p>
        </w:tc>
        <w:tc>
          <w:tcPr>
            <w:tcW w:w="442" w:type="pct"/>
            <w:vAlign w:val="center"/>
          </w:tcPr>
          <w:p w14:paraId="3A3EA15E">
            <w:pPr>
              <w:jc w:val="right"/>
              <w:rPr>
                <w:sz w:val="18"/>
                <w:szCs w:val="18"/>
              </w:rPr>
            </w:pPr>
          </w:p>
        </w:tc>
        <w:tc>
          <w:tcPr>
            <w:tcW w:w="119" w:type="pct"/>
            <w:vAlign w:val="center"/>
          </w:tcPr>
          <w:p w14:paraId="0FC16413">
            <w:pPr>
              <w:jc w:val="right"/>
              <w:rPr>
                <w:sz w:val="18"/>
                <w:szCs w:val="18"/>
              </w:rPr>
            </w:pPr>
          </w:p>
        </w:tc>
        <w:tc>
          <w:tcPr>
            <w:tcW w:w="501" w:type="pct"/>
            <w:vAlign w:val="center"/>
          </w:tcPr>
          <w:p w14:paraId="0928E6FA">
            <w:pPr>
              <w:jc w:val="right"/>
              <w:rPr>
                <w:sz w:val="18"/>
                <w:szCs w:val="18"/>
              </w:rPr>
            </w:pPr>
          </w:p>
        </w:tc>
        <w:tc>
          <w:tcPr>
            <w:tcW w:w="125" w:type="pct"/>
            <w:vAlign w:val="center"/>
          </w:tcPr>
          <w:p w14:paraId="0131AF89">
            <w:pPr>
              <w:jc w:val="right"/>
              <w:rPr>
                <w:sz w:val="18"/>
                <w:szCs w:val="18"/>
              </w:rPr>
            </w:pPr>
          </w:p>
        </w:tc>
        <w:tc>
          <w:tcPr>
            <w:tcW w:w="463" w:type="pct"/>
            <w:vAlign w:val="center"/>
          </w:tcPr>
          <w:p w14:paraId="6A27BC69">
            <w:pPr>
              <w:jc w:val="right"/>
              <w:rPr>
                <w:sz w:val="18"/>
                <w:szCs w:val="18"/>
              </w:rPr>
            </w:pPr>
          </w:p>
        </w:tc>
        <w:tc>
          <w:tcPr>
            <w:tcW w:w="425" w:type="pct"/>
            <w:vAlign w:val="center"/>
          </w:tcPr>
          <w:p w14:paraId="1173F758">
            <w:pPr>
              <w:jc w:val="right"/>
              <w:rPr>
                <w:sz w:val="18"/>
                <w:szCs w:val="18"/>
              </w:rPr>
            </w:pPr>
          </w:p>
        </w:tc>
        <w:tc>
          <w:tcPr>
            <w:tcW w:w="531" w:type="pct"/>
            <w:vAlign w:val="center"/>
          </w:tcPr>
          <w:p w14:paraId="28E498D4">
            <w:pPr>
              <w:jc w:val="right"/>
              <w:rPr>
                <w:sz w:val="18"/>
                <w:szCs w:val="18"/>
              </w:rPr>
            </w:pPr>
          </w:p>
        </w:tc>
      </w:tr>
      <w:tr w14:paraId="2B7E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03ab84b7536c4ddcaaad4c99a2dd5fd3"/>
            <w:id w:val="587206817"/>
          </w:sdtPr>
          <w:sdtContent>
            <w:tc>
              <w:tcPr>
                <w:tcW w:w="487" w:type="pct"/>
                <w:vAlign w:val="center"/>
              </w:tcPr>
              <w:p w14:paraId="5CBC1895">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四</w:t>
                </w:r>
                <w:r>
                  <w:rPr>
                    <w:color w:val="000000" w:themeColor="text1"/>
                    <w:sz w:val="18"/>
                    <w:szCs w:val="18"/>
                    <w14:textFill>
                      <w14:solidFill>
                        <w14:schemeClr w14:val="tx1"/>
                      </w14:solidFill>
                    </w14:textFill>
                  </w:rPr>
                  <w:t>）所有者权益内部结转</w:t>
                </w:r>
              </w:p>
            </w:tc>
          </w:sdtContent>
        </w:sdt>
        <w:tc>
          <w:tcPr>
            <w:tcW w:w="488" w:type="pct"/>
            <w:vAlign w:val="center"/>
          </w:tcPr>
          <w:p w14:paraId="3707E49F">
            <w:pPr>
              <w:jc w:val="right"/>
              <w:rPr>
                <w:sz w:val="18"/>
                <w:szCs w:val="18"/>
              </w:rPr>
            </w:pPr>
          </w:p>
        </w:tc>
        <w:tc>
          <w:tcPr>
            <w:tcW w:w="132" w:type="pct"/>
            <w:vAlign w:val="center"/>
          </w:tcPr>
          <w:p w14:paraId="44DA6F18">
            <w:pPr>
              <w:jc w:val="right"/>
              <w:rPr>
                <w:sz w:val="18"/>
                <w:szCs w:val="18"/>
              </w:rPr>
            </w:pPr>
          </w:p>
        </w:tc>
        <w:tc>
          <w:tcPr>
            <w:tcW w:w="136" w:type="pct"/>
            <w:vAlign w:val="center"/>
          </w:tcPr>
          <w:p w14:paraId="0AE4C290">
            <w:pPr>
              <w:jc w:val="right"/>
              <w:rPr>
                <w:sz w:val="18"/>
                <w:szCs w:val="18"/>
              </w:rPr>
            </w:pPr>
          </w:p>
        </w:tc>
        <w:tc>
          <w:tcPr>
            <w:tcW w:w="89" w:type="pct"/>
            <w:vAlign w:val="center"/>
          </w:tcPr>
          <w:p w14:paraId="0508D5CC">
            <w:pPr>
              <w:jc w:val="right"/>
              <w:rPr>
                <w:sz w:val="18"/>
                <w:szCs w:val="18"/>
              </w:rPr>
            </w:pPr>
          </w:p>
        </w:tc>
        <w:tc>
          <w:tcPr>
            <w:tcW w:w="442" w:type="pct"/>
            <w:vAlign w:val="center"/>
          </w:tcPr>
          <w:p w14:paraId="3EFEB186">
            <w:pPr>
              <w:jc w:val="right"/>
              <w:rPr>
                <w:sz w:val="18"/>
                <w:szCs w:val="18"/>
              </w:rPr>
            </w:pPr>
          </w:p>
        </w:tc>
        <w:tc>
          <w:tcPr>
            <w:tcW w:w="89" w:type="pct"/>
            <w:vAlign w:val="center"/>
          </w:tcPr>
          <w:p w14:paraId="4BED4748">
            <w:pPr>
              <w:jc w:val="right"/>
              <w:rPr>
                <w:sz w:val="18"/>
                <w:szCs w:val="18"/>
              </w:rPr>
            </w:pPr>
          </w:p>
        </w:tc>
        <w:tc>
          <w:tcPr>
            <w:tcW w:w="398" w:type="pct"/>
            <w:vAlign w:val="center"/>
          </w:tcPr>
          <w:p w14:paraId="68D47AAF">
            <w:pPr>
              <w:jc w:val="right"/>
              <w:rPr>
                <w:sz w:val="18"/>
                <w:szCs w:val="18"/>
              </w:rPr>
            </w:pPr>
          </w:p>
        </w:tc>
        <w:tc>
          <w:tcPr>
            <w:tcW w:w="133" w:type="pct"/>
            <w:vAlign w:val="center"/>
          </w:tcPr>
          <w:p w14:paraId="3A736A22">
            <w:pPr>
              <w:jc w:val="right"/>
              <w:rPr>
                <w:sz w:val="18"/>
                <w:szCs w:val="18"/>
              </w:rPr>
            </w:pPr>
          </w:p>
        </w:tc>
        <w:tc>
          <w:tcPr>
            <w:tcW w:w="442" w:type="pct"/>
            <w:vAlign w:val="center"/>
          </w:tcPr>
          <w:p w14:paraId="78BB7D07">
            <w:pPr>
              <w:jc w:val="right"/>
              <w:rPr>
                <w:sz w:val="18"/>
                <w:szCs w:val="18"/>
              </w:rPr>
            </w:pPr>
          </w:p>
        </w:tc>
        <w:tc>
          <w:tcPr>
            <w:tcW w:w="119" w:type="pct"/>
            <w:vAlign w:val="center"/>
          </w:tcPr>
          <w:p w14:paraId="4BB87E36">
            <w:pPr>
              <w:jc w:val="right"/>
              <w:rPr>
                <w:sz w:val="18"/>
                <w:szCs w:val="18"/>
              </w:rPr>
            </w:pPr>
          </w:p>
        </w:tc>
        <w:tc>
          <w:tcPr>
            <w:tcW w:w="501" w:type="pct"/>
            <w:vAlign w:val="center"/>
          </w:tcPr>
          <w:p w14:paraId="7FCEC371">
            <w:pPr>
              <w:jc w:val="right"/>
              <w:rPr>
                <w:sz w:val="18"/>
                <w:szCs w:val="18"/>
              </w:rPr>
            </w:pPr>
          </w:p>
        </w:tc>
        <w:tc>
          <w:tcPr>
            <w:tcW w:w="125" w:type="pct"/>
            <w:vAlign w:val="center"/>
          </w:tcPr>
          <w:p w14:paraId="3A2CC07C">
            <w:pPr>
              <w:jc w:val="right"/>
              <w:rPr>
                <w:sz w:val="18"/>
                <w:szCs w:val="18"/>
              </w:rPr>
            </w:pPr>
          </w:p>
        </w:tc>
        <w:tc>
          <w:tcPr>
            <w:tcW w:w="463" w:type="pct"/>
            <w:vAlign w:val="center"/>
          </w:tcPr>
          <w:p w14:paraId="61E12764">
            <w:pPr>
              <w:jc w:val="right"/>
              <w:rPr>
                <w:sz w:val="18"/>
                <w:szCs w:val="18"/>
              </w:rPr>
            </w:pPr>
          </w:p>
        </w:tc>
        <w:tc>
          <w:tcPr>
            <w:tcW w:w="425" w:type="pct"/>
            <w:vAlign w:val="center"/>
          </w:tcPr>
          <w:p w14:paraId="15B11912">
            <w:pPr>
              <w:jc w:val="right"/>
              <w:rPr>
                <w:sz w:val="18"/>
                <w:szCs w:val="18"/>
              </w:rPr>
            </w:pPr>
          </w:p>
        </w:tc>
        <w:tc>
          <w:tcPr>
            <w:tcW w:w="531" w:type="pct"/>
            <w:vAlign w:val="center"/>
          </w:tcPr>
          <w:p w14:paraId="461B970A">
            <w:pPr>
              <w:jc w:val="right"/>
              <w:rPr>
                <w:sz w:val="18"/>
                <w:szCs w:val="18"/>
              </w:rPr>
            </w:pPr>
          </w:p>
        </w:tc>
      </w:tr>
      <w:tr w14:paraId="0ADC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88233f88b9ea4ceb82a1cc6cd7a5030d"/>
            <w:id w:val="728269105"/>
          </w:sdtPr>
          <w:sdtContent>
            <w:tc>
              <w:tcPr>
                <w:tcW w:w="487" w:type="pct"/>
                <w:vAlign w:val="center"/>
              </w:tcPr>
              <w:p w14:paraId="2214CA20">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1．资本公积转增资本（或股本）</w:t>
                </w:r>
              </w:p>
            </w:tc>
          </w:sdtContent>
        </w:sdt>
        <w:tc>
          <w:tcPr>
            <w:tcW w:w="488" w:type="pct"/>
            <w:vAlign w:val="center"/>
          </w:tcPr>
          <w:p w14:paraId="129AEE84">
            <w:pPr>
              <w:jc w:val="right"/>
              <w:rPr>
                <w:sz w:val="18"/>
                <w:szCs w:val="18"/>
              </w:rPr>
            </w:pPr>
          </w:p>
        </w:tc>
        <w:tc>
          <w:tcPr>
            <w:tcW w:w="132" w:type="pct"/>
            <w:vAlign w:val="center"/>
          </w:tcPr>
          <w:p w14:paraId="5CBCFCF7">
            <w:pPr>
              <w:jc w:val="right"/>
              <w:rPr>
                <w:sz w:val="18"/>
                <w:szCs w:val="18"/>
              </w:rPr>
            </w:pPr>
          </w:p>
        </w:tc>
        <w:tc>
          <w:tcPr>
            <w:tcW w:w="136" w:type="pct"/>
            <w:vAlign w:val="center"/>
          </w:tcPr>
          <w:p w14:paraId="594186B7">
            <w:pPr>
              <w:jc w:val="right"/>
              <w:rPr>
                <w:sz w:val="18"/>
                <w:szCs w:val="18"/>
              </w:rPr>
            </w:pPr>
          </w:p>
        </w:tc>
        <w:tc>
          <w:tcPr>
            <w:tcW w:w="89" w:type="pct"/>
            <w:vAlign w:val="center"/>
          </w:tcPr>
          <w:p w14:paraId="41DA0567">
            <w:pPr>
              <w:jc w:val="right"/>
              <w:rPr>
                <w:sz w:val="18"/>
                <w:szCs w:val="18"/>
              </w:rPr>
            </w:pPr>
          </w:p>
        </w:tc>
        <w:tc>
          <w:tcPr>
            <w:tcW w:w="442" w:type="pct"/>
            <w:vAlign w:val="center"/>
          </w:tcPr>
          <w:p w14:paraId="640E21F9">
            <w:pPr>
              <w:jc w:val="right"/>
              <w:rPr>
                <w:sz w:val="18"/>
                <w:szCs w:val="18"/>
              </w:rPr>
            </w:pPr>
          </w:p>
        </w:tc>
        <w:tc>
          <w:tcPr>
            <w:tcW w:w="89" w:type="pct"/>
            <w:vAlign w:val="center"/>
          </w:tcPr>
          <w:p w14:paraId="0D3A3A55">
            <w:pPr>
              <w:jc w:val="right"/>
              <w:rPr>
                <w:sz w:val="18"/>
                <w:szCs w:val="18"/>
              </w:rPr>
            </w:pPr>
          </w:p>
        </w:tc>
        <w:tc>
          <w:tcPr>
            <w:tcW w:w="398" w:type="pct"/>
            <w:vAlign w:val="center"/>
          </w:tcPr>
          <w:p w14:paraId="0DDC7F70">
            <w:pPr>
              <w:jc w:val="right"/>
              <w:rPr>
                <w:sz w:val="18"/>
                <w:szCs w:val="18"/>
              </w:rPr>
            </w:pPr>
          </w:p>
        </w:tc>
        <w:tc>
          <w:tcPr>
            <w:tcW w:w="133" w:type="pct"/>
            <w:vAlign w:val="center"/>
          </w:tcPr>
          <w:p w14:paraId="5F1193C6">
            <w:pPr>
              <w:jc w:val="right"/>
              <w:rPr>
                <w:sz w:val="18"/>
                <w:szCs w:val="18"/>
              </w:rPr>
            </w:pPr>
          </w:p>
        </w:tc>
        <w:tc>
          <w:tcPr>
            <w:tcW w:w="442" w:type="pct"/>
            <w:vAlign w:val="center"/>
          </w:tcPr>
          <w:p w14:paraId="405EF396">
            <w:pPr>
              <w:jc w:val="right"/>
              <w:rPr>
                <w:sz w:val="18"/>
                <w:szCs w:val="18"/>
              </w:rPr>
            </w:pPr>
          </w:p>
        </w:tc>
        <w:tc>
          <w:tcPr>
            <w:tcW w:w="119" w:type="pct"/>
            <w:vAlign w:val="center"/>
          </w:tcPr>
          <w:p w14:paraId="15B3A779">
            <w:pPr>
              <w:jc w:val="right"/>
              <w:rPr>
                <w:sz w:val="18"/>
                <w:szCs w:val="18"/>
              </w:rPr>
            </w:pPr>
          </w:p>
        </w:tc>
        <w:tc>
          <w:tcPr>
            <w:tcW w:w="501" w:type="pct"/>
            <w:vAlign w:val="center"/>
          </w:tcPr>
          <w:p w14:paraId="282C889A">
            <w:pPr>
              <w:jc w:val="right"/>
              <w:rPr>
                <w:sz w:val="18"/>
                <w:szCs w:val="18"/>
              </w:rPr>
            </w:pPr>
          </w:p>
        </w:tc>
        <w:tc>
          <w:tcPr>
            <w:tcW w:w="125" w:type="pct"/>
            <w:vAlign w:val="center"/>
          </w:tcPr>
          <w:p w14:paraId="4F8145E6">
            <w:pPr>
              <w:jc w:val="right"/>
              <w:rPr>
                <w:sz w:val="18"/>
                <w:szCs w:val="18"/>
              </w:rPr>
            </w:pPr>
          </w:p>
        </w:tc>
        <w:tc>
          <w:tcPr>
            <w:tcW w:w="463" w:type="pct"/>
            <w:vAlign w:val="center"/>
          </w:tcPr>
          <w:p w14:paraId="2D636D1C">
            <w:pPr>
              <w:jc w:val="right"/>
              <w:rPr>
                <w:sz w:val="18"/>
                <w:szCs w:val="18"/>
              </w:rPr>
            </w:pPr>
          </w:p>
        </w:tc>
        <w:tc>
          <w:tcPr>
            <w:tcW w:w="425" w:type="pct"/>
            <w:vAlign w:val="center"/>
          </w:tcPr>
          <w:p w14:paraId="5A5D9BDE">
            <w:pPr>
              <w:jc w:val="right"/>
              <w:rPr>
                <w:sz w:val="18"/>
                <w:szCs w:val="18"/>
              </w:rPr>
            </w:pPr>
          </w:p>
        </w:tc>
        <w:tc>
          <w:tcPr>
            <w:tcW w:w="531" w:type="pct"/>
            <w:vAlign w:val="center"/>
          </w:tcPr>
          <w:p w14:paraId="5431858A">
            <w:pPr>
              <w:jc w:val="right"/>
              <w:rPr>
                <w:sz w:val="18"/>
                <w:szCs w:val="18"/>
              </w:rPr>
            </w:pPr>
          </w:p>
        </w:tc>
      </w:tr>
      <w:tr w14:paraId="7B083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4a9492c5a232434296cfdef5eeded778"/>
            <w:id w:val="-1973827730"/>
          </w:sdtPr>
          <w:sdtContent>
            <w:tc>
              <w:tcPr>
                <w:tcW w:w="487" w:type="pct"/>
                <w:vAlign w:val="center"/>
              </w:tcPr>
              <w:p w14:paraId="560693EC">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2．盈余公积转增资本（或股本）</w:t>
                </w:r>
              </w:p>
            </w:tc>
          </w:sdtContent>
        </w:sdt>
        <w:tc>
          <w:tcPr>
            <w:tcW w:w="488" w:type="pct"/>
            <w:vAlign w:val="center"/>
          </w:tcPr>
          <w:p w14:paraId="55659821">
            <w:pPr>
              <w:jc w:val="right"/>
              <w:rPr>
                <w:sz w:val="18"/>
                <w:szCs w:val="18"/>
              </w:rPr>
            </w:pPr>
          </w:p>
        </w:tc>
        <w:tc>
          <w:tcPr>
            <w:tcW w:w="132" w:type="pct"/>
            <w:vAlign w:val="center"/>
          </w:tcPr>
          <w:p w14:paraId="358A0A32">
            <w:pPr>
              <w:jc w:val="right"/>
              <w:rPr>
                <w:sz w:val="18"/>
                <w:szCs w:val="18"/>
              </w:rPr>
            </w:pPr>
          </w:p>
        </w:tc>
        <w:tc>
          <w:tcPr>
            <w:tcW w:w="136" w:type="pct"/>
            <w:vAlign w:val="center"/>
          </w:tcPr>
          <w:p w14:paraId="0BB602B3">
            <w:pPr>
              <w:jc w:val="right"/>
              <w:rPr>
                <w:sz w:val="18"/>
                <w:szCs w:val="18"/>
              </w:rPr>
            </w:pPr>
          </w:p>
        </w:tc>
        <w:tc>
          <w:tcPr>
            <w:tcW w:w="89" w:type="pct"/>
            <w:vAlign w:val="center"/>
          </w:tcPr>
          <w:p w14:paraId="60923B08">
            <w:pPr>
              <w:jc w:val="right"/>
              <w:rPr>
                <w:sz w:val="18"/>
                <w:szCs w:val="18"/>
              </w:rPr>
            </w:pPr>
          </w:p>
        </w:tc>
        <w:tc>
          <w:tcPr>
            <w:tcW w:w="442" w:type="pct"/>
            <w:vAlign w:val="center"/>
          </w:tcPr>
          <w:p w14:paraId="64EF8FF9">
            <w:pPr>
              <w:jc w:val="right"/>
              <w:rPr>
                <w:sz w:val="18"/>
                <w:szCs w:val="18"/>
              </w:rPr>
            </w:pPr>
          </w:p>
        </w:tc>
        <w:tc>
          <w:tcPr>
            <w:tcW w:w="89" w:type="pct"/>
            <w:vAlign w:val="center"/>
          </w:tcPr>
          <w:p w14:paraId="55733D24">
            <w:pPr>
              <w:jc w:val="right"/>
              <w:rPr>
                <w:sz w:val="18"/>
                <w:szCs w:val="18"/>
              </w:rPr>
            </w:pPr>
          </w:p>
        </w:tc>
        <w:tc>
          <w:tcPr>
            <w:tcW w:w="398" w:type="pct"/>
            <w:vAlign w:val="center"/>
          </w:tcPr>
          <w:p w14:paraId="40FD6751">
            <w:pPr>
              <w:jc w:val="right"/>
              <w:rPr>
                <w:sz w:val="18"/>
                <w:szCs w:val="18"/>
              </w:rPr>
            </w:pPr>
          </w:p>
        </w:tc>
        <w:tc>
          <w:tcPr>
            <w:tcW w:w="133" w:type="pct"/>
            <w:vAlign w:val="center"/>
          </w:tcPr>
          <w:p w14:paraId="54717514">
            <w:pPr>
              <w:jc w:val="right"/>
              <w:rPr>
                <w:sz w:val="18"/>
                <w:szCs w:val="18"/>
              </w:rPr>
            </w:pPr>
          </w:p>
        </w:tc>
        <w:tc>
          <w:tcPr>
            <w:tcW w:w="442" w:type="pct"/>
            <w:vAlign w:val="center"/>
          </w:tcPr>
          <w:p w14:paraId="1FA55443">
            <w:pPr>
              <w:jc w:val="right"/>
              <w:rPr>
                <w:sz w:val="18"/>
                <w:szCs w:val="18"/>
              </w:rPr>
            </w:pPr>
          </w:p>
        </w:tc>
        <w:tc>
          <w:tcPr>
            <w:tcW w:w="119" w:type="pct"/>
            <w:vAlign w:val="center"/>
          </w:tcPr>
          <w:p w14:paraId="249E5992">
            <w:pPr>
              <w:jc w:val="right"/>
              <w:rPr>
                <w:sz w:val="18"/>
                <w:szCs w:val="18"/>
              </w:rPr>
            </w:pPr>
          </w:p>
        </w:tc>
        <w:tc>
          <w:tcPr>
            <w:tcW w:w="501" w:type="pct"/>
            <w:vAlign w:val="center"/>
          </w:tcPr>
          <w:p w14:paraId="69DEF799">
            <w:pPr>
              <w:jc w:val="right"/>
              <w:rPr>
                <w:sz w:val="18"/>
                <w:szCs w:val="18"/>
              </w:rPr>
            </w:pPr>
          </w:p>
        </w:tc>
        <w:tc>
          <w:tcPr>
            <w:tcW w:w="125" w:type="pct"/>
            <w:vAlign w:val="center"/>
          </w:tcPr>
          <w:p w14:paraId="29CDA650">
            <w:pPr>
              <w:jc w:val="right"/>
              <w:rPr>
                <w:sz w:val="18"/>
                <w:szCs w:val="18"/>
              </w:rPr>
            </w:pPr>
          </w:p>
        </w:tc>
        <w:tc>
          <w:tcPr>
            <w:tcW w:w="463" w:type="pct"/>
            <w:vAlign w:val="center"/>
          </w:tcPr>
          <w:p w14:paraId="51721CF5">
            <w:pPr>
              <w:jc w:val="right"/>
              <w:rPr>
                <w:sz w:val="18"/>
                <w:szCs w:val="18"/>
              </w:rPr>
            </w:pPr>
          </w:p>
        </w:tc>
        <w:tc>
          <w:tcPr>
            <w:tcW w:w="425" w:type="pct"/>
            <w:vAlign w:val="center"/>
          </w:tcPr>
          <w:p w14:paraId="21CDD14D">
            <w:pPr>
              <w:jc w:val="right"/>
              <w:rPr>
                <w:sz w:val="18"/>
                <w:szCs w:val="18"/>
              </w:rPr>
            </w:pPr>
          </w:p>
        </w:tc>
        <w:tc>
          <w:tcPr>
            <w:tcW w:w="531" w:type="pct"/>
            <w:vAlign w:val="center"/>
          </w:tcPr>
          <w:p w14:paraId="6FE338D5">
            <w:pPr>
              <w:jc w:val="right"/>
              <w:rPr>
                <w:sz w:val="18"/>
                <w:szCs w:val="18"/>
              </w:rPr>
            </w:pPr>
          </w:p>
        </w:tc>
      </w:tr>
      <w:tr w14:paraId="43CD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25911664beff496799fc3193be7c3182"/>
            <w:id w:val="651481315"/>
          </w:sdtPr>
          <w:sdtContent>
            <w:tc>
              <w:tcPr>
                <w:tcW w:w="487" w:type="pct"/>
                <w:vAlign w:val="center"/>
              </w:tcPr>
              <w:p w14:paraId="05243354">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3．盈余公积弥补亏损</w:t>
                </w:r>
              </w:p>
            </w:tc>
          </w:sdtContent>
        </w:sdt>
        <w:tc>
          <w:tcPr>
            <w:tcW w:w="488" w:type="pct"/>
            <w:vAlign w:val="center"/>
          </w:tcPr>
          <w:p w14:paraId="58D1CE98">
            <w:pPr>
              <w:jc w:val="right"/>
              <w:rPr>
                <w:sz w:val="18"/>
                <w:szCs w:val="18"/>
              </w:rPr>
            </w:pPr>
          </w:p>
        </w:tc>
        <w:tc>
          <w:tcPr>
            <w:tcW w:w="132" w:type="pct"/>
            <w:vAlign w:val="center"/>
          </w:tcPr>
          <w:p w14:paraId="03EF7616">
            <w:pPr>
              <w:jc w:val="right"/>
              <w:rPr>
                <w:sz w:val="18"/>
                <w:szCs w:val="18"/>
              </w:rPr>
            </w:pPr>
          </w:p>
        </w:tc>
        <w:tc>
          <w:tcPr>
            <w:tcW w:w="136" w:type="pct"/>
            <w:vAlign w:val="center"/>
          </w:tcPr>
          <w:p w14:paraId="1491EDCE">
            <w:pPr>
              <w:jc w:val="right"/>
              <w:rPr>
                <w:sz w:val="18"/>
                <w:szCs w:val="18"/>
              </w:rPr>
            </w:pPr>
          </w:p>
        </w:tc>
        <w:tc>
          <w:tcPr>
            <w:tcW w:w="89" w:type="pct"/>
            <w:vAlign w:val="center"/>
          </w:tcPr>
          <w:p w14:paraId="3D5CBA13">
            <w:pPr>
              <w:jc w:val="right"/>
              <w:rPr>
                <w:sz w:val="18"/>
                <w:szCs w:val="18"/>
              </w:rPr>
            </w:pPr>
          </w:p>
        </w:tc>
        <w:tc>
          <w:tcPr>
            <w:tcW w:w="442" w:type="pct"/>
            <w:vAlign w:val="center"/>
          </w:tcPr>
          <w:p w14:paraId="295B3442">
            <w:pPr>
              <w:jc w:val="right"/>
              <w:rPr>
                <w:sz w:val="18"/>
                <w:szCs w:val="18"/>
              </w:rPr>
            </w:pPr>
          </w:p>
        </w:tc>
        <w:tc>
          <w:tcPr>
            <w:tcW w:w="89" w:type="pct"/>
            <w:vAlign w:val="center"/>
          </w:tcPr>
          <w:p w14:paraId="2AF09B26">
            <w:pPr>
              <w:jc w:val="right"/>
              <w:rPr>
                <w:sz w:val="18"/>
                <w:szCs w:val="18"/>
              </w:rPr>
            </w:pPr>
          </w:p>
        </w:tc>
        <w:tc>
          <w:tcPr>
            <w:tcW w:w="398" w:type="pct"/>
            <w:vAlign w:val="center"/>
          </w:tcPr>
          <w:p w14:paraId="6B7CCC1B">
            <w:pPr>
              <w:jc w:val="right"/>
              <w:rPr>
                <w:sz w:val="18"/>
                <w:szCs w:val="18"/>
              </w:rPr>
            </w:pPr>
          </w:p>
        </w:tc>
        <w:tc>
          <w:tcPr>
            <w:tcW w:w="133" w:type="pct"/>
            <w:vAlign w:val="center"/>
          </w:tcPr>
          <w:p w14:paraId="2DAF16B4">
            <w:pPr>
              <w:jc w:val="right"/>
              <w:rPr>
                <w:sz w:val="18"/>
                <w:szCs w:val="18"/>
              </w:rPr>
            </w:pPr>
          </w:p>
        </w:tc>
        <w:tc>
          <w:tcPr>
            <w:tcW w:w="442" w:type="pct"/>
            <w:vAlign w:val="center"/>
          </w:tcPr>
          <w:p w14:paraId="3106CAA3">
            <w:pPr>
              <w:jc w:val="right"/>
              <w:rPr>
                <w:sz w:val="18"/>
                <w:szCs w:val="18"/>
              </w:rPr>
            </w:pPr>
          </w:p>
        </w:tc>
        <w:tc>
          <w:tcPr>
            <w:tcW w:w="119" w:type="pct"/>
            <w:vAlign w:val="center"/>
          </w:tcPr>
          <w:p w14:paraId="6C98A17C">
            <w:pPr>
              <w:jc w:val="right"/>
              <w:rPr>
                <w:sz w:val="18"/>
                <w:szCs w:val="18"/>
              </w:rPr>
            </w:pPr>
          </w:p>
        </w:tc>
        <w:tc>
          <w:tcPr>
            <w:tcW w:w="501" w:type="pct"/>
            <w:vAlign w:val="center"/>
          </w:tcPr>
          <w:p w14:paraId="3677FCD2">
            <w:pPr>
              <w:jc w:val="right"/>
              <w:rPr>
                <w:sz w:val="18"/>
                <w:szCs w:val="18"/>
              </w:rPr>
            </w:pPr>
          </w:p>
        </w:tc>
        <w:tc>
          <w:tcPr>
            <w:tcW w:w="125" w:type="pct"/>
            <w:vAlign w:val="center"/>
          </w:tcPr>
          <w:p w14:paraId="342AD7FC">
            <w:pPr>
              <w:jc w:val="right"/>
              <w:rPr>
                <w:sz w:val="18"/>
                <w:szCs w:val="18"/>
              </w:rPr>
            </w:pPr>
          </w:p>
        </w:tc>
        <w:tc>
          <w:tcPr>
            <w:tcW w:w="463" w:type="pct"/>
            <w:vAlign w:val="center"/>
          </w:tcPr>
          <w:p w14:paraId="6AACB443">
            <w:pPr>
              <w:jc w:val="right"/>
              <w:rPr>
                <w:sz w:val="18"/>
                <w:szCs w:val="18"/>
              </w:rPr>
            </w:pPr>
          </w:p>
        </w:tc>
        <w:tc>
          <w:tcPr>
            <w:tcW w:w="425" w:type="pct"/>
            <w:vAlign w:val="center"/>
          </w:tcPr>
          <w:p w14:paraId="7E8C66BF">
            <w:pPr>
              <w:jc w:val="right"/>
              <w:rPr>
                <w:sz w:val="18"/>
                <w:szCs w:val="18"/>
              </w:rPr>
            </w:pPr>
          </w:p>
        </w:tc>
        <w:tc>
          <w:tcPr>
            <w:tcW w:w="531" w:type="pct"/>
            <w:vAlign w:val="center"/>
          </w:tcPr>
          <w:p w14:paraId="6B4EA99E">
            <w:pPr>
              <w:jc w:val="right"/>
              <w:rPr>
                <w:sz w:val="18"/>
                <w:szCs w:val="18"/>
              </w:rPr>
            </w:pPr>
          </w:p>
        </w:tc>
      </w:tr>
      <w:tr w14:paraId="6878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sdt>
            <w:sdtPr>
              <w:tag w:val="_PLD_c2918ada9b53437193e4f9cfffa064e3"/>
              <w:id w:val="-70047156"/>
            </w:sdtPr>
            <w:sdtContent>
              <w:p w14:paraId="4EDE270B">
                <w:pPr>
                  <w:rPr>
                    <w:color w:val="000000" w:themeColor="text1"/>
                    <w14:textFill>
                      <w14:solidFill>
                        <w14:schemeClr w14:val="tx1"/>
                      </w14:solidFill>
                    </w14:textFill>
                  </w:rPr>
                </w:pPr>
                <w:r>
                  <w:rPr>
                    <w:color w:val="000000" w:themeColor="text1"/>
                    <w:sz w:val="18"/>
                    <w:szCs w:val="18"/>
                    <w14:textFill>
                      <w14:solidFill>
                        <w14:schemeClr w14:val="tx1"/>
                      </w14:solidFill>
                    </w14:textFill>
                  </w:rPr>
                  <w:t>4．设定受益计划变动额结转留存收益</w:t>
                </w:r>
              </w:p>
            </w:sdtContent>
          </w:sdt>
        </w:tc>
        <w:tc>
          <w:tcPr>
            <w:tcW w:w="488" w:type="pct"/>
            <w:vAlign w:val="center"/>
          </w:tcPr>
          <w:p w14:paraId="3B8CB075">
            <w:pPr>
              <w:jc w:val="right"/>
              <w:rPr>
                <w:sz w:val="18"/>
                <w:szCs w:val="18"/>
              </w:rPr>
            </w:pPr>
          </w:p>
        </w:tc>
        <w:tc>
          <w:tcPr>
            <w:tcW w:w="132" w:type="pct"/>
            <w:vAlign w:val="center"/>
          </w:tcPr>
          <w:p w14:paraId="1F5A3BB8">
            <w:pPr>
              <w:jc w:val="right"/>
              <w:rPr>
                <w:sz w:val="18"/>
                <w:szCs w:val="18"/>
              </w:rPr>
            </w:pPr>
          </w:p>
        </w:tc>
        <w:tc>
          <w:tcPr>
            <w:tcW w:w="136" w:type="pct"/>
            <w:vAlign w:val="center"/>
          </w:tcPr>
          <w:p w14:paraId="63B1B2B2">
            <w:pPr>
              <w:jc w:val="right"/>
              <w:rPr>
                <w:sz w:val="18"/>
                <w:szCs w:val="18"/>
              </w:rPr>
            </w:pPr>
          </w:p>
        </w:tc>
        <w:tc>
          <w:tcPr>
            <w:tcW w:w="89" w:type="pct"/>
            <w:vAlign w:val="center"/>
          </w:tcPr>
          <w:p w14:paraId="332140FD">
            <w:pPr>
              <w:jc w:val="right"/>
              <w:rPr>
                <w:sz w:val="18"/>
                <w:szCs w:val="18"/>
              </w:rPr>
            </w:pPr>
          </w:p>
        </w:tc>
        <w:tc>
          <w:tcPr>
            <w:tcW w:w="442" w:type="pct"/>
            <w:vAlign w:val="center"/>
          </w:tcPr>
          <w:p w14:paraId="1DC6FA16">
            <w:pPr>
              <w:jc w:val="right"/>
              <w:rPr>
                <w:sz w:val="18"/>
                <w:szCs w:val="18"/>
              </w:rPr>
            </w:pPr>
          </w:p>
        </w:tc>
        <w:tc>
          <w:tcPr>
            <w:tcW w:w="89" w:type="pct"/>
            <w:vAlign w:val="center"/>
          </w:tcPr>
          <w:p w14:paraId="7574DF1A">
            <w:pPr>
              <w:jc w:val="right"/>
              <w:rPr>
                <w:sz w:val="18"/>
                <w:szCs w:val="18"/>
              </w:rPr>
            </w:pPr>
          </w:p>
        </w:tc>
        <w:tc>
          <w:tcPr>
            <w:tcW w:w="398" w:type="pct"/>
            <w:vAlign w:val="center"/>
          </w:tcPr>
          <w:p w14:paraId="1F9FE2BB">
            <w:pPr>
              <w:jc w:val="right"/>
              <w:rPr>
                <w:sz w:val="18"/>
                <w:szCs w:val="18"/>
              </w:rPr>
            </w:pPr>
          </w:p>
        </w:tc>
        <w:tc>
          <w:tcPr>
            <w:tcW w:w="133" w:type="pct"/>
            <w:vAlign w:val="center"/>
          </w:tcPr>
          <w:p w14:paraId="53C9E431">
            <w:pPr>
              <w:jc w:val="right"/>
              <w:rPr>
                <w:sz w:val="18"/>
                <w:szCs w:val="18"/>
              </w:rPr>
            </w:pPr>
          </w:p>
        </w:tc>
        <w:tc>
          <w:tcPr>
            <w:tcW w:w="442" w:type="pct"/>
            <w:vAlign w:val="center"/>
          </w:tcPr>
          <w:p w14:paraId="034417DA">
            <w:pPr>
              <w:jc w:val="right"/>
              <w:rPr>
                <w:sz w:val="18"/>
                <w:szCs w:val="18"/>
              </w:rPr>
            </w:pPr>
          </w:p>
        </w:tc>
        <w:tc>
          <w:tcPr>
            <w:tcW w:w="119" w:type="pct"/>
            <w:vAlign w:val="center"/>
          </w:tcPr>
          <w:p w14:paraId="6653B6D2">
            <w:pPr>
              <w:jc w:val="right"/>
              <w:rPr>
                <w:sz w:val="18"/>
                <w:szCs w:val="18"/>
              </w:rPr>
            </w:pPr>
          </w:p>
        </w:tc>
        <w:tc>
          <w:tcPr>
            <w:tcW w:w="501" w:type="pct"/>
            <w:vAlign w:val="center"/>
          </w:tcPr>
          <w:p w14:paraId="34999213">
            <w:pPr>
              <w:jc w:val="right"/>
              <w:rPr>
                <w:sz w:val="18"/>
                <w:szCs w:val="18"/>
              </w:rPr>
            </w:pPr>
          </w:p>
        </w:tc>
        <w:tc>
          <w:tcPr>
            <w:tcW w:w="125" w:type="pct"/>
            <w:vAlign w:val="center"/>
          </w:tcPr>
          <w:p w14:paraId="0285B015">
            <w:pPr>
              <w:jc w:val="right"/>
              <w:rPr>
                <w:sz w:val="18"/>
                <w:szCs w:val="18"/>
              </w:rPr>
            </w:pPr>
          </w:p>
        </w:tc>
        <w:tc>
          <w:tcPr>
            <w:tcW w:w="463" w:type="pct"/>
            <w:vAlign w:val="center"/>
          </w:tcPr>
          <w:p w14:paraId="5DC0CC8D">
            <w:pPr>
              <w:jc w:val="right"/>
              <w:rPr>
                <w:sz w:val="18"/>
                <w:szCs w:val="18"/>
              </w:rPr>
            </w:pPr>
          </w:p>
        </w:tc>
        <w:tc>
          <w:tcPr>
            <w:tcW w:w="425" w:type="pct"/>
            <w:vAlign w:val="center"/>
          </w:tcPr>
          <w:p w14:paraId="48741C89">
            <w:pPr>
              <w:jc w:val="right"/>
              <w:rPr>
                <w:sz w:val="18"/>
                <w:szCs w:val="18"/>
              </w:rPr>
            </w:pPr>
          </w:p>
        </w:tc>
        <w:tc>
          <w:tcPr>
            <w:tcW w:w="531" w:type="pct"/>
            <w:vAlign w:val="center"/>
          </w:tcPr>
          <w:p w14:paraId="2977800C">
            <w:pPr>
              <w:jc w:val="right"/>
              <w:rPr>
                <w:sz w:val="18"/>
                <w:szCs w:val="18"/>
              </w:rPr>
            </w:pPr>
          </w:p>
        </w:tc>
      </w:tr>
      <w:tr w14:paraId="4EB3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sdt>
            <w:sdtPr>
              <w:tag w:val="_PLD_ea153cdd99f74bf1b50bc1743d25f429"/>
              <w:id w:val="-3514375"/>
            </w:sdtPr>
            <w:sdtContent>
              <w:p w14:paraId="63DA0A25">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5．其他综合收益结转留存收益</w:t>
                </w:r>
              </w:p>
            </w:sdtContent>
          </w:sdt>
        </w:tc>
        <w:tc>
          <w:tcPr>
            <w:tcW w:w="488" w:type="pct"/>
            <w:vAlign w:val="center"/>
          </w:tcPr>
          <w:p w14:paraId="3EC42AF2">
            <w:pPr>
              <w:jc w:val="right"/>
              <w:rPr>
                <w:sz w:val="18"/>
                <w:szCs w:val="18"/>
              </w:rPr>
            </w:pPr>
          </w:p>
        </w:tc>
        <w:tc>
          <w:tcPr>
            <w:tcW w:w="132" w:type="pct"/>
            <w:vAlign w:val="center"/>
          </w:tcPr>
          <w:p w14:paraId="06B06946">
            <w:pPr>
              <w:jc w:val="right"/>
              <w:rPr>
                <w:sz w:val="18"/>
                <w:szCs w:val="18"/>
              </w:rPr>
            </w:pPr>
          </w:p>
        </w:tc>
        <w:tc>
          <w:tcPr>
            <w:tcW w:w="136" w:type="pct"/>
            <w:vAlign w:val="center"/>
          </w:tcPr>
          <w:p w14:paraId="38C3505D">
            <w:pPr>
              <w:jc w:val="right"/>
              <w:rPr>
                <w:sz w:val="18"/>
                <w:szCs w:val="18"/>
              </w:rPr>
            </w:pPr>
          </w:p>
        </w:tc>
        <w:tc>
          <w:tcPr>
            <w:tcW w:w="89" w:type="pct"/>
            <w:vAlign w:val="center"/>
          </w:tcPr>
          <w:p w14:paraId="37EEC086">
            <w:pPr>
              <w:jc w:val="right"/>
              <w:rPr>
                <w:sz w:val="18"/>
                <w:szCs w:val="18"/>
              </w:rPr>
            </w:pPr>
          </w:p>
        </w:tc>
        <w:tc>
          <w:tcPr>
            <w:tcW w:w="442" w:type="pct"/>
            <w:vAlign w:val="center"/>
          </w:tcPr>
          <w:p w14:paraId="5D5CAC1F">
            <w:pPr>
              <w:jc w:val="right"/>
              <w:rPr>
                <w:sz w:val="18"/>
                <w:szCs w:val="18"/>
              </w:rPr>
            </w:pPr>
          </w:p>
        </w:tc>
        <w:tc>
          <w:tcPr>
            <w:tcW w:w="89" w:type="pct"/>
            <w:vAlign w:val="center"/>
          </w:tcPr>
          <w:p w14:paraId="4743FA20">
            <w:pPr>
              <w:jc w:val="right"/>
              <w:rPr>
                <w:sz w:val="18"/>
                <w:szCs w:val="18"/>
              </w:rPr>
            </w:pPr>
          </w:p>
        </w:tc>
        <w:tc>
          <w:tcPr>
            <w:tcW w:w="398" w:type="pct"/>
            <w:vAlign w:val="center"/>
          </w:tcPr>
          <w:p w14:paraId="15DF87CD">
            <w:pPr>
              <w:jc w:val="right"/>
              <w:rPr>
                <w:sz w:val="18"/>
                <w:szCs w:val="18"/>
              </w:rPr>
            </w:pPr>
          </w:p>
        </w:tc>
        <w:tc>
          <w:tcPr>
            <w:tcW w:w="133" w:type="pct"/>
            <w:vAlign w:val="center"/>
          </w:tcPr>
          <w:p w14:paraId="3B6985B6">
            <w:pPr>
              <w:jc w:val="right"/>
              <w:rPr>
                <w:sz w:val="18"/>
                <w:szCs w:val="18"/>
              </w:rPr>
            </w:pPr>
          </w:p>
        </w:tc>
        <w:tc>
          <w:tcPr>
            <w:tcW w:w="442" w:type="pct"/>
            <w:vAlign w:val="center"/>
          </w:tcPr>
          <w:p w14:paraId="5A3B6079">
            <w:pPr>
              <w:jc w:val="right"/>
              <w:rPr>
                <w:sz w:val="18"/>
                <w:szCs w:val="18"/>
              </w:rPr>
            </w:pPr>
          </w:p>
        </w:tc>
        <w:tc>
          <w:tcPr>
            <w:tcW w:w="119" w:type="pct"/>
            <w:vAlign w:val="center"/>
          </w:tcPr>
          <w:p w14:paraId="32F0D521">
            <w:pPr>
              <w:jc w:val="right"/>
              <w:rPr>
                <w:sz w:val="18"/>
                <w:szCs w:val="18"/>
              </w:rPr>
            </w:pPr>
          </w:p>
        </w:tc>
        <w:tc>
          <w:tcPr>
            <w:tcW w:w="501" w:type="pct"/>
            <w:vAlign w:val="center"/>
          </w:tcPr>
          <w:p w14:paraId="5C2D1E4A">
            <w:pPr>
              <w:jc w:val="right"/>
              <w:rPr>
                <w:sz w:val="18"/>
                <w:szCs w:val="18"/>
              </w:rPr>
            </w:pPr>
          </w:p>
        </w:tc>
        <w:tc>
          <w:tcPr>
            <w:tcW w:w="125" w:type="pct"/>
            <w:vAlign w:val="center"/>
          </w:tcPr>
          <w:p w14:paraId="49EFEBC7">
            <w:pPr>
              <w:jc w:val="right"/>
              <w:rPr>
                <w:sz w:val="18"/>
                <w:szCs w:val="18"/>
              </w:rPr>
            </w:pPr>
          </w:p>
        </w:tc>
        <w:tc>
          <w:tcPr>
            <w:tcW w:w="463" w:type="pct"/>
            <w:vAlign w:val="center"/>
          </w:tcPr>
          <w:p w14:paraId="1435048B">
            <w:pPr>
              <w:jc w:val="right"/>
              <w:rPr>
                <w:sz w:val="18"/>
                <w:szCs w:val="18"/>
              </w:rPr>
            </w:pPr>
          </w:p>
        </w:tc>
        <w:tc>
          <w:tcPr>
            <w:tcW w:w="425" w:type="pct"/>
            <w:vAlign w:val="center"/>
          </w:tcPr>
          <w:p w14:paraId="50FBF467">
            <w:pPr>
              <w:jc w:val="right"/>
              <w:rPr>
                <w:sz w:val="18"/>
                <w:szCs w:val="18"/>
              </w:rPr>
            </w:pPr>
          </w:p>
        </w:tc>
        <w:tc>
          <w:tcPr>
            <w:tcW w:w="531" w:type="pct"/>
            <w:vAlign w:val="center"/>
          </w:tcPr>
          <w:p w14:paraId="6CDBFE30">
            <w:pPr>
              <w:jc w:val="right"/>
              <w:rPr>
                <w:sz w:val="18"/>
                <w:szCs w:val="18"/>
              </w:rPr>
            </w:pPr>
          </w:p>
        </w:tc>
      </w:tr>
      <w:tr w14:paraId="35DC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sdt>
            <w:sdtPr>
              <w:tag w:val="_PLD_de42fced9d0547ecb946b8443ac4ea20"/>
              <w:id w:val="473500783"/>
            </w:sdtPr>
            <w:sdtContent>
              <w:p w14:paraId="55130AFC">
                <w:pPr>
                  <w:rPr>
                    <w:color w:val="000000" w:themeColor="text1"/>
                    <w14:textFill>
                      <w14:solidFill>
                        <w14:schemeClr w14:val="tx1"/>
                      </w14:solidFill>
                    </w14:textFill>
                  </w:rPr>
                </w:pPr>
                <w:r>
                  <w:rPr>
                    <w:color w:val="000000" w:themeColor="text1"/>
                    <w:sz w:val="18"/>
                    <w:szCs w:val="18"/>
                    <w14:textFill>
                      <w14:solidFill>
                        <w14:schemeClr w14:val="tx1"/>
                      </w14:solidFill>
                    </w14:textFill>
                  </w:rPr>
                  <w:t>6．其他</w:t>
                </w:r>
              </w:p>
            </w:sdtContent>
          </w:sdt>
        </w:tc>
        <w:tc>
          <w:tcPr>
            <w:tcW w:w="488" w:type="pct"/>
            <w:vAlign w:val="center"/>
          </w:tcPr>
          <w:p w14:paraId="56993BB7">
            <w:pPr>
              <w:jc w:val="right"/>
              <w:rPr>
                <w:sz w:val="18"/>
                <w:szCs w:val="18"/>
              </w:rPr>
            </w:pPr>
          </w:p>
        </w:tc>
        <w:tc>
          <w:tcPr>
            <w:tcW w:w="132" w:type="pct"/>
            <w:vAlign w:val="center"/>
          </w:tcPr>
          <w:p w14:paraId="4F94B0F9">
            <w:pPr>
              <w:jc w:val="right"/>
              <w:rPr>
                <w:sz w:val="18"/>
                <w:szCs w:val="18"/>
              </w:rPr>
            </w:pPr>
          </w:p>
        </w:tc>
        <w:tc>
          <w:tcPr>
            <w:tcW w:w="136" w:type="pct"/>
            <w:vAlign w:val="center"/>
          </w:tcPr>
          <w:p w14:paraId="165623F7">
            <w:pPr>
              <w:jc w:val="right"/>
              <w:rPr>
                <w:sz w:val="18"/>
                <w:szCs w:val="18"/>
              </w:rPr>
            </w:pPr>
          </w:p>
        </w:tc>
        <w:tc>
          <w:tcPr>
            <w:tcW w:w="89" w:type="pct"/>
            <w:vAlign w:val="center"/>
          </w:tcPr>
          <w:p w14:paraId="01AE769A">
            <w:pPr>
              <w:jc w:val="right"/>
              <w:rPr>
                <w:sz w:val="18"/>
                <w:szCs w:val="18"/>
              </w:rPr>
            </w:pPr>
          </w:p>
        </w:tc>
        <w:tc>
          <w:tcPr>
            <w:tcW w:w="442" w:type="pct"/>
            <w:vAlign w:val="center"/>
          </w:tcPr>
          <w:p w14:paraId="1D08AA72">
            <w:pPr>
              <w:jc w:val="right"/>
              <w:rPr>
                <w:sz w:val="18"/>
                <w:szCs w:val="18"/>
              </w:rPr>
            </w:pPr>
          </w:p>
        </w:tc>
        <w:tc>
          <w:tcPr>
            <w:tcW w:w="89" w:type="pct"/>
            <w:vAlign w:val="center"/>
          </w:tcPr>
          <w:p w14:paraId="707F893E">
            <w:pPr>
              <w:jc w:val="right"/>
              <w:rPr>
                <w:sz w:val="18"/>
                <w:szCs w:val="18"/>
              </w:rPr>
            </w:pPr>
          </w:p>
        </w:tc>
        <w:tc>
          <w:tcPr>
            <w:tcW w:w="398" w:type="pct"/>
            <w:vAlign w:val="center"/>
          </w:tcPr>
          <w:p w14:paraId="67C0F859">
            <w:pPr>
              <w:jc w:val="right"/>
              <w:rPr>
                <w:sz w:val="18"/>
                <w:szCs w:val="18"/>
              </w:rPr>
            </w:pPr>
          </w:p>
        </w:tc>
        <w:tc>
          <w:tcPr>
            <w:tcW w:w="133" w:type="pct"/>
            <w:vAlign w:val="center"/>
          </w:tcPr>
          <w:p w14:paraId="71044CAA">
            <w:pPr>
              <w:jc w:val="right"/>
              <w:rPr>
                <w:sz w:val="18"/>
                <w:szCs w:val="18"/>
              </w:rPr>
            </w:pPr>
          </w:p>
        </w:tc>
        <w:tc>
          <w:tcPr>
            <w:tcW w:w="442" w:type="pct"/>
            <w:vAlign w:val="center"/>
          </w:tcPr>
          <w:p w14:paraId="4CFE09E5">
            <w:pPr>
              <w:jc w:val="right"/>
              <w:rPr>
                <w:sz w:val="18"/>
                <w:szCs w:val="18"/>
              </w:rPr>
            </w:pPr>
          </w:p>
        </w:tc>
        <w:tc>
          <w:tcPr>
            <w:tcW w:w="119" w:type="pct"/>
            <w:vAlign w:val="center"/>
          </w:tcPr>
          <w:p w14:paraId="48CE8503">
            <w:pPr>
              <w:jc w:val="right"/>
              <w:rPr>
                <w:sz w:val="18"/>
                <w:szCs w:val="18"/>
              </w:rPr>
            </w:pPr>
          </w:p>
        </w:tc>
        <w:tc>
          <w:tcPr>
            <w:tcW w:w="501" w:type="pct"/>
            <w:vAlign w:val="center"/>
          </w:tcPr>
          <w:p w14:paraId="35D1905E">
            <w:pPr>
              <w:jc w:val="right"/>
              <w:rPr>
                <w:sz w:val="18"/>
                <w:szCs w:val="18"/>
              </w:rPr>
            </w:pPr>
          </w:p>
        </w:tc>
        <w:tc>
          <w:tcPr>
            <w:tcW w:w="125" w:type="pct"/>
            <w:vAlign w:val="center"/>
          </w:tcPr>
          <w:p w14:paraId="439C3C8A">
            <w:pPr>
              <w:jc w:val="right"/>
              <w:rPr>
                <w:sz w:val="18"/>
                <w:szCs w:val="18"/>
              </w:rPr>
            </w:pPr>
          </w:p>
        </w:tc>
        <w:tc>
          <w:tcPr>
            <w:tcW w:w="463" w:type="pct"/>
            <w:vAlign w:val="center"/>
          </w:tcPr>
          <w:p w14:paraId="5BCB6488">
            <w:pPr>
              <w:jc w:val="right"/>
              <w:rPr>
                <w:sz w:val="18"/>
                <w:szCs w:val="18"/>
              </w:rPr>
            </w:pPr>
          </w:p>
        </w:tc>
        <w:tc>
          <w:tcPr>
            <w:tcW w:w="425" w:type="pct"/>
            <w:vAlign w:val="center"/>
          </w:tcPr>
          <w:p w14:paraId="24DC8C8D">
            <w:pPr>
              <w:jc w:val="right"/>
              <w:rPr>
                <w:sz w:val="18"/>
                <w:szCs w:val="18"/>
              </w:rPr>
            </w:pPr>
          </w:p>
        </w:tc>
        <w:tc>
          <w:tcPr>
            <w:tcW w:w="531" w:type="pct"/>
            <w:vAlign w:val="center"/>
          </w:tcPr>
          <w:p w14:paraId="3C08BA37">
            <w:pPr>
              <w:jc w:val="right"/>
              <w:rPr>
                <w:sz w:val="18"/>
                <w:szCs w:val="18"/>
              </w:rPr>
            </w:pPr>
          </w:p>
        </w:tc>
      </w:tr>
      <w:tr w14:paraId="0B67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14d25c6e75074c52a0f884581cc84dba"/>
            <w:id w:val="1521352451"/>
          </w:sdtPr>
          <w:sdtContent>
            <w:tc>
              <w:tcPr>
                <w:tcW w:w="487" w:type="pct"/>
                <w:vAlign w:val="center"/>
              </w:tcPr>
              <w:p w14:paraId="6C96F887">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（五）专项储备</w:t>
                </w:r>
              </w:p>
            </w:tc>
          </w:sdtContent>
        </w:sdt>
        <w:tc>
          <w:tcPr>
            <w:tcW w:w="488" w:type="pct"/>
            <w:vAlign w:val="center"/>
          </w:tcPr>
          <w:p w14:paraId="76C950D8">
            <w:pPr>
              <w:jc w:val="right"/>
              <w:rPr>
                <w:sz w:val="18"/>
                <w:szCs w:val="18"/>
              </w:rPr>
            </w:pPr>
          </w:p>
        </w:tc>
        <w:tc>
          <w:tcPr>
            <w:tcW w:w="132" w:type="pct"/>
            <w:vAlign w:val="center"/>
          </w:tcPr>
          <w:p w14:paraId="242F6DC6">
            <w:pPr>
              <w:jc w:val="right"/>
              <w:rPr>
                <w:sz w:val="18"/>
                <w:szCs w:val="18"/>
              </w:rPr>
            </w:pPr>
          </w:p>
        </w:tc>
        <w:tc>
          <w:tcPr>
            <w:tcW w:w="136" w:type="pct"/>
            <w:vAlign w:val="center"/>
          </w:tcPr>
          <w:p w14:paraId="4A930FC8">
            <w:pPr>
              <w:jc w:val="right"/>
              <w:rPr>
                <w:sz w:val="18"/>
                <w:szCs w:val="18"/>
              </w:rPr>
            </w:pPr>
          </w:p>
        </w:tc>
        <w:tc>
          <w:tcPr>
            <w:tcW w:w="89" w:type="pct"/>
            <w:vAlign w:val="center"/>
          </w:tcPr>
          <w:p w14:paraId="06D1571B">
            <w:pPr>
              <w:jc w:val="right"/>
              <w:rPr>
                <w:sz w:val="18"/>
                <w:szCs w:val="18"/>
              </w:rPr>
            </w:pPr>
          </w:p>
        </w:tc>
        <w:tc>
          <w:tcPr>
            <w:tcW w:w="442" w:type="pct"/>
            <w:vAlign w:val="center"/>
          </w:tcPr>
          <w:p w14:paraId="28076C6B">
            <w:pPr>
              <w:jc w:val="right"/>
              <w:rPr>
                <w:sz w:val="18"/>
                <w:szCs w:val="18"/>
              </w:rPr>
            </w:pPr>
          </w:p>
        </w:tc>
        <w:tc>
          <w:tcPr>
            <w:tcW w:w="89" w:type="pct"/>
            <w:vAlign w:val="center"/>
          </w:tcPr>
          <w:p w14:paraId="3FD714E5">
            <w:pPr>
              <w:jc w:val="right"/>
              <w:rPr>
                <w:sz w:val="18"/>
                <w:szCs w:val="18"/>
              </w:rPr>
            </w:pPr>
          </w:p>
        </w:tc>
        <w:tc>
          <w:tcPr>
            <w:tcW w:w="398" w:type="pct"/>
            <w:vAlign w:val="center"/>
          </w:tcPr>
          <w:p w14:paraId="39496EBB">
            <w:pPr>
              <w:jc w:val="right"/>
              <w:rPr>
                <w:sz w:val="18"/>
                <w:szCs w:val="18"/>
              </w:rPr>
            </w:pPr>
          </w:p>
        </w:tc>
        <w:tc>
          <w:tcPr>
            <w:tcW w:w="133" w:type="pct"/>
            <w:vAlign w:val="center"/>
          </w:tcPr>
          <w:p w14:paraId="5129D818">
            <w:pPr>
              <w:jc w:val="right"/>
              <w:rPr>
                <w:sz w:val="18"/>
                <w:szCs w:val="18"/>
              </w:rPr>
            </w:pPr>
          </w:p>
        </w:tc>
        <w:tc>
          <w:tcPr>
            <w:tcW w:w="442" w:type="pct"/>
            <w:vAlign w:val="center"/>
          </w:tcPr>
          <w:p w14:paraId="4D53FA98">
            <w:pPr>
              <w:jc w:val="right"/>
              <w:rPr>
                <w:sz w:val="18"/>
                <w:szCs w:val="18"/>
              </w:rPr>
            </w:pPr>
          </w:p>
        </w:tc>
        <w:tc>
          <w:tcPr>
            <w:tcW w:w="119" w:type="pct"/>
            <w:vAlign w:val="center"/>
          </w:tcPr>
          <w:p w14:paraId="29C165F2">
            <w:pPr>
              <w:jc w:val="right"/>
              <w:rPr>
                <w:sz w:val="18"/>
                <w:szCs w:val="18"/>
              </w:rPr>
            </w:pPr>
          </w:p>
        </w:tc>
        <w:tc>
          <w:tcPr>
            <w:tcW w:w="501" w:type="pct"/>
            <w:vAlign w:val="center"/>
          </w:tcPr>
          <w:p w14:paraId="7B70CEC0">
            <w:pPr>
              <w:jc w:val="right"/>
              <w:rPr>
                <w:sz w:val="18"/>
                <w:szCs w:val="18"/>
              </w:rPr>
            </w:pPr>
          </w:p>
        </w:tc>
        <w:tc>
          <w:tcPr>
            <w:tcW w:w="125" w:type="pct"/>
            <w:vAlign w:val="center"/>
          </w:tcPr>
          <w:p w14:paraId="31B893C9">
            <w:pPr>
              <w:jc w:val="right"/>
              <w:rPr>
                <w:sz w:val="18"/>
                <w:szCs w:val="18"/>
              </w:rPr>
            </w:pPr>
          </w:p>
        </w:tc>
        <w:tc>
          <w:tcPr>
            <w:tcW w:w="463" w:type="pct"/>
            <w:vAlign w:val="center"/>
          </w:tcPr>
          <w:p w14:paraId="110A5F90">
            <w:pPr>
              <w:jc w:val="right"/>
              <w:rPr>
                <w:sz w:val="18"/>
                <w:szCs w:val="18"/>
              </w:rPr>
            </w:pPr>
          </w:p>
        </w:tc>
        <w:tc>
          <w:tcPr>
            <w:tcW w:w="425" w:type="pct"/>
            <w:vAlign w:val="center"/>
          </w:tcPr>
          <w:p w14:paraId="5600CD1C">
            <w:pPr>
              <w:jc w:val="right"/>
              <w:rPr>
                <w:sz w:val="18"/>
                <w:szCs w:val="18"/>
              </w:rPr>
            </w:pPr>
          </w:p>
        </w:tc>
        <w:tc>
          <w:tcPr>
            <w:tcW w:w="531" w:type="pct"/>
            <w:vAlign w:val="center"/>
          </w:tcPr>
          <w:p w14:paraId="77C9950B">
            <w:pPr>
              <w:jc w:val="right"/>
              <w:rPr>
                <w:sz w:val="18"/>
                <w:szCs w:val="18"/>
              </w:rPr>
            </w:pPr>
          </w:p>
        </w:tc>
      </w:tr>
      <w:tr w14:paraId="7728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672c666008dd4adfa2ab5933e9cd1671"/>
            <w:id w:val="-1802293352"/>
          </w:sdtPr>
          <w:sdtContent>
            <w:tc>
              <w:tcPr>
                <w:tcW w:w="487" w:type="pct"/>
                <w:vAlign w:val="center"/>
              </w:tcPr>
              <w:p w14:paraId="255AB7D5">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1．本期提取</w:t>
                </w:r>
              </w:p>
            </w:tc>
          </w:sdtContent>
        </w:sdt>
        <w:tc>
          <w:tcPr>
            <w:tcW w:w="488" w:type="pct"/>
            <w:vAlign w:val="center"/>
          </w:tcPr>
          <w:p w14:paraId="244B380E">
            <w:pPr>
              <w:jc w:val="right"/>
              <w:rPr>
                <w:sz w:val="18"/>
                <w:szCs w:val="18"/>
              </w:rPr>
            </w:pPr>
          </w:p>
        </w:tc>
        <w:tc>
          <w:tcPr>
            <w:tcW w:w="132" w:type="pct"/>
            <w:vAlign w:val="center"/>
          </w:tcPr>
          <w:p w14:paraId="74B2241C">
            <w:pPr>
              <w:jc w:val="right"/>
              <w:rPr>
                <w:sz w:val="18"/>
                <w:szCs w:val="18"/>
              </w:rPr>
            </w:pPr>
          </w:p>
        </w:tc>
        <w:tc>
          <w:tcPr>
            <w:tcW w:w="136" w:type="pct"/>
            <w:vAlign w:val="center"/>
          </w:tcPr>
          <w:p w14:paraId="71203AC2">
            <w:pPr>
              <w:jc w:val="right"/>
              <w:rPr>
                <w:sz w:val="18"/>
                <w:szCs w:val="18"/>
              </w:rPr>
            </w:pPr>
          </w:p>
        </w:tc>
        <w:tc>
          <w:tcPr>
            <w:tcW w:w="89" w:type="pct"/>
            <w:vAlign w:val="center"/>
          </w:tcPr>
          <w:p w14:paraId="7C7B1697">
            <w:pPr>
              <w:jc w:val="right"/>
              <w:rPr>
                <w:sz w:val="18"/>
                <w:szCs w:val="18"/>
              </w:rPr>
            </w:pPr>
          </w:p>
        </w:tc>
        <w:tc>
          <w:tcPr>
            <w:tcW w:w="442" w:type="pct"/>
            <w:vAlign w:val="center"/>
          </w:tcPr>
          <w:p w14:paraId="191E9146">
            <w:pPr>
              <w:jc w:val="right"/>
              <w:rPr>
                <w:sz w:val="18"/>
                <w:szCs w:val="18"/>
              </w:rPr>
            </w:pPr>
          </w:p>
        </w:tc>
        <w:tc>
          <w:tcPr>
            <w:tcW w:w="89" w:type="pct"/>
            <w:vAlign w:val="center"/>
          </w:tcPr>
          <w:p w14:paraId="44B7EBFE">
            <w:pPr>
              <w:jc w:val="right"/>
              <w:rPr>
                <w:sz w:val="18"/>
                <w:szCs w:val="18"/>
              </w:rPr>
            </w:pPr>
          </w:p>
        </w:tc>
        <w:tc>
          <w:tcPr>
            <w:tcW w:w="398" w:type="pct"/>
            <w:vAlign w:val="center"/>
          </w:tcPr>
          <w:p w14:paraId="5EE546A3">
            <w:pPr>
              <w:jc w:val="right"/>
              <w:rPr>
                <w:sz w:val="18"/>
                <w:szCs w:val="18"/>
              </w:rPr>
            </w:pPr>
          </w:p>
        </w:tc>
        <w:tc>
          <w:tcPr>
            <w:tcW w:w="133" w:type="pct"/>
            <w:vAlign w:val="center"/>
          </w:tcPr>
          <w:p w14:paraId="1CD3D37A">
            <w:pPr>
              <w:jc w:val="right"/>
              <w:rPr>
                <w:sz w:val="18"/>
                <w:szCs w:val="18"/>
              </w:rPr>
            </w:pPr>
          </w:p>
        </w:tc>
        <w:tc>
          <w:tcPr>
            <w:tcW w:w="442" w:type="pct"/>
            <w:vAlign w:val="center"/>
          </w:tcPr>
          <w:p w14:paraId="0564B741">
            <w:pPr>
              <w:jc w:val="right"/>
              <w:rPr>
                <w:sz w:val="18"/>
                <w:szCs w:val="18"/>
              </w:rPr>
            </w:pPr>
          </w:p>
        </w:tc>
        <w:tc>
          <w:tcPr>
            <w:tcW w:w="119" w:type="pct"/>
            <w:vAlign w:val="center"/>
          </w:tcPr>
          <w:p w14:paraId="03D6FA7B">
            <w:pPr>
              <w:jc w:val="right"/>
              <w:rPr>
                <w:sz w:val="18"/>
                <w:szCs w:val="18"/>
              </w:rPr>
            </w:pPr>
          </w:p>
        </w:tc>
        <w:tc>
          <w:tcPr>
            <w:tcW w:w="501" w:type="pct"/>
            <w:vAlign w:val="center"/>
          </w:tcPr>
          <w:p w14:paraId="6953E732">
            <w:pPr>
              <w:jc w:val="right"/>
              <w:rPr>
                <w:sz w:val="18"/>
                <w:szCs w:val="18"/>
              </w:rPr>
            </w:pPr>
          </w:p>
        </w:tc>
        <w:tc>
          <w:tcPr>
            <w:tcW w:w="125" w:type="pct"/>
            <w:vAlign w:val="center"/>
          </w:tcPr>
          <w:p w14:paraId="52D950F0">
            <w:pPr>
              <w:jc w:val="right"/>
              <w:rPr>
                <w:sz w:val="18"/>
                <w:szCs w:val="18"/>
              </w:rPr>
            </w:pPr>
          </w:p>
        </w:tc>
        <w:tc>
          <w:tcPr>
            <w:tcW w:w="463" w:type="pct"/>
            <w:vAlign w:val="center"/>
          </w:tcPr>
          <w:p w14:paraId="7602F6FA">
            <w:pPr>
              <w:jc w:val="right"/>
              <w:rPr>
                <w:sz w:val="18"/>
                <w:szCs w:val="18"/>
              </w:rPr>
            </w:pPr>
          </w:p>
        </w:tc>
        <w:tc>
          <w:tcPr>
            <w:tcW w:w="425" w:type="pct"/>
            <w:vAlign w:val="center"/>
          </w:tcPr>
          <w:p w14:paraId="6AC9D552">
            <w:pPr>
              <w:jc w:val="right"/>
              <w:rPr>
                <w:sz w:val="18"/>
                <w:szCs w:val="18"/>
              </w:rPr>
            </w:pPr>
          </w:p>
        </w:tc>
        <w:tc>
          <w:tcPr>
            <w:tcW w:w="531" w:type="pct"/>
            <w:vAlign w:val="center"/>
          </w:tcPr>
          <w:p w14:paraId="5C099868">
            <w:pPr>
              <w:jc w:val="right"/>
              <w:rPr>
                <w:sz w:val="18"/>
                <w:szCs w:val="18"/>
              </w:rPr>
            </w:pPr>
          </w:p>
        </w:tc>
      </w:tr>
      <w:tr w14:paraId="3F6B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810ec2533aac40f59079e8e8d20e52c3"/>
            <w:id w:val="569542373"/>
          </w:sdtPr>
          <w:sdtContent>
            <w:tc>
              <w:tcPr>
                <w:tcW w:w="487" w:type="pct"/>
                <w:vAlign w:val="center"/>
              </w:tcPr>
              <w:p w14:paraId="71F79F49">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2．本期使用</w:t>
                </w:r>
              </w:p>
            </w:tc>
          </w:sdtContent>
        </w:sdt>
        <w:tc>
          <w:tcPr>
            <w:tcW w:w="488" w:type="pct"/>
            <w:vAlign w:val="center"/>
          </w:tcPr>
          <w:p w14:paraId="43A6BA51">
            <w:pPr>
              <w:jc w:val="right"/>
              <w:rPr>
                <w:sz w:val="18"/>
                <w:szCs w:val="18"/>
              </w:rPr>
            </w:pPr>
          </w:p>
        </w:tc>
        <w:tc>
          <w:tcPr>
            <w:tcW w:w="132" w:type="pct"/>
            <w:vAlign w:val="center"/>
          </w:tcPr>
          <w:p w14:paraId="6E468692">
            <w:pPr>
              <w:jc w:val="right"/>
              <w:rPr>
                <w:sz w:val="18"/>
                <w:szCs w:val="18"/>
              </w:rPr>
            </w:pPr>
          </w:p>
        </w:tc>
        <w:tc>
          <w:tcPr>
            <w:tcW w:w="136" w:type="pct"/>
            <w:vAlign w:val="center"/>
          </w:tcPr>
          <w:p w14:paraId="22A58461">
            <w:pPr>
              <w:jc w:val="right"/>
              <w:rPr>
                <w:sz w:val="18"/>
                <w:szCs w:val="18"/>
              </w:rPr>
            </w:pPr>
          </w:p>
        </w:tc>
        <w:tc>
          <w:tcPr>
            <w:tcW w:w="89" w:type="pct"/>
            <w:vAlign w:val="center"/>
          </w:tcPr>
          <w:p w14:paraId="42D44219">
            <w:pPr>
              <w:jc w:val="right"/>
              <w:rPr>
                <w:sz w:val="18"/>
                <w:szCs w:val="18"/>
              </w:rPr>
            </w:pPr>
          </w:p>
        </w:tc>
        <w:tc>
          <w:tcPr>
            <w:tcW w:w="442" w:type="pct"/>
            <w:vAlign w:val="center"/>
          </w:tcPr>
          <w:p w14:paraId="63F89026">
            <w:pPr>
              <w:jc w:val="right"/>
              <w:rPr>
                <w:sz w:val="18"/>
                <w:szCs w:val="18"/>
              </w:rPr>
            </w:pPr>
          </w:p>
        </w:tc>
        <w:tc>
          <w:tcPr>
            <w:tcW w:w="89" w:type="pct"/>
            <w:vAlign w:val="center"/>
          </w:tcPr>
          <w:p w14:paraId="51BEDE31">
            <w:pPr>
              <w:jc w:val="right"/>
              <w:rPr>
                <w:sz w:val="18"/>
                <w:szCs w:val="18"/>
              </w:rPr>
            </w:pPr>
          </w:p>
        </w:tc>
        <w:tc>
          <w:tcPr>
            <w:tcW w:w="398" w:type="pct"/>
            <w:vAlign w:val="center"/>
          </w:tcPr>
          <w:p w14:paraId="225ED638">
            <w:pPr>
              <w:jc w:val="right"/>
              <w:rPr>
                <w:sz w:val="18"/>
                <w:szCs w:val="18"/>
              </w:rPr>
            </w:pPr>
          </w:p>
        </w:tc>
        <w:tc>
          <w:tcPr>
            <w:tcW w:w="133" w:type="pct"/>
            <w:vAlign w:val="center"/>
          </w:tcPr>
          <w:p w14:paraId="2B4CE2B5">
            <w:pPr>
              <w:jc w:val="right"/>
              <w:rPr>
                <w:sz w:val="18"/>
                <w:szCs w:val="18"/>
              </w:rPr>
            </w:pPr>
          </w:p>
        </w:tc>
        <w:tc>
          <w:tcPr>
            <w:tcW w:w="442" w:type="pct"/>
            <w:vAlign w:val="center"/>
          </w:tcPr>
          <w:p w14:paraId="3FA214B8">
            <w:pPr>
              <w:jc w:val="right"/>
              <w:rPr>
                <w:sz w:val="18"/>
                <w:szCs w:val="18"/>
              </w:rPr>
            </w:pPr>
          </w:p>
        </w:tc>
        <w:tc>
          <w:tcPr>
            <w:tcW w:w="119" w:type="pct"/>
            <w:vAlign w:val="center"/>
          </w:tcPr>
          <w:p w14:paraId="48019DF3">
            <w:pPr>
              <w:jc w:val="right"/>
              <w:rPr>
                <w:sz w:val="18"/>
                <w:szCs w:val="18"/>
              </w:rPr>
            </w:pPr>
          </w:p>
        </w:tc>
        <w:tc>
          <w:tcPr>
            <w:tcW w:w="501" w:type="pct"/>
            <w:vAlign w:val="center"/>
          </w:tcPr>
          <w:p w14:paraId="01155B95">
            <w:pPr>
              <w:jc w:val="right"/>
              <w:rPr>
                <w:sz w:val="18"/>
                <w:szCs w:val="18"/>
              </w:rPr>
            </w:pPr>
          </w:p>
        </w:tc>
        <w:tc>
          <w:tcPr>
            <w:tcW w:w="125" w:type="pct"/>
            <w:vAlign w:val="center"/>
          </w:tcPr>
          <w:p w14:paraId="2B67109D">
            <w:pPr>
              <w:jc w:val="right"/>
              <w:rPr>
                <w:sz w:val="18"/>
                <w:szCs w:val="18"/>
              </w:rPr>
            </w:pPr>
          </w:p>
        </w:tc>
        <w:tc>
          <w:tcPr>
            <w:tcW w:w="463" w:type="pct"/>
            <w:vAlign w:val="center"/>
          </w:tcPr>
          <w:p w14:paraId="2BF51454">
            <w:pPr>
              <w:jc w:val="right"/>
              <w:rPr>
                <w:sz w:val="18"/>
                <w:szCs w:val="18"/>
              </w:rPr>
            </w:pPr>
          </w:p>
        </w:tc>
        <w:tc>
          <w:tcPr>
            <w:tcW w:w="425" w:type="pct"/>
            <w:vAlign w:val="center"/>
          </w:tcPr>
          <w:p w14:paraId="7419AFD2">
            <w:pPr>
              <w:jc w:val="right"/>
              <w:rPr>
                <w:sz w:val="18"/>
                <w:szCs w:val="18"/>
              </w:rPr>
            </w:pPr>
          </w:p>
        </w:tc>
        <w:tc>
          <w:tcPr>
            <w:tcW w:w="531" w:type="pct"/>
            <w:vAlign w:val="center"/>
          </w:tcPr>
          <w:p w14:paraId="187AF08F">
            <w:pPr>
              <w:jc w:val="right"/>
              <w:rPr>
                <w:sz w:val="18"/>
                <w:szCs w:val="18"/>
              </w:rPr>
            </w:pPr>
          </w:p>
        </w:tc>
      </w:tr>
      <w:tr w14:paraId="651B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f4bc69f9c7d34151a4b7a0d89088f0ee"/>
            <w:id w:val="1583018990"/>
          </w:sdtPr>
          <w:sdtContent>
            <w:tc>
              <w:tcPr>
                <w:tcW w:w="487" w:type="pct"/>
                <w:vAlign w:val="center"/>
              </w:tcPr>
              <w:p w14:paraId="130E550C">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（六）其他</w:t>
                </w:r>
              </w:p>
            </w:tc>
          </w:sdtContent>
        </w:sdt>
        <w:tc>
          <w:tcPr>
            <w:tcW w:w="488" w:type="pct"/>
            <w:vAlign w:val="center"/>
          </w:tcPr>
          <w:p w14:paraId="27E1791D">
            <w:pPr>
              <w:jc w:val="right"/>
              <w:rPr>
                <w:sz w:val="18"/>
                <w:szCs w:val="18"/>
              </w:rPr>
            </w:pPr>
          </w:p>
        </w:tc>
        <w:tc>
          <w:tcPr>
            <w:tcW w:w="132" w:type="pct"/>
            <w:vAlign w:val="center"/>
          </w:tcPr>
          <w:p w14:paraId="0FF01984">
            <w:pPr>
              <w:jc w:val="right"/>
              <w:rPr>
                <w:sz w:val="18"/>
                <w:szCs w:val="18"/>
              </w:rPr>
            </w:pPr>
          </w:p>
        </w:tc>
        <w:tc>
          <w:tcPr>
            <w:tcW w:w="136" w:type="pct"/>
            <w:vAlign w:val="center"/>
          </w:tcPr>
          <w:p w14:paraId="090F977A">
            <w:pPr>
              <w:jc w:val="right"/>
              <w:rPr>
                <w:sz w:val="18"/>
                <w:szCs w:val="18"/>
              </w:rPr>
            </w:pPr>
          </w:p>
        </w:tc>
        <w:tc>
          <w:tcPr>
            <w:tcW w:w="89" w:type="pct"/>
            <w:vAlign w:val="center"/>
          </w:tcPr>
          <w:p w14:paraId="3632D17A">
            <w:pPr>
              <w:jc w:val="right"/>
              <w:rPr>
                <w:sz w:val="18"/>
                <w:szCs w:val="18"/>
              </w:rPr>
            </w:pPr>
          </w:p>
        </w:tc>
        <w:tc>
          <w:tcPr>
            <w:tcW w:w="442" w:type="pct"/>
            <w:vAlign w:val="center"/>
          </w:tcPr>
          <w:p w14:paraId="569B0AF6">
            <w:pPr>
              <w:jc w:val="right"/>
              <w:rPr>
                <w:sz w:val="18"/>
                <w:szCs w:val="18"/>
              </w:rPr>
            </w:pPr>
          </w:p>
        </w:tc>
        <w:tc>
          <w:tcPr>
            <w:tcW w:w="89" w:type="pct"/>
            <w:vAlign w:val="center"/>
          </w:tcPr>
          <w:p w14:paraId="150070D0">
            <w:pPr>
              <w:jc w:val="right"/>
              <w:rPr>
                <w:sz w:val="18"/>
                <w:szCs w:val="18"/>
              </w:rPr>
            </w:pPr>
          </w:p>
        </w:tc>
        <w:tc>
          <w:tcPr>
            <w:tcW w:w="398" w:type="pct"/>
            <w:vAlign w:val="center"/>
          </w:tcPr>
          <w:p w14:paraId="4CF48F30">
            <w:pPr>
              <w:jc w:val="right"/>
              <w:rPr>
                <w:sz w:val="18"/>
                <w:szCs w:val="18"/>
              </w:rPr>
            </w:pPr>
          </w:p>
        </w:tc>
        <w:tc>
          <w:tcPr>
            <w:tcW w:w="133" w:type="pct"/>
            <w:vAlign w:val="center"/>
          </w:tcPr>
          <w:p w14:paraId="5D26040B">
            <w:pPr>
              <w:jc w:val="right"/>
              <w:rPr>
                <w:sz w:val="18"/>
                <w:szCs w:val="18"/>
              </w:rPr>
            </w:pPr>
          </w:p>
        </w:tc>
        <w:tc>
          <w:tcPr>
            <w:tcW w:w="442" w:type="pct"/>
            <w:vAlign w:val="center"/>
          </w:tcPr>
          <w:p w14:paraId="16761182">
            <w:pPr>
              <w:jc w:val="right"/>
              <w:rPr>
                <w:sz w:val="18"/>
                <w:szCs w:val="18"/>
              </w:rPr>
            </w:pPr>
          </w:p>
        </w:tc>
        <w:tc>
          <w:tcPr>
            <w:tcW w:w="119" w:type="pct"/>
            <w:vAlign w:val="center"/>
          </w:tcPr>
          <w:p w14:paraId="4A8A7733">
            <w:pPr>
              <w:jc w:val="right"/>
              <w:rPr>
                <w:sz w:val="18"/>
                <w:szCs w:val="18"/>
              </w:rPr>
            </w:pPr>
          </w:p>
        </w:tc>
        <w:tc>
          <w:tcPr>
            <w:tcW w:w="501" w:type="pct"/>
            <w:vAlign w:val="center"/>
          </w:tcPr>
          <w:p w14:paraId="3D0BCA9A">
            <w:pPr>
              <w:jc w:val="right"/>
              <w:rPr>
                <w:sz w:val="18"/>
                <w:szCs w:val="18"/>
              </w:rPr>
            </w:pPr>
          </w:p>
        </w:tc>
        <w:tc>
          <w:tcPr>
            <w:tcW w:w="125" w:type="pct"/>
            <w:vAlign w:val="center"/>
          </w:tcPr>
          <w:p w14:paraId="08683F14">
            <w:pPr>
              <w:jc w:val="right"/>
              <w:rPr>
                <w:sz w:val="18"/>
                <w:szCs w:val="18"/>
              </w:rPr>
            </w:pPr>
          </w:p>
        </w:tc>
        <w:tc>
          <w:tcPr>
            <w:tcW w:w="463" w:type="pct"/>
            <w:vAlign w:val="center"/>
          </w:tcPr>
          <w:p w14:paraId="2248A088">
            <w:pPr>
              <w:jc w:val="right"/>
              <w:rPr>
                <w:sz w:val="18"/>
                <w:szCs w:val="18"/>
              </w:rPr>
            </w:pPr>
          </w:p>
        </w:tc>
        <w:tc>
          <w:tcPr>
            <w:tcW w:w="425" w:type="pct"/>
            <w:vAlign w:val="center"/>
          </w:tcPr>
          <w:p w14:paraId="57435912">
            <w:pPr>
              <w:jc w:val="right"/>
              <w:rPr>
                <w:sz w:val="18"/>
                <w:szCs w:val="18"/>
              </w:rPr>
            </w:pPr>
          </w:p>
        </w:tc>
        <w:tc>
          <w:tcPr>
            <w:tcW w:w="531" w:type="pct"/>
            <w:vAlign w:val="center"/>
          </w:tcPr>
          <w:p w14:paraId="4DBCF54F">
            <w:pPr>
              <w:jc w:val="right"/>
              <w:rPr>
                <w:sz w:val="18"/>
                <w:szCs w:val="18"/>
              </w:rPr>
            </w:pPr>
          </w:p>
        </w:tc>
      </w:tr>
      <w:tr w14:paraId="7605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033ca7ec3c1d4c1b905d0af57ca8a614"/>
            <w:id w:val="1833798626"/>
          </w:sdtPr>
          <w:sdtContent>
            <w:tc>
              <w:tcPr>
                <w:tcW w:w="487" w:type="pct"/>
                <w:vAlign w:val="center"/>
              </w:tcPr>
              <w:p w14:paraId="730F25F3">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四、本期期末余额</w:t>
                </w:r>
              </w:p>
            </w:tc>
          </w:sdtContent>
        </w:sdt>
        <w:tc>
          <w:tcPr>
            <w:tcW w:w="488" w:type="pct"/>
            <w:vAlign w:val="center"/>
          </w:tcPr>
          <w:p w14:paraId="272FC06F">
            <w:pPr>
              <w:jc w:val="right"/>
              <w:rPr>
                <w:sz w:val="18"/>
                <w:szCs w:val="18"/>
              </w:rPr>
            </w:pPr>
            <w:r>
              <w:rPr>
                <w:rFonts w:cs="Times New Roman"/>
                <w:color w:val="000000"/>
                <w:sz w:val="18"/>
                <w:szCs w:val="18"/>
              </w:rPr>
              <w:t xml:space="preserve">1,460,994,304.00 </w:t>
            </w:r>
          </w:p>
        </w:tc>
        <w:tc>
          <w:tcPr>
            <w:tcW w:w="132" w:type="pct"/>
            <w:vAlign w:val="center"/>
          </w:tcPr>
          <w:p w14:paraId="6DF61E30">
            <w:pPr>
              <w:jc w:val="right"/>
              <w:rPr>
                <w:sz w:val="18"/>
                <w:szCs w:val="18"/>
              </w:rPr>
            </w:pPr>
          </w:p>
        </w:tc>
        <w:tc>
          <w:tcPr>
            <w:tcW w:w="136" w:type="pct"/>
            <w:vAlign w:val="center"/>
          </w:tcPr>
          <w:p w14:paraId="15F11CAA">
            <w:pPr>
              <w:jc w:val="right"/>
              <w:rPr>
                <w:sz w:val="18"/>
                <w:szCs w:val="18"/>
              </w:rPr>
            </w:pPr>
          </w:p>
        </w:tc>
        <w:tc>
          <w:tcPr>
            <w:tcW w:w="89" w:type="pct"/>
            <w:vAlign w:val="center"/>
          </w:tcPr>
          <w:p w14:paraId="5DE557BC">
            <w:pPr>
              <w:jc w:val="right"/>
              <w:rPr>
                <w:sz w:val="18"/>
                <w:szCs w:val="18"/>
              </w:rPr>
            </w:pPr>
          </w:p>
        </w:tc>
        <w:tc>
          <w:tcPr>
            <w:tcW w:w="442" w:type="pct"/>
            <w:vAlign w:val="center"/>
          </w:tcPr>
          <w:p w14:paraId="4263A70E">
            <w:pPr>
              <w:jc w:val="right"/>
              <w:rPr>
                <w:sz w:val="18"/>
                <w:szCs w:val="18"/>
              </w:rPr>
            </w:pPr>
            <w:r>
              <w:rPr>
                <w:rFonts w:cs="Times New Roman"/>
                <w:color w:val="000000"/>
                <w:sz w:val="18"/>
                <w:szCs w:val="18"/>
              </w:rPr>
              <w:t xml:space="preserve">394,938,785.79 </w:t>
            </w:r>
          </w:p>
        </w:tc>
        <w:tc>
          <w:tcPr>
            <w:tcW w:w="89" w:type="pct"/>
            <w:vAlign w:val="center"/>
          </w:tcPr>
          <w:p w14:paraId="040CA32D">
            <w:pPr>
              <w:jc w:val="right"/>
              <w:rPr>
                <w:sz w:val="18"/>
                <w:szCs w:val="18"/>
              </w:rPr>
            </w:pPr>
          </w:p>
        </w:tc>
        <w:tc>
          <w:tcPr>
            <w:tcW w:w="398" w:type="pct"/>
            <w:vAlign w:val="center"/>
          </w:tcPr>
          <w:p w14:paraId="73DC95B7">
            <w:pPr>
              <w:jc w:val="right"/>
              <w:rPr>
                <w:sz w:val="18"/>
                <w:szCs w:val="18"/>
              </w:rPr>
            </w:pPr>
            <w:r>
              <w:rPr>
                <w:rFonts w:cs="Times New Roman"/>
                <w:color w:val="000000"/>
                <w:sz w:val="18"/>
                <w:szCs w:val="18"/>
              </w:rPr>
              <w:t xml:space="preserve">92,779,101.53 </w:t>
            </w:r>
          </w:p>
        </w:tc>
        <w:tc>
          <w:tcPr>
            <w:tcW w:w="133" w:type="pct"/>
            <w:vAlign w:val="center"/>
          </w:tcPr>
          <w:p w14:paraId="7068794D">
            <w:pPr>
              <w:jc w:val="right"/>
              <w:rPr>
                <w:sz w:val="18"/>
                <w:szCs w:val="18"/>
              </w:rPr>
            </w:pPr>
          </w:p>
        </w:tc>
        <w:tc>
          <w:tcPr>
            <w:tcW w:w="442" w:type="pct"/>
            <w:vAlign w:val="center"/>
          </w:tcPr>
          <w:p w14:paraId="7302677F">
            <w:pPr>
              <w:jc w:val="right"/>
              <w:rPr>
                <w:sz w:val="18"/>
                <w:szCs w:val="18"/>
              </w:rPr>
            </w:pPr>
            <w:r>
              <w:rPr>
                <w:rFonts w:cs="Times New Roman"/>
                <w:color w:val="000000"/>
                <w:sz w:val="18"/>
                <w:szCs w:val="18"/>
              </w:rPr>
              <w:t xml:space="preserve">275,429,601.44 </w:t>
            </w:r>
          </w:p>
        </w:tc>
        <w:tc>
          <w:tcPr>
            <w:tcW w:w="119" w:type="pct"/>
            <w:vAlign w:val="center"/>
          </w:tcPr>
          <w:p w14:paraId="3E495BF6">
            <w:pPr>
              <w:jc w:val="right"/>
              <w:rPr>
                <w:sz w:val="18"/>
                <w:szCs w:val="18"/>
              </w:rPr>
            </w:pPr>
          </w:p>
        </w:tc>
        <w:tc>
          <w:tcPr>
            <w:tcW w:w="501" w:type="pct"/>
            <w:vAlign w:val="center"/>
          </w:tcPr>
          <w:p w14:paraId="1F59CAB4">
            <w:pPr>
              <w:jc w:val="right"/>
              <w:rPr>
                <w:sz w:val="18"/>
                <w:szCs w:val="18"/>
              </w:rPr>
            </w:pPr>
            <w:r>
              <w:rPr>
                <w:rFonts w:cs="Times New Roman"/>
                <w:color w:val="000000"/>
                <w:sz w:val="18"/>
                <w:szCs w:val="18"/>
              </w:rPr>
              <w:t>1,216,118,945.87</w:t>
            </w:r>
          </w:p>
        </w:tc>
        <w:tc>
          <w:tcPr>
            <w:tcW w:w="125" w:type="pct"/>
            <w:vAlign w:val="center"/>
          </w:tcPr>
          <w:p w14:paraId="52C2292A">
            <w:pPr>
              <w:jc w:val="right"/>
              <w:rPr>
                <w:sz w:val="18"/>
                <w:szCs w:val="18"/>
              </w:rPr>
            </w:pPr>
          </w:p>
        </w:tc>
        <w:tc>
          <w:tcPr>
            <w:tcW w:w="463" w:type="pct"/>
            <w:vAlign w:val="center"/>
          </w:tcPr>
          <w:p w14:paraId="7DB21EEC">
            <w:pPr>
              <w:jc w:val="right"/>
              <w:rPr>
                <w:sz w:val="18"/>
                <w:szCs w:val="18"/>
              </w:rPr>
            </w:pPr>
            <w:r>
              <w:rPr>
                <w:rFonts w:cs="Times New Roman"/>
                <w:color w:val="000000"/>
                <w:sz w:val="18"/>
                <w:szCs w:val="18"/>
              </w:rPr>
              <w:t>3,440,260,738.63</w:t>
            </w:r>
          </w:p>
        </w:tc>
        <w:tc>
          <w:tcPr>
            <w:tcW w:w="425" w:type="pct"/>
            <w:vAlign w:val="center"/>
          </w:tcPr>
          <w:p w14:paraId="35594ECD">
            <w:pPr>
              <w:jc w:val="right"/>
              <w:rPr>
                <w:sz w:val="18"/>
                <w:szCs w:val="18"/>
              </w:rPr>
            </w:pPr>
            <w:r>
              <w:rPr>
                <w:rFonts w:cs="Times New Roman"/>
                <w:color w:val="000000"/>
                <w:sz w:val="18"/>
                <w:szCs w:val="18"/>
              </w:rPr>
              <w:t xml:space="preserve">16,926,748.46 </w:t>
            </w:r>
          </w:p>
        </w:tc>
        <w:tc>
          <w:tcPr>
            <w:tcW w:w="531" w:type="pct"/>
            <w:vAlign w:val="center"/>
          </w:tcPr>
          <w:p w14:paraId="3E30ED1C">
            <w:pPr>
              <w:jc w:val="right"/>
              <w:rPr>
                <w:sz w:val="18"/>
                <w:szCs w:val="18"/>
              </w:rPr>
            </w:pPr>
            <w:r>
              <w:rPr>
                <w:rFonts w:cs="Times New Roman"/>
                <w:color w:val="000000"/>
                <w:sz w:val="18"/>
                <w:szCs w:val="18"/>
              </w:rPr>
              <w:t>3,457,187,487.09</w:t>
            </w:r>
          </w:p>
        </w:tc>
      </w:tr>
      <w:bookmarkEnd w:id="128"/>
    </w:tbl>
    <w:p w14:paraId="3B087CB0">
      <w:pPr>
        <w:snapToGrid w:val="0"/>
        <w:spacing w:line="240" w:lineRule="atLeast"/>
        <w:ind w:right="-1594" w:rightChars="-759"/>
        <w:rPr>
          <w:color w:val="000000" w:themeColor="text1"/>
          <w14:textFill>
            <w14:solidFill>
              <w14:schemeClr w14:val="tx1"/>
            </w14:solidFill>
          </w14:textFill>
        </w:rPr>
      </w:pPr>
    </w:p>
    <w:tbl>
      <w:tblPr>
        <w:tblStyle w:val="37"/>
        <w:tblW w:w="5777" w:type="pct"/>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5"/>
        <w:gridCol w:w="1557"/>
        <w:gridCol w:w="285"/>
        <w:gridCol w:w="282"/>
        <w:gridCol w:w="285"/>
        <w:gridCol w:w="1416"/>
        <w:gridCol w:w="426"/>
        <w:gridCol w:w="1275"/>
        <w:gridCol w:w="285"/>
        <w:gridCol w:w="1416"/>
        <w:gridCol w:w="426"/>
        <w:gridCol w:w="1560"/>
        <w:gridCol w:w="426"/>
        <w:gridCol w:w="1611"/>
        <w:gridCol w:w="1365"/>
        <w:gridCol w:w="1557"/>
      </w:tblGrid>
      <w:tr w14:paraId="1974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Merge w:val="restart"/>
            <w:vAlign w:val="center"/>
          </w:tcPr>
          <w:sdt>
            <w:sdtPr>
              <w:tag w:val="_PLD_20eb9c9dd1e14fb0a0790f87b63a489d"/>
              <w:id w:val="-1183975000"/>
            </w:sdtPr>
            <w:sdtContent>
              <w:p w14:paraId="4FA45237">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项目</w:t>
                </w:r>
              </w:p>
            </w:sdtContent>
          </w:sdt>
        </w:tc>
        <w:tc>
          <w:tcPr>
            <w:tcW w:w="4424" w:type="pct"/>
            <w:gridSpan w:val="15"/>
            <w:vAlign w:val="center"/>
          </w:tcPr>
          <w:p w14:paraId="6DF2DF7F">
            <w:pPr>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sdt>
              <w:sdtPr>
                <w:tag w:val="_PLD_95c0e6e5f75a49daa1b601f67b7dd704"/>
                <w:id w:val="6257005"/>
              </w:sdtPr>
              <w:sdtContent>
                <w:r>
                  <w:rPr>
                    <w:rFonts w:hint="eastAsia"/>
                    <w:color w:val="000000" w:themeColor="text1"/>
                    <w:sz w:val="18"/>
                    <w:szCs w:val="18"/>
                    <w14:textFill>
                      <w14:solidFill>
                        <w14:schemeClr w14:val="tx1"/>
                      </w14:solidFill>
                    </w14:textFill>
                  </w:rPr>
                  <w:t>2025年半年度</w:t>
                </w:r>
              </w:sdtContent>
            </w:sdt>
          </w:p>
        </w:tc>
      </w:tr>
      <w:tr w14:paraId="093D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76" w:type="pct"/>
            <w:vMerge w:val="continue"/>
            <w:vAlign w:val="center"/>
          </w:tcPr>
          <w:p w14:paraId="35671239">
            <w:pPr>
              <w:snapToGrid w:val="0"/>
              <w:spacing w:line="240" w:lineRule="atLeast"/>
              <w:ind w:right="-1594" w:rightChars="-759"/>
              <w:rPr>
                <w:color w:val="000000" w:themeColor="text1"/>
                <w:sz w:val="18"/>
                <w:szCs w:val="18"/>
                <w14:textFill>
                  <w14:solidFill>
                    <w14:schemeClr w14:val="tx1"/>
                  </w14:solidFill>
                </w14:textFill>
              </w:rPr>
            </w:pPr>
          </w:p>
        </w:tc>
        <w:sdt>
          <w:sdtPr>
            <w:tag w:val="_PLD_3c5d65171933469ea16eac46afc03a54"/>
            <w:id w:val="-1368990513"/>
          </w:sdtPr>
          <w:sdtContent>
            <w:tc>
              <w:tcPr>
                <w:tcW w:w="3512" w:type="pct"/>
                <w:gridSpan w:val="13"/>
                <w:vAlign w:val="center"/>
              </w:tcPr>
              <w:p w14:paraId="4E32DE49">
                <w:pPr>
                  <w:jc w:val="center"/>
                  <w:rPr>
                    <w:color w:val="000000" w:themeColor="text1"/>
                    <w14:textFill>
                      <w14:solidFill>
                        <w14:schemeClr w14:val="tx1"/>
                      </w14:solidFill>
                    </w14:textFill>
                  </w:rPr>
                </w:pPr>
                <w:r>
                  <w:rPr>
                    <w:color w:val="000000" w:themeColor="text1"/>
                    <w:sz w:val="18"/>
                    <w:szCs w:val="18"/>
                    <w14:textFill>
                      <w14:solidFill>
                        <w14:schemeClr w14:val="tx1"/>
                      </w14:solidFill>
                    </w14:textFill>
                  </w:rPr>
                  <w:t>归属于母公司所有者权益</w:t>
                </w:r>
              </w:p>
            </w:tc>
          </w:sdtContent>
        </w:sdt>
        <w:sdt>
          <w:sdtPr>
            <w:tag w:val="_PLD_ba7b1c99b1634f48939c500d6c46ce09"/>
            <w:id w:val="1550642785"/>
          </w:sdtPr>
          <w:sdtContent>
            <w:tc>
              <w:tcPr>
                <w:tcW w:w="426" w:type="pct"/>
                <w:vMerge w:val="restart"/>
                <w:vAlign w:val="center"/>
              </w:tcPr>
              <w:p w14:paraId="10867E9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少数股东权益</w:t>
                </w:r>
              </w:p>
            </w:tc>
          </w:sdtContent>
        </w:sdt>
        <w:sdt>
          <w:sdtPr>
            <w:tag w:val="_PLD_fb367567c5f141a5863649df07435b71"/>
            <w:id w:val="2091038881"/>
          </w:sdtPr>
          <w:sdtContent>
            <w:tc>
              <w:tcPr>
                <w:tcW w:w="486" w:type="pct"/>
                <w:vMerge w:val="restart"/>
                <w:vAlign w:val="center"/>
              </w:tcPr>
              <w:p w14:paraId="12B3728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所有者权益合计</w:t>
                </w:r>
              </w:p>
            </w:tc>
          </w:sdtContent>
        </w:sdt>
      </w:tr>
      <w:tr w14:paraId="163D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76" w:type="pct"/>
            <w:vMerge w:val="continue"/>
            <w:vAlign w:val="center"/>
          </w:tcPr>
          <w:p w14:paraId="0F0CD3ED">
            <w:pPr>
              <w:snapToGrid w:val="0"/>
              <w:spacing w:line="240" w:lineRule="atLeast"/>
              <w:ind w:right="-1594" w:rightChars="-759"/>
              <w:rPr>
                <w:color w:val="000000" w:themeColor="text1"/>
                <w:sz w:val="18"/>
                <w:szCs w:val="18"/>
                <w14:textFill>
                  <w14:solidFill>
                    <w14:schemeClr w14:val="tx1"/>
                  </w14:solidFill>
                </w14:textFill>
              </w:rPr>
            </w:pPr>
          </w:p>
        </w:tc>
        <w:sdt>
          <w:sdtPr>
            <w:tag w:val="_PLD_36b3a5c009c04b53b0bd25afc2596e7e"/>
            <w:id w:val="1548404788"/>
          </w:sdtPr>
          <w:sdtContent>
            <w:tc>
              <w:tcPr>
                <w:tcW w:w="486" w:type="pct"/>
                <w:vMerge w:val="restart"/>
                <w:vAlign w:val="center"/>
              </w:tcPr>
              <w:p w14:paraId="7A2AE5EA">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实收资本</w:t>
                </w:r>
                <w:r>
                  <w:rPr>
                    <w:color w:val="000000" w:themeColor="text1"/>
                    <w:sz w:val="18"/>
                    <w:szCs w:val="18"/>
                    <w14:textFill>
                      <w14:solidFill>
                        <w14:schemeClr w14:val="tx1"/>
                      </w14:solidFill>
                    </w14:textFill>
                  </w:rPr>
                  <w:t>(或股本)</w:t>
                </w:r>
              </w:p>
            </w:tc>
          </w:sdtContent>
        </w:sdt>
        <w:sdt>
          <w:sdtPr>
            <w:tag w:val="_PLD_c0579a9940424a129a85d26955bb30bc"/>
            <w:id w:val="-576978546"/>
          </w:sdtPr>
          <w:sdtContent>
            <w:tc>
              <w:tcPr>
                <w:tcW w:w="266" w:type="pct"/>
                <w:gridSpan w:val="3"/>
                <w:vAlign w:val="center"/>
              </w:tcPr>
              <w:p w14:paraId="5AC33266">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其他权益工具</w:t>
                </w:r>
              </w:p>
            </w:tc>
          </w:sdtContent>
        </w:sdt>
        <w:sdt>
          <w:sdtPr>
            <w:tag w:val="_PLD_f728bf12d1d64c4fa04dfc828a7a0411"/>
            <w:id w:val="-433598913"/>
          </w:sdtPr>
          <w:sdtContent>
            <w:tc>
              <w:tcPr>
                <w:tcW w:w="442" w:type="pct"/>
                <w:vMerge w:val="restart"/>
                <w:vAlign w:val="center"/>
              </w:tcPr>
              <w:p w14:paraId="0D715E95">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资本公积</w:t>
                </w:r>
              </w:p>
            </w:tc>
          </w:sdtContent>
        </w:sdt>
        <w:sdt>
          <w:sdtPr>
            <w:tag w:val="_PLD_8c191e0685ac4367b113504c484a11e9"/>
            <w:id w:val="-1438051201"/>
          </w:sdtPr>
          <w:sdtContent>
            <w:tc>
              <w:tcPr>
                <w:tcW w:w="133" w:type="pct"/>
                <w:vMerge w:val="restart"/>
                <w:vAlign w:val="center"/>
              </w:tcPr>
              <w:p w14:paraId="51462057">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减：库存股</w:t>
                </w:r>
              </w:p>
            </w:tc>
          </w:sdtContent>
        </w:sdt>
        <w:sdt>
          <w:sdtPr>
            <w:tag w:val="_PLD_68ae3206209542ea8491f40d49bafeb7"/>
            <w:id w:val="-1717346216"/>
          </w:sdtPr>
          <w:sdtContent>
            <w:tc>
              <w:tcPr>
                <w:tcW w:w="398" w:type="pct"/>
                <w:vMerge w:val="restart"/>
                <w:vAlign w:val="center"/>
              </w:tcPr>
              <w:p w14:paraId="0A539BE0">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其他综合收益</w:t>
                </w:r>
              </w:p>
            </w:tc>
          </w:sdtContent>
        </w:sdt>
        <w:sdt>
          <w:sdtPr>
            <w:tag w:val="_PLD_6402f064d7a041d58973d8b8205096d0"/>
            <w:id w:val="1956133034"/>
          </w:sdtPr>
          <w:sdtContent>
            <w:tc>
              <w:tcPr>
                <w:tcW w:w="89" w:type="pct"/>
                <w:vMerge w:val="restart"/>
                <w:vAlign w:val="center"/>
              </w:tcPr>
              <w:p w14:paraId="448F93ED">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专项储备</w:t>
                </w:r>
              </w:p>
            </w:tc>
          </w:sdtContent>
        </w:sdt>
        <w:sdt>
          <w:sdtPr>
            <w:tag w:val="_PLD_b1d22d8686164205bfa14ef647cebfcd"/>
            <w:id w:val="499476684"/>
          </w:sdtPr>
          <w:sdtContent>
            <w:tc>
              <w:tcPr>
                <w:tcW w:w="442" w:type="pct"/>
                <w:vMerge w:val="restart"/>
                <w:vAlign w:val="center"/>
              </w:tcPr>
              <w:p w14:paraId="532AC3BD">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盈余公积</w:t>
                </w:r>
              </w:p>
            </w:tc>
          </w:sdtContent>
        </w:sdt>
        <w:sdt>
          <w:sdtPr>
            <w:tag w:val="_PLD_c5c57d0195b14864b413898a9c76e89d"/>
            <w:id w:val="-1236847956"/>
          </w:sdtPr>
          <w:sdtContent>
            <w:tc>
              <w:tcPr>
                <w:tcW w:w="133" w:type="pct"/>
                <w:vMerge w:val="restart"/>
                <w:vAlign w:val="center"/>
              </w:tcPr>
              <w:p w14:paraId="2AA3FEEE">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一般风险准备</w:t>
                </w:r>
              </w:p>
            </w:tc>
          </w:sdtContent>
        </w:sdt>
        <w:sdt>
          <w:sdtPr>
            <w:tag w:val="_PLD_c9bffd2027d24ca1955db036ad79f5ea"/>
            <w:id w:val="1134454114"/>
          </w:sdtPr>
          <w:sdtContent>
            <w:tc>
              <w:tcPr>
                <w:tcW w:w="487" w:type="pct"/>
                <w:vMerge w:val="restart"/>
                <w:vAlign w:val="center"/>
              </w:tcPr>
              <w:p w14:paraId="7077BF0F">
                <w:pPr>
                  <w:snapToGrid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未分配利润</w:t>
                </w:r>
              </w:p>
            </w:tc>
          </w:sdtContent>
        </w:sdt>
        <w:tc>
          <w:tcPr>
            <w:tcW w:w="133" w:type="pct"/>
            <w:vMerge w:val="restart"/>
            <w:vAlign w:val="center"/>
          </w:tcPr>
          <w:sdt>
            <w:sdtPr>
              <w:tag w:val="_PLD_de6da1e2128f48e49564e44af75ff7ab"/>
              <w:id w:val="-2099549289"/>
            </w:sdtPr>
            <w:sdtContent>
              <w:sdt>
                <w:sdtPr>
                  <w:tag w:val="_PLD_ff5e808cf3794086a9aee4c489a9f6eb"/>
                  <w:id w:val="-994877238"/>
                  <w:lock w:val="sdtLocked"/>
                </w:sdtPr>
                <w:sdtContent>
                  <w:p w14:paraId="3CE9910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w:t>
                    </w:r>
                  </w:p>
                </w:sdtContent>
              </w:sdt>
            </w:sdtContent>
          </w:sdt>
        </w:tc>
        <w:tc>
          <w:tcPr>
            <w:tcW w:w="503" w:type="pct"/>
            <w:vMerge w:val="restart"/>
            <w:vAlign w:val="center"/>
          </w:tcPr>
          <w:sdt>
            <w:sdtPr>
              <w:tag w:val="_PLD_e6df9793a438430a8df9730b2cdd8a99"/>
              <w:id w:val="-899592126"/>
            </w:sdtPr>
            <w:sdtContent>
              <w:p w14:paraId="676E30B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小计</w:t>
                </w:r>
              </w:p>
            </w:sdtContent>
          </w:sdt>
        </w:tc>
        <w:tc>
          <w:tcPr>
            <w:tcW w:w="426" w:type="pct"/>
            <w:vMerge w:val="continue"/>
            <w:vAlign w:val="center"/>
          </w:tcPr>
          <w:p w14:paraId="095058B1">
            <w:pPr>
              <w:jc w:val="center"/>
              <w:rPr>
                <w:color w:val="000000" w:themeColor="text1"/>
                <w:sz w:val="18"/>
                <w:szCs w:val="18"/>
                <w14:textFill>
                  <w14:solidFill>
                    <w14:schemeClr w14:val="tx1"/>
                  </w14:solidFill>
                </w14:textFill>
              </w:rPr>
            </w:pPr>
          </w:p>
        </w:tc>
        <w:tc>
          <w:tcPr>
            <w:tcW w:w="486" w:type="pct"/>
            <w:vMerge w:val="continue"/>
            <w:vAlign w:val="center"/>
          </w:tcPr>
          <w:p w14:paraId="6A674136">
            <w:pPr>
              <w:jc w:val="center"/>
              <w:rPr>
                <w:color w:val="000000" w:themeColor="text1"/>
                <w:sz w:val="18"/>
                <w:szCs w:val="18"/>
                <w14:textFill>
                  <w14:solidFill>
                    <w14:schemeClr w14:val="tx1"/>
                  </w14:solidFill>
                </w14:textFill>
              </w:rPr>
            </w:pPr>
          </w:p>
        </w:tc>
      </w:tr>
      <w:tr w14:paraId="4006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576" w:type="pct"/>
            <w:vMerge w:val="continue"/>
            <w:vAlign w:val="center"/>
          </w:tcPr>
          <w:p w14:paraId="53BCC298">
            <w:pPr>
              <w:snapToGrid w:val="0"/>
              <w:spacing w:line="240" w:lineRule="atLeast"/>
              <w:ind w:right="-1594" w:rightChars="-759"/>
              <w:rPr>
                <w:color w:val="000000" w:themeColor="text1"/>
                <w:sz w:val="18"/>
                <w:szCs w:val="18"/>
                <w14:textFill>
                  <w14:solidFill>
                    <w14:schemeClr w14:val="tx1"/>
                  </w14:solidFill>
                </w14:textFill>
              </w:rPr>
            </w:pPr>
          </w:p>
        </w:tc>
        <w:tc>
          <w:tcPr>
            <w:tcW w:w="486" w:type="pct"/>
            <w:vMerge w:val="continue"/>
            <w:vAlign w:val="center"/>
          </w:tcPr>
          <w:p w14:paraId="0B823643">
            <w:pPr>
              <w:snapToGrid w:val="0"/>
              <w:spacing w:line="240" w:lineRule="atLeast"/>
              <w:jc w:val="center"/>
              <w:rPr>
                <w:color w:val="000000" w:themeColor="text1"/>
                <w:sz w:val="18"/>
                <w:szCs w:val="18"/>
                <w14:textFill>
                  <w14:solidFill>
                    <w14:schemeClr w14:val="tx1"/>
                  </w14:solidFill>
                </w14:textFill>
              </w:rPr>
            </w:pPr>
          </w:p>
        </w:tc>
        <w:sdt>
          <w:sdtPr>
            <w:tag w:val="_PLD_052ae87eff474159aaedec0c5ce4bb50"/>
            <w:id w:val="1099374842"/>
          </w:sdtPr>
          <w:sdtContent>
            <w:tc>
              <w:tcPr>
                <w:tcW w:w="89" w:type="pct"/>
                <w:vAlign w:val="center"/>
              </w:tcPr>
              <w:p w14:paraId="1D68512E">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优先股</w:t>
                </w:r>
              </w:p>
            </w:tc>
          </w:sdtContent>
        </w:sdt>
        <w:sdt>
          <w:sdtPr>
            <w:tag w:val="_PLD_f40d311f528a48d8a47457e11ad5ccd5"/>
            <w:id w:val="1759403368"/>
          </w:sdtPr>
          <w:sdtContent>
            <w:tc>
              <w:tcPr>
                <w:tcW w:w="88" w:type="pct"/>
                <w:vAlign w:val="center"/>
              </w:tcPr>
              <w:p w14:paraId="45FF04F6">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永续债</w:t>
                </w:r>
              </w:p>
            </w:tc>
          </w:sdtContent>
        </w:sdt>
        <w:sdt>
          <w:sdtPr>
            <w:tag w:val="_PLD_90f98adf8eaf44078005d57f570c4291"/>
            <w:id w:val="-988935422"/>
          </w:sdtPr>
          <w:sdtContent>
            <w:tc>
              <w:tcPr>
                <w:tcW w:w="89" w:type="pct"/>
                <w:vAlign w:val="center"/>
              </w:tcPr>
              <w:p w14:paraId="636E347F">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w:t>
                </w:r>
              </w:p>
            </w:tc>
          </w:sdtContent>
        </w:sdt>
        <w:tc>
          <w:tcPr>
            <w:tcW w:w="442" w:type="pct"/>
            <w:vMerge w:val="continue"/>
            <w:vAlign w:val="center"/>
          </w:tcPr>
          <w:p w14:paraId="15E0D1E4">
            <w:pPr>
              <w:snapToGrid w:val="0"/>
              <w:spacing w:line="240" w:lineRule="atLeast"/>
              <w:jc w:val="center"/>
              <w:rPr>
                <w:color w:val="000000" w:themeColor="text1"/>
                <w:sz w:val="18"/>
                <w:szCs w:val="18"/>
                <w14:textFill>
                  <w14:solidFill>
                    <w14:schemeClr w14:val="tx1"/>
                  </w14:solidFill>
                </w14:textFill>
              </w:rPr>
            </w:pPr>
          </w:p>
        </w:tc>
        <w:tc>
          <w:tcPr>
            <w:tcW w:w="133" w:type="pct"/>
            <w:vMerge w:val="continue"/>
            <w:vAlign w:val="center"/>
          </w:tcPr>
          <w:p w14:paraId="6CE0E4ED">
            <w:pPr>
              <w:snapToGrid w:val="0"/>
              <w:spacing w:line="240" w:lineRule="atLeast"/>
              <w:jc w:val="center"/>
              <w:rPr>
                <w:color w:val="000000" w:themeColor="text1"/>
                <w:sz w:val="18"/>
                <w:szCs w:val="18"/>
                <w14:textFill>
                  <w14:solidFill>
                    <w14:schemeClr w14:val="tx1"/>
                  </w14:solidFill>
                </w14:textFill>
              </w:rPr>
            </w:pPr>
          </w:p>
        </w:tc>
        <w:tc>
          <w:tcPr>
            <w:tcW w:w="398" w:type="pct"/>
            <w:vMerge w:val="continue"/>
            <w:vAlign w:val="center"/>
          </w:tcPr>
          <w:p w14:paraId="0ABB54C8">
            <w:pPr>
              <w:snapToGrid w:val="0"/>
              <w:spacing w:line="240" w:lineRule="atLeast"/>
              <w:jc w:val="center"/>
              <w:rPr>
                <w:color w:val="000000" w:themeColor="text1"/>
                <w:sz w:val="18"/>
                <w:szCs w:val="18"/>
                <w14:textFill>
                  <w14:solidFill>
                    <w14:schemeClr w14:val="tx1"/>
                  </w14:solidFill>
                </w14:textFill>
              </w:rPr>
            </w:pPr>
          </w:p>
        </w:tc>
        <w:tc>
          <w:tcPr>
            <w:tcW w:w="89" w:type="pct"/>
            <w:vMerge w:val="continue"/>
            <w:vAlign w:val="center"/>
          </w:tcPr>
          <w:p w14:paraId="4FB039B9">
            <w:pPr>
              <w:snapToGrid w:val="0"/>
              <w:spacing w:line="240" w:lineRule="atLeast"/>
              <w:jc w:val="center"/>
              <w:rPr>
                <w:color w:val="000000" w:themeColor="text1"/>
                <w:sz w:val="18"/>
                <w:szCs w:val="18"/>
                <w14:textFill>
                  <w14:solidFill>
                    <w14:schemeClr w14:val="tx1"/>
                  </w14:solidFill>
                </w14:textFill>
              </w:rPr>
            </w:pPr>
          </w:p>
        </w:tc>
        <w:tc>
          <w:tcPr>
            <w:tcW w:w="442" w:type="pct"/>
            <w:vMerge w:val="continue"/>
            <w:vAlign w:val="center"/>
          </w:tcPr>
          <w:p w14:paraId="36A34978">
            <w:pPr>
              <w:snapToGrid w:val="0"/>
              <w:spacing w:line="240" w:lineRule="atLeast"/>
              <w:jc w:val="center"/>
              <w:rPr>
                <w:color w:val="000000" w:themeColor="text1"/>
                <w:sz w:val="18"/>
                <w:szCs w:val="18"/>
                <w14:textFill>
                  <w14:solidFill>
                    <w14:schemeClr w14:val="tx1"/>
                  </w14:solidFill>
                </w14:textFill>
              </w:rPr>
            </w:pPr>
          </w:p>
        </w:tc>
        <w:tc>
          <w:tcPr>
            <w:tcW w:w="133" w:type="pct"/>
            <w:vMerge w:val="continue"/>
            <w:vAlign w:val="center"/>
          </w:tcPr>
          <w:p w14:paraId="31466393">
            <w:pPr>
              <w:snapToGrid w:val="0"/>
              <w:spacing w:line="240" w:lineRule="atLeast"/>
              <w:jc w:val="center"/>
              <w:rPr>
                <w:color w:val="000000" w:themeColor="text1"/>
                <w:sz w:val="18"/>
                <w:szCs w:val="18"/>
                <w14:textFill>
                  <w14:solidFill>
                    <w14:schemeClr w14:val="tx1"/>
                  </w14:solidFill>
                </w14:textFill>
              </w:rPr>
            </w:pPr>
          </w:p>
        </w:tc>
        <w:tc>
          <w:tcPr>
            <w:tcW w:w="487" w:type="pct"/>
            <w:vMerge w:val="continue"/>
            <w:vAlign w:val="center"/>
          </w:tcPr>
          <w:p w14:paraId="7466D637">
            <w:pPr>
              <w:snapToGrid w:val="0"/>
              <w:spacing w:line="240" w:lineRule="atLeast"/>
              <w:jc w:val="center"/>
              <w:rPr>
                <w:color w:val="000000" w:themeColor="text1"/>
                <w:sz w:val="18"/>
                <w:szCs w:val="18"/>
                <w14:textFill>
                  <w14:solidFill>
                    <w14:schemeClr w14:val="tx1"/>
                  </w14:solidFill>
                </w14:textFill>
              </w:rPr>
            </w:pPr>
          </w:p>
        </w:tc>
        <w:tc>
          <w:tcPr>
            <w:tcW w:w="133" w:type="pct"/>
            <w:vMerge w:val="continue"/>
            <w:vAlign w:val="center"/>
          </w:tcPr>
          <w:p w14:paraId="2834F7B0">
            <w:pPr>
              <w:jc w:val="center"/>
              <w:rPr>
                <w:color w:val="000000" w:themeColor="text1"/>
                <w:sz w:val="18"/>
                <w:szCs w:val="18"/>
                <w14:textFill>
                  <w14:solidFill>
                    <w14:schemeClr w14:val="tx1"/>
                  </w14:solidFill>
                </w14:textFill>
              </w:rPr>
            </w:pPr>
          </w:p>
        </w:tc>
        <w:tc>
          <w:tcPr>
            <w:tcW w:w="503" w:type="pct"/>
            <w:vMerge w:val="continue"/>
            <w:vAlign w:val="center"/>
          </w:tcPr>
          <w:p w14:paraId="130EF095">
            <w:pPr>
              <w:jc w:val="center"/>
              <w:rPr>
                <w:color w:val="000000" w:themeColor="text1"/>
                <w:sz w:val="18"/>
                <w:szCs w:val="18"/>
                <w14:textFill>
                  <w14:solidFill>
                    <w14:schemeClr w14:val="tx1"/>
                  </w14:solidFill>
                </w14:textFill>
              </w:rPr>
            </w:pPr>
          </w:p>
        </w:tc>
        <w:tc>
          <w:tcPr>
            <w:tcW w:w="426" w:type="pct"/>
            <w:vMerge w:val="continue"/>
            <w:vAlign w:val="center"/>
          </w:tcPr>
          <w:p w14:paraId="3F304F35">
            <w:pPr>
              <w:jc w:val="center"/>
              <w:rPr>
                <w:color w:val="000000" w:themeColor="text1"/>
                <w:sz w:val="18"/>
                <w:szCs w:val="18"/>
                <w14:textFill>
                  <w14:solidFill>
                    <w14:schemeClr w14:val="tx1"/>
                  </w14:solidFill>
                </w14:textFill>
              </w:rPr>
            </w:pPr>
          </w:p>
        </w:tc>
        <w:tc>
          <w:tcPr>
            <w:tcW w:w="486" w:type="pct"/>
            <w:vMerge w:val="continue"/>
            <w:tcBorders>
              <w:bottom w:val="nil"/>
            </w:tcBorders>
            <w:vAlign w:val="center"/>
          </w:tcPr>
          <w:p w14:paraId="3B5B7E3E">
            <w:pPr>
              <w:jc w:val="center"/>
              <w:rPr>
                <w:color w:val="000000" w:themeColor="text1"/>
                <w:sz w:val="18"/>
                <w:szCs w:val="18"/>
                <w14:textFill>
                  <w14:solidFill>
                    <w14:schemeClr w14:val="tx1"/>
                  </w14:solidFill>
                </w14:textFill>
              </w:rPr>
            </w:pPr>
          </w:p>
        </w:tc>
      </w:tr>
      <w:tr w14:paraId="04D9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7e9607e7cfb34d74bf0fce08e0866d34"/>
            <w:id w:val="-1585914779"/>
          </w:sdtPr>
          <w:sdtContent>
            <w:tc>
              <w:tcPr>
                <w:tcW w:w="576" w:type="pct"/>
                <w:vAlign w:val="center"/>
              </w:tcPr>
              <w:p w14:paraId="6537197F">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一、上年</w:t>
                </w:r>
                <w:r>
                  <w:rPr>
                    <w:rFonts w:hint="eastAsia"/>
                    <w:color w:val="000000" w:themeColor="text1"/>
                    <w:sz w:val="18"/>
                    <w:szCs w:val="18"/>
                    <w14:textFill>
                      <w14:solidFill>
                        <w14:schemeClr w14:val="tx1"/>
                      </w14:solidFill>
                    </w14:textFill>
                  </w:rPr>
                  <w:t>期</w:t>
                </w:r>
                <w:r>
                  <w:rPr>
                    <w:color w:val="000000" w:themeColor="text1"/>
                    <w:sz w:val="18"/>
                    <w:szCs w:val="18"/>
                    <w14:textFill>
                      <w14:solidFill>
                        <w14:schemeClr w14:val="tx1"/>
                      </w14:solidFill>
                    </w14:textFill>
                  </w:rPr>
                  <w:t>末余额</w:t>
                </w:r>
              </w:p>
            </w:tc>
          </w:sdtContent>
        </w:sdt>
        <w:tc>
          <w:tcPr>
            <w:tcW w:w="486" w:type="pct"/>
            <w:vAlign w:val="center"/>
          </w:tcPr>
          <w:p w14:paraId="0DDA127A">
            <w:pPr>
              <w:jc w:val="right"/>
              <w:rPr>
                <w:sz w:val="18"/>
                <w:szCs w:val="18"/>
              </w:rPr>
            </w:pPr>
            <w:r>
              <w:rPr>
                <w:sz w:val="18"/>
                <w:szCs w:val="18"/>
              </w:rPr>
              <w:t>1,460,994,304.00</w:t>
            </w:r>
          </w:p>
        </w:tc>
        <w:tc>
          <w:tcPr>
            <w:tcW w:w="89" w:type="pct"/>
            <w:vAlign w:val="center"/>
          </w:tcPr>
          <w:p w14:paraId="02039709">
            <w:pPr>
              <w:jc w:val="right"/>
              <w:rPr>
                <w:sz w:val="18"/>
                <w:szCs w:val="18"/>
              </w:rPr>
            </w:pPr>
          </w:p>
        </w:tc>
        <w:tc>
          <w:tcPr>
            <w:tcW w:w="88" w:type="pct"/>
            <w:vAlign w:val="center"/>
          </w:tcPr>
          <w:p w14:paraId="5EC5D709">
            <w:pPr>
              <w:jc w:val="right"/>
              <w:rPr>
                <w:sz w:val="18"/>
                <w:szCs w:val="18"/>
              </w:rPr>
            </w:pPr>
          </w:p>
        </w:tc>
        <w:tc>
          <w:tcPr>
            <w:tcW w:w="89" w:type="pct"/>
            <w:vAlign w:val="center"/>
          </w:tcPr>
          <w:p w14:paraId="66D758E6">
            <w:pPr>
              <w:jc w:val="right"/>
              <w:rPr>
                <w:sz w:val="18"/>
                <w:szCs w:val="18"/>
              </w:rPr>
            </w:pPr>
          </w:p>
        </w:tc>
        <w:tc>
          <w:tcPr>
            <w:tcW w:w="442" w:type="pct"/>
            <w:vAlign w:val="center"/>
          </w:tcPr>
          <w:p w14:paraId="6E7A5E39">
            <w:pPr>
              <w:jc w:val="right"/>
              <w:rPr>
                <w:sz w:val="18"/>
                <w:szCs w:val="18"/>
              </w:rPr>
            </w:pPr>
            <w:r>
              <w:rPr>
                <w:sz w:val="18"/>
                <w:szCs w:val="18"/>
              </w:rPr>
              <w:t>394,938,785.79</w:t>
            </w:r>
          </w:p>
        </w:tc>
        <w:tc>
          <w:tcPr>
            <w:tcW w:w="133" w:type="pct"/>
            <w:vAlign w:val="center"/>
          </w:tcPr>
          <w:p w14:paraId="677D9569">
            <w:pPr>
              <w:jc w:val="right"/>
              <w:rPr>
                <w:sz w:val="18"/>
                <w:szCs w:val="18"/>
              </w:rPr>
            </w:pPr>
          </w:p>
        </w:tc>
        <w:tc>
          <w:tcPr>
            <w:tcW w:w="398" w:type="pct"/>
            <w:vAlign w:val="center"/>
          </w:tcPr>
          <w:p w14:paraId="57D9BBC7">
            <w:pPr>
              <w:jc w:val="right"/>
              <w:rPr>
                <w:sz w:val="18"/>
                <w:szCs w:val="18"/>
              </w:rPr>
            </w:pPr>
            <w:r>
              <w:rPr>
                <w:sz w:val="18"/>
                <w:szCs w:val="18"/>
              </w:rPr>
              <w:t>97,731,844.14</w:t>
            </w:r>
          </w:p>
        </w:tc>
        <w:tc>
          <w:tcPr>
            <w:tcW w:w="89" w:type="pct"/>
            <w:vAlign w:val="center"/>
          </w:tcPr>
          <w:p w14:paraId="5705AAF1">
            <w:pPr>
              <w:jc w:val="right"/>
              <w:rPr>
                <w:sz w:val="18"/>
                <w:szCs w:val="18"/>
              </w:rPr>
            </w:pPr>
          </w:p>
        </w:tc>
        <w:tc>
          <w:tcPr>
            <w:tcW w:w="442" w:type="pct"/>
            <w:vAlign w:val="center"/>
          </w:tcPr>
          <w:p w14:paraId="0F7BBDBD">
            <w:pPr>
              <w:jc w:val="right"/>
              <w:rPr>
                <w:sz w:val="18"/>
                <w:szCs w:val="18"/>
              </w:rPr>
            </w:pPr>
            <w:r>
              <w:rPr>
                <w:sz w:val="18"/>
                <w:szCs w:val="18"/>
              </w:rPr>
              <w:t>264,198,620.28</w:t>
            </w:r>
          </w:p>
        </w:tc>
        <w:tc>
          <w:tcPr>
            <w:tcW w:w="133" w:type="pct"/>
            <w:vAlign w:val="center"/>
          </w:tcPr>
          <w:p w14:paraId="192ABB80">
            <w:pPr>
              <w:jc w:val="right"/>
              <w:rPr>
                <w:sz w:val="18"/>
                <w:szCs w:val="18"/>
              </w:rPr>
            </w:pPr>
          </w:p>
        </w:tc>
        <w:tc>
          <w:tcPr>
            <w:tcW w:w="487" w:type="pct"/>
            <w:vAlign w:val="center"/>
          </w:tcPr>
          <w:p w14:paraId="1767EE0D">
            <w:pPr>
              <w:jc w:val="right"/>
              <w:rPr>
                <w:sz w:val="18"/>
                <w:szCs w:val="18"/>
              </w:rPr>
            </w:pPr>
            <w:r>
              <w:rPr>
                <w:sz w:val="18"/>
                <w:szCs w:val="18"/>
              </w:rPr>
              <w:t>1,189,501,348.62</w:t>
            </w:r>
          </w:p>
        </w:tc>
        <w:tc>
          <w:tcPr>
            <w:tcW w:w="133" w:type="pct"/>
            <w:vAlign w:val="center"/>
          </w:tcPr>
          <w:p w14:paraId="09242651">
            <w:pPr>
              <w:jc w:val="right"/>
              <w:rPr>
                <w:sz w:val="18"/>
                <w:szCs w:val="18"/>
              </w:rPr>
            </w:pPr>
          </w:p>
        </w:tc>
        <w:tc>
          <w:tcPr>
            <w:tcW w:w="503" w:type="pct"/>
            <w:vAlign w:val="center"/>
          </w:tcPr>
          <w:p w14:paraId="4ADEB0BD">
            <w:pPr>
              <w:jc w:val="right"/>
              <w:rPr>
                <w:sz w:val="18"/>
                <w:szCs w:val="18"/>
              </w:rPr>
            </w:pPr>
            <w:r>
              <w:rPr>
                <w:sz w:val="18"/>
                <w:szCs w:val="18"/>
              </w:rPr>
              <w:t>3,407,364,902.83</w:t>
            </w:r>
          </w:p>
        </w:tc>
        <w:tc>
          <w:tcPr>
            <w:tcW w:w="426" w:type="pct"/>
            <w:vAlign w:val="center"/>
          </w:tcPr>
          <w:p w14:paraId="5C2F2F28">
            <w:pPr>
              <w:jc w:val="right"/>
              <w:rPr>
                <w:sz w:val="18"/>
                <w:szCs w:val="18"/>
              </w:rPr>
            </w:pPr>
            <w:r>
              <w:rPr>
                <w:sz w:val="18"/>
                <w:szCs w:val="18"/>
              </w:rPr>
              <w:t>14,498,119.45</w:t>
            </w:r>
          </w:p>
        </w:tc>
        <w:tc>
          <w:tcPr>
            <w:tcW w:w="486" w:type="pct"/>
            <w:vAlign w:val="center"/>
          </w:tcPr>
          <w:p w14:paraId="1930EBF9">
            <w:pPr>
              <w:jc w:val="right"/>
              <w:rPr>
                <w:sz w:val="18"/>
                <w:szCs w:val="18"/>
              </w:rPr>
            </w:pPr>
            <w:r>
              <w:rPr>
                <w:sz w:val="18"/>
                <w:szCs w:val="18"/>
              </w:rPr>
              <w:t>3,421,863,022.28</w:t>
            </w:r>
          </w:p>
        </w:tc>
      </w:tr>
      <w:tr w14:paraId="3404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fd33bb0caf614a75b319dc40c7515dcc"/>
            <w:id w:val="-2106326162"/>
          </w:sdtPr>
          <w:sdtContent>
            <w:tc>
              <w:tcPr>
                <w:tcW w:w="576" w:type="pct"/>
                <w:vAlign w:val="center"/>
              </w:tcPr>
              <w:p w14:paraId="2416CC97">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加：</w:t>
                </w:r>
                <w:r>
                  <w:rPr>
                    <w:color w:val="000000" w:themeColor="text1"/>
                    <w:sz w:val="18"/>
                    <w:szCs w:val="18"/>
                    <w14:textFill>
                      <w14:solidFill>
                        <w14:schemeClr w14:val="tx1"/>
                      </w14:solidFill>
                    </w14:textFill>
                  </w:rPr>
                  <w:t>会计政策变更</w:t>
                </w:r>
              </w:p>
            </w:tc>
          </w:sdtContent>
        </w:sdt>
        <w:tc>
          <w:tcPr>
            <w:tcW w:w="486" w:type="pct"/>
            <w:vAlign w:val="center"/>
          </w:tcPr>
          <w:p w14:paraId="19B38E15">
            <w:pPr>
              <w:jc w:val="right"/>
              <w:rPr>
                <w:sz w:val="18"/>
                <w:szCs w:val="18"/>
              </w:rPr>
            </w:pPr>
          </w:p>
        </w:tc>
        <w:tc>
          <w:tcPr>
            <w:tcW w:w="89" w:type="pct"/>
            <w:vAlign w:val="center"/>
          </w:tcPr>
          <w:p w14:paraId="185E6B36">
            <w:pPr>
              <w:jc w:val="right"/>
              <w:rPr>
                <w:sz w:val="18"/>
                <w:szCs w:val="18"/>
              </w:rPr>
            </w:pPr>
          </w:p>
        </w:tc>
        <w:tc>
          <w:tcPr>
            <w:tcW w:w="88" w:type="pct"/>
            <w:vAlign w:val="center"/>
          </w:tcPr>
          <w:p w14:paraId="7943B734">
            <w:pPr>
              <w:jc w:val="right"/>
              <w:rPr>
                <w:sz w:val="18"/>
                <w:szCs w:val="18"/>
              </w:rPr>
            </w:pPr>
          </w:p>
        </w:tc>
        <w:tc>
          <w:tcPr>
            <w:tcW w:w="89" w:type="pct"/>
            <w:vAlign w:val="center"/>
          </w:tcPr>
          <w:p w14:paraId="35D835C2">
            <w:pPr>
              <w:jc w:val="right"/>
              <w:rPr>
                <w:sz w:val="18"/>
                <w:szCs w:val="18"/>
              </w:rPr>
            </w:pPr>
          </w:p>
        </w:tc>
        <w:tc>
          <w:tcPr>
            <w:tcW w:w="442" w:type="pct"/>
            <w:vAlign w:val="center"/>
          </w:tcPr>
          <w:p w14:paraId="429334A9">
            <w:pPr>
              <w:jc w:val="right"/>
              <w:rPr>
                <w:sz w:val="18"/>
                <w:szCs w:val="18"/>
              </w:rPr>
            </w:pPr>
          </w:p>
        </w:tc>
        <w:tc>
          <w:tcPr>
            <w:tcW w:w="133" w:type="pct"/>
            <w:vAlign w:val="center"/>
          </w:tcPr>
          <w:p w14:paraId="2458016D">
            <w:pPr>
              <w:jc w:val="right"/>
              <w:rPr>
                <w:sz w:val="18"/>
                <w:szCs w:val="18"/>
              </w:rPr>
            </w:pPr>
          </w:p>
        </w:tc>
        <w:tc>
          <w:tcPr>
            <w:tcW w:w="398" w:type="pct"/>
            <w:vAlign w:val="center"/>
          </w:tcPr>
          <w:p w14:paraId="5F3B77C1">
            <w:pPr>
              <w:jc w:val="right"/>
              <w:rPr>
                <w:sz w:val="18"/>
                <w:szCs w:val="18"/>
              </w:rPr>
            </w:pPr>
          </w:p>
        </w:tc>
        <w:tc>
          <w:tcPr>
            <w:tcW w:w="89" w:type="pct"/>
            <w:vAlign w:val="center"/>
          </w:tcPr>
          <w:p w14:paraId="076E1A0F">
            <w:pPr>
              <w:jc w:val="right"/>
              <w:rPr>
                <w:sz w:val="18"/>
                <w:szCs w:val="18"/>
              </w:rPr>
            </w:pPr>
          </w:p>
        </w:tc>
        <w:tc>
          <w:tcPr>
            <w:tcW w:w="442" w:type="pct"/>
            <w:vAlign w:val="center"/>
          </w:tcPr>
          <w:p w14:paraId="25EA56FD">
            <w:pPr>
              <w:jc w:val="right"/>
              <w:rPr>
                <w:sz w:val="18"/>
                <w:szCs w:val="18"/>
              </w:rPr>
            </w:pPr>
          </w:p>
        </w:tc>
        <w:tc>
          <w:tcPr>
            <w:tcW w:w="133" w:type="pct"/>
            <w:vAlign w:val="center"/>
          </w:tcPr>
          <w:p w14:paraId="2A1801D3">
            <w:pPr>
              <w:jc w:val="right"/>
              <w:rPr>
                <w:sz w:val="18"/>
                <w:szCs w:val="18"/>
              </w:rPr>
            </w:pPr>
          </w:p>
        </w:tc>
        <w:tc>
          <w:tcPr>
            <w:tcW w:w="487" w:type="pct"/>
            <w:vAlign w:val="center"/>
          </w:tcPr>
          <w:p w14:paraId="760AD44A">
            <w:pPr>
              <w:jc w:val="right"/>
              <w:rPr>
                <w:sz w:val="18"/>
                <w:szCs w:val="18"/>
              </w:rPr>
            </w:pPr>
          </w:p>
        </w:tc>
        <w:tc>
          <w:tcPr>
            <w:tcW w:w="133" w:type="pct"/>
            <w:vAlign w:val="center"/>
          </w:tcPr>
          <w:p w14:paraId="187F1684">
            <w:pPr>
              <w:jc w:val="right"/>
              <w:rPr>
                <w:sz w:val="18"/>
                <w:szCs w:val="18"/>
              </w:rPr>
            </w:pPr>
          </w:p>
        </w:tc>
        <w:tc>
          <w:tcPr>
            <w:tcW w:w="503" w:type="pct"/>
            <w:vAlign w:val="center"/>
          </w:tcPr>
          <w:p w14:paraId="5E8F94B4">
            <w:pPr>
              <w:jc w:val="right"/>
              <w:rPr>
                <w:sz w:val="18"/>
                <w:szCs w:val="18"/>
              </w:rPr>
            </w:pPr>
          </w:p>
        </w:tc>
        <w:tc>
          <w:tcPr>
            <w:tcW w:w="426" w:type="pct"/>
            <w:vAlign w:val="center"/>
          </w:tcPr>
          <w:p w14:paraId="4548938F">
            <w:pPr>
              <w:jc w:val="right"/>
              <w:rPr>
                <w:sz w:val="18"/>
                <w:szCs w:val="18"/>
              </w:rPr>
            </w:pPr>
          </w:p>
        </w:tc>
        <w:tc>
          <w:tcPr>
            <w:tcW w:w="486" w:type="pct"/>
            <w:vAlign w:val="center"/>
          </w:tcPr>
          <w:p w14:paraId="0C51AA72">
            <w:pPr>
              <w:jc w:val="right"/>
              <w:rPr>
                <w:sz w:val="18"/>
                <w:szCs w:val="18"/>
              </w:rPr>
            </w:pPr>
          </w:p>
        </w:tc>
      </w:tr>
      <w:tr w14:paraId="515D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15b4364437fa4ad39040010f7c204056"/>
            <w:id w:val="-485929897"/>
          </w:sdtPr>
          <w:sdtContent>
            <w:tc>
              <w:tcPr>
                <w:tcW w:w="576" w:type="pct"/>
                <w:vAlign w:val="center"/>
              </w:tcPr>
              <w:p w14:paraId="2EC3EDD1">
                <w:pPr>
                  <w:ind w:firstLine="420" w:firstLineChars="20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前期差错更正</w:t>
                </w:r>
              </w:p>
            </w:tc>
          </w:sdtContent>
        </w:sdt>
        <w:tc>
          <w:tcPr>
            <w:tcW w:w="486" w:type="pct"/>
            <w:vAlign w:val="center"/>
          </w:tcPr>
          <w:p w14:paraId="2D8749C9">
            <w:pPr>
              <w:jc w:val="right"/>
              <w:rPr>
                <w:sz w:val="18"/>
                <w:szCs w:val="18"/>
              </w:rPr>
            </w:pPr>
          </w:p>
        </w:tc>
        <w:tc>
          <w:tcPr>
            <w:tcW w:w="89" w:type="pct"/>
            <w:vAlign w:val="center"/>
          </w:tcPr>
          <w:p w14:paraId="3A267C36">
            <w:pPr>
              <w:jc w:val="right"/>
              <w:rPr>
                <w:sz w:val="18"/>
                <w:szCs w:val="18"/>
              </w:rPr>
            </w:pPr>
          </w:p>
        </w:tc>
        <w:tc>
          <w:tcPr>
            <w:tcW w:w="88" w:type="pct"/>
            <w:vAlign w:val="center"/>
          </w:tcPr>
          <w:p w14:paraId="7177F570">
            <w:pPr>
              <w:jc w:val="right"/>
              <w:rPr>
                <w:sz w:val="18"/>
                <w:szCs w:val="18"/>
              </w:rPr>
            </w:pPr>
          </w:p>
        </w:tc>
        <w:tc>
          <w:tcPr>
            <w:tcW w:w="89" w:type="pct"/>
            <w:vAlign w:val="center"/>
          </w:tcPr>
          <w:p w14:paraId="220FB104">
            <w:pPr>
              <w:jc w:val="right"/>
              <w:rPr>
                <w:sz w:val="18"/>
                <w:szCs w:val="18"/>
              </w:rPr>
            </w:pPr>
          </w:p>
        </w:tc>
        <w:tc>
          <w:tcPr>
            <w:tcW w:w="442" w:type="pct"/>
            <w:vAlign w:val="center"/>
          </w:tcPr>
          <w:p w14:paraId="4F06AC83">
            <w:pPr>
              <w:jc w:val="right"/>
              <w:rPr>
                <w:sz w:val="18"/>
                <w:szCs w:val="18"/>
              </w:rPr>
            </w:pPr>
          </w:p>
        </w:tc>
        <w:tc>
          <w:tcPr>
            <w:tcW w:w="133" w:type="pct"/>
            <w:vAlign w:val="center"/>
          </w:tcPr>
          <w:p w14:paraId="4E14F10F">
            <w:pPr>
              <w:jc w:val="right"/>
              <w:rPr>
                <w:sz w:val="18"/>
                <w:szCs w:val="18"/>
              </w:rPr>
            </w:pPr>
          </w:p>
        </w:tc>
        <w:tc>
          <w:tcPr>
            <w:tcW w:w="398" w:type="pct"/>
            <w:vAlign w:val="center"/>
          </w:tcPr>
          <w:p w14:paraId="1470B3A1">
            <w:pPr>
              <w:jc w:val="right"/>
              <w:rPr>
                <w:sz w:val="18"/>
                <w:szCs w:val="18"/>
              </w:rPr>
            </w:pPr>
          </w:p>
        </w:tc>
        <w:tc>
          <w:tcPr>
            <w:tcW w:w="89" w:type="pct"/>
            <w:vAlign w:val="center"/>
          </w:tcPr>
          <w:p w14:paraId="42A7DF89">
            <w:pPr>
              <w:jc w:val="right"/>
              <w:rPr>
                <w:sz w:val="18"/>
                <w:szCs w:val="18"/>
              </w:rPr>
            </w:pPr>
          </w:p>
        </w:tc>
        <w:tc>
          <w:tcPr>
            <w:tcW w:w="442" w:type="pct"/>
            <w:vAlign w:val="center"/>
          </w:tcPr>
          <w:p w14:paraId="3D375F84">
            <w:pPr>
              <w:jc w:val="right"/>
              <w:rPr>
                <w:sz w:val="18"/>
                <w:szCs w:val="18"/>
              </w:rPr>
            </w:pPr>
          </w:p>
        </w:tc>
        <w:tc>
          <w:tcPr>
            <w:tcW w:w="133" w:type="pct"/>
            <w:vAlign w:val="center"/>
          </w:tcPr>
          <w:p w14:paraId="10580F24">
            <w:pPr>
              <w:jc w:val="right"/>
              <w:rPr>
                <w:sz w:val="18"/>
                <w:szCs w:val="18"/>
              </w:rPr>
            </w:pPr>
          </w:p>
        </w:tc>
        <w:tc>
          <w:tcPr>
            <w:tcW w:w="487" w:type="pct"/>
            <w:vAlign w:val="center"/>
          </w:tcPr>
          <w:p w14:paraId="1D4996CC">
            <w:pPr>
              <w:jc w:val="right"/>
              <w:rPr>
                <w:sz w:val="18"/>
                <w:szCs w:val="18"/>
              </w:rPr>
            </w:pPr>
          </w:p>
        </w:tc>
        <w:tc>
          <w:tcPr>
            <w:tcW w:w="133" w:type="pct"/>
            <w:vAlign w:val="center"/>
          </w:tcPr>
          <w:p w14:paraId="2B2AC4DC">
            <w:pPr>
              <w:jc w:val="right"/>
              <w:rPr>
                <w:sz w:val="18"/>
                <w:szCs w:val="18"/>
              </w:rPr>
            </w:pPr>
          </w:p>
        </w:tc>
        <w:tc>
          <w:tcPr>
            <w:tcW w:w="503" w:type="pct"/>
            <w:vAlign w:val="center"/>
          </w:tcPr>
          <w:p w14:paraId="22CF00F8">
            <w:pPr>
              <w:jc w:val="right"/>
              <w:rPr>
                <w:sz w:val="18"/>
                <w:szCs w:val="18"/>
              </w:rPr>
            </w:pPr>
          </w:p>
        </w:tc>
        <w:tc>
          <w:tcPr>
            <w:tcW w:w="426" w:type="pct"/>
            <w:vAlign w:val="center"/>
          </w:tcPr>
          <w:p w14:paraId="7A64E3C9">
            <w:pPr>
              <w:jc w:val="right"/>
              <w:rPr>
                <w:sz w:val="18"/>
                <w:szCs w:val="18"/>
              </w:rPr>
            </w:pPr>
          </w:p>
        </w:tc>
        <w:tc>
          <w:tcPr>
            <w:tcW w:w="486" w:type="pct"/>
            <w:vAlign w:val="center"/>
          </w:tcPr>
          <w:p w14:paraId="0B8390FB">
            <w:pPr>
              <w:jc w:val="right"/>
              <w:rPr>
                <w:sz w:val="18"/>
                <w:szCs w:val="18"/>
              </w:rPr>
            </w:pPr>
          </w:p>
        </w:tc>
      </w:tr>
      <w:tr w14:paraId="259A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87118e97730e486dbbcc5e072b67665f"/>
            <w:id w:val="-168109114"/>
          </w:sdtPr>
          <w:sdtContent>
            <w:tc>
              <w:tcPr>
                <w:tcW w:w="576" w:type="pct"/>
                <w:vAlign w:val="center"/>
              </w:tcPr>
              <w:p w14:paraId="10568028">
                <w:pPr>
                  <w:ind w:firstLine="42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w:t>
                </w:r>
              </w:p>
            </w:tc>
          </w:sdtContent>
        </w:sdt>
        <w:tc>
          <w:tcPr>
            <w:tcW w:w="486" w:type="pct"/>
            <w:vAlign w:val="center"/>
          </w:tcPr>
          <w:p w14:paraId="617F2E69">
            <w:pPr>
              <w:jc w:val="right"/>
              <w:rPr>
                <w:sz w:val="18"/>
                <w:szCs w:val="18"/>
              </w:rPr>
            </w:pPr>
          </w:p>
        </w:tc>
        <w:tc>
          <w:tcPr>
            <w:tcW w:w="89" w:type="pct"/>
            <w:vAlign w:val="center"/>
          </w:tcPr>
          <w:p w14:paraId="67244E9B">
            <w:pPr>
              <w:jc w:val="right"/>
              <w:rPr>
                <w:sz w:val="18"/>
                <w:szCs w:val="18"/>
              </w:rPr>
            </w:pPr>
          </w:p>
        </w:tc>
        <w:tc>
          <w:tcPr>
            <w:tcW w:w="88" w:type="pct"/>
            <w:vAlign w:val="center"/>
          </w:tcPr>
          <w:p w14:paraId="76E86FB0">
            <w:pPr>
              <w:jc w:val="right"/>
              <w:rPr>
                <w:sz w:val="18"/>
                <w:szCs w:val="18"/>
              </w:rPr>
            </w:pPr>
          </w:p>
        </w:tc>
        <w:tc>
          <w:tcPr>
            <w:tcW w:w="89" w:type="pct"/>
            <w:vAlign w:val="center"/>
          </w:tcPr>
          <w:p w14:paraId="4E11BBE8">
            <w:pPr>
              <w:jc w:val="right"/>
              <w:rPr>
                <w:sz w:val="18"/>
                <w:szCs w:val="18"/>
              </w:rPr>
            </w:pPr>
          </w:p>
        </w:tc>
        <w:tc>
          <w:tcPr>
            <w:tcW w:w="442" w:type="pct"/>
            <w:vAlign w:val="center"/>
          </w:tcPr>
          <w:p w14:paraId="19628E9F">
            <w:pPr>
              <w:jc w:val="right"/>
              <w:rPr>
                <w:sz w:val="18"/>
                <w:szCs w:val="18"/>
              </w:rPr>
            </w:pPr>
          </w:p>
        </w:tc>
        <w:tc>
          <w:tcPr>
            <w:tcW w:w="133" w:type="pct"/>
            <w:vAlign w:val="center"/>
          </w:tcPr>
          <w:p w14:paraId="75062D58">
            <w:pPr>
              <w:jc w:val="right"/>
              <w:rPr>
                <w:sz w:val="18"/>
                <w:szCs w:val="18"/>
              </w:rPr>
            </w:pPr>
          </w:p>
        </w:tc>
        <w:tc>
          <w:tcPr>
            <w:tcW w:w="398" w:type="pct"/>
            <w:vAlign w:val="center"/>
          </w:tcPr>
          <w:p w14:paraId="09068308">
            <w:pPr>
              <w:jc w:val="right"/>
              <w:rPr>
                <w:sz w:val="18"/>
                <w:szCs w:val="18"/>
              </w:rPr>
            </w:pPr>
          </w:p>
        </w:tc>
        <w:tc>
          <w:tcPr>
            <w:tcW w:w="89" w:type="pct"/>
            <w:vAlign w:val="center"/>
          </w:tcPr>
          <w:p w14:paraId="59DD7956">
            <w:pPr>
              <w:jc w:val="right"/>
              <w:rPr>
                <w:sz w:val="18"/>
                <w:szCs w:val="18"/>
              </w:rPr>
            </w:pPr>
          </w:p>
        </w:tc>
        <w:tc>
          <w:tcPr>
            <w:tcW w:w="442" w:type="pct"/>
            <w:vAlign w:val="center"/>
          </w:tcPr>
          <w:p w14:paraId="2084B142">
            <w:pPr>
              <w:jc w:val="right"/>
              <w:rPr>
                <w:sz w:val="18"/>
                <w:szCs w:val="18"/>
              </w:rPr>
            </w:pPr>
          </w:p>
        </w:tc>
        <w:tc>
          <w:tcPr>
            <w:tcW w:w="133" w:type="pct"/>
            <w:vAlign w:val="center"/>
          </w:tcPr>
          <w:p w14:paraId="1D9102BA">
            <w:pPr>
              <w:jc w:val="right"/>
              <w:rPr>
                <w:sz w:val="18"/>
                <w:szCs w:val="18"/>
              </w:rPr>
            </w:pPr>
          </w:p>
        </w:tc>
        <w:tc>
          <w:tcPr>
            <w:tcW w:w="487" w:type="pct"/>
            <w:vAlign w:val="center"/>
          </w:tcPr>
          <w:p w14:paraId="5F225390">
            <w:pPr>
              <w:jc w:val="right"/>
              <w:rPr>
                <w:sz w:val="18"/>
                <w:szCs w:val="18"/>
              </w:rPr>
            </w:pPr>
          </w:p>
        </w:tc>
        <w:tc>
          <w:tcPr>
            <w:tcW w:w="133" w:type="pct"/>
            <w:vAlign w:val="center"/>
          </w:tcPr>
          <w:p w14:paraId="42ECABC8">
            <w:pPr>
              <w:jc w:val="right"/>
              <w:rPr>
                <w:sz w:val="18"/>
                <w:szCs w:val="18"/>
              </w:rPr>
            </w:pPr>
          </w:p>
        </w:tc>
        <w:tc>
          <w:tcPr>
            <w:tcW w:w="503" w:type="pct"/>
            <w:vAlign w:val="center"/>
          </w:tcPr>
          <w:p w14:paraId="0C86E3C9">
            <w:pPr>
              <w:jc w:val="right"/>
              <w:rPr>
                <w:sz w:val="18"/>
                <w:szCs w:val="18"/>
              </w:rPr>
            </w:pPr>
          </w:p>
        </w:tc>
        <w:tc>
          <w:tcPr>
            <w:tcW w:w="426" w:type="pct"/>
            <w:vAlign w:val="center"/>
          </w:tcPr>
          <w:p w14:paraId="2DDD5E7A">
            <w:pPr>
              <w:jc w:val="right"/>
              <w:rPr>
                <w:sz w:val="18"/>
                <w:szCs w:val="18"/>
              </w:rPr>
            </w:pPr>
          </w:p>
        </w:tc>
        <w:tc>
          <w:tcPr>
            <w:tcW w:w="486" w:type="pct"/>
            <w:vAlign w:val="center"/>
          </w:tcPr>
          <w:p w14:paraId="207E3A99">
            <w:pPr>
              <w:jc w:val="right"/>
              <w:rPr>
                <w:sz w:val="18"/>
                <w:szCs w:val="18"/>
              </w:rPr>
            </w:pPr>
          </w:p>
        </w:tc>
      </w:tr>
      <w:tr w14:paraId="4202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b579c38070f04b86951daea3037af89c"/>
            <w:id w:val="-1533496137"/>
          </w:sdtPr>
          <w:sdtContent>
            <w:tc>
              <w:tcPr>
                <w:tcW w:w="576" w:type="pct"/>
                <w:vAlign w:val="center"/>
              </w:tcPr>
              <w:p w14:paraId="400F9BDB">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二、本年</w:t>
                </w:r>
                <w:r>
                  <w:rPr>
                    <w:rFonts w:hint="eastAsia"/>
                    <w:color w:val="000000" w:themeColor="text1"/>
                    <w:sz w:val="18"/>
                    <w:szCs w:val="18"/>
                    <w14:textFill>
                      <w14:solidFill>
                        <w14:schemeClr w14:val="tx1"/>
                      </w14:solidFill>
                    </w14:textFill>
                  </w:rPr>
                  <w:t>期</w:t>
                </w:r>
                <w:r>
                  <w:rPr>
                    <w:color w:val="000000" w:themeColor="text1"/>
                    <w:sz w:val="18"/>
                    <w:szCs w:val="18"/>
                    <w14:textFill>
                      <w14:solidFill>
                        <w14:schemeClr w14:val="tx1"/>
                      </w14:solidFill>
                    </w14:textFill>
                  </w:rPr>
                  <w:t>初余额</w:t>
                </w:r>
              </w:p>
            </w:tc>
          </w:sdtContent>
        </w:sdt>
        <w:tc>
          <w:tcPr>
            <w:tcW w:w="486" w:type="pct"/>
            <w:vAlign w:val="center"/>
          </w:tcPr>
          <w:p w14:paraId="31DAF7B4">
            <w:pPr>
              <w:jc w:val="right"/>
              <w:rPr>
                <w:sz w:val="18"/>
                <w:szCs w:val="18"/>
              </w:rPr>
            </w:pPr>
            <w:r>
              <w:rPr>
                <w:sz w:val="18"/>
                <w:szCs w:val="18"/>
              </w:rPr>
              <w:t>1,460,994,304.00</w:t>
            </w:r>
          </w:p>
        </w:tc>
        <w:tc>
          <w:tcPr>
            <w:tcW w:w="89" w:type="pct"/>
            <w:vAlign w:val="center"/>
          </w:tcPr>
          <w:p w14:paraId="385D7162">
            <w:pPr>
              <w:jc w:val="right"/>
              <w:rPr>
                <w:sz w:val="18"/>
                <w:szCs w:val="18"/>
              </w:rPr>
            </w:pPr>
          </w:p>
        </w:tc>
        <w:tc>
          <w:tcPr>
            <w:tcW w:w="88" w:type="pct"/>
            <w:vAlign w:val="center"/>
          </w:tcPr>
          <w:p w14:paraId="73D390E5">
            <w:pPr>
              <w:jc w:val="right"/>
              <w:rPr>
                <w:sz w:val="18"/>
                <w:szCs w:val="18"/>
              </w:rPr>
            </w:pPr>
          </w:p>
        </w:tc>
        <w:tc>
          <w:tcPr>
            <w:tcW w:w="89" w:type="pct"/>
            <w:vAlign w:val="center"/>
          </w:tcPr>
          <w:p w14:paraId="166A884C">
            <w:pPr>
              <w:jc w:val="right"/>
              <w:rPr>
                <w:sz w:val="18"/>
                <w:szCs w:val="18"/>
              </w:rPr>
            </w:pPr>
          </w:p>
        </w:tc>
        <w:tc>
          <w:tcPr>
            <w:tcW w:w="442" w:type="pct"/>
            <w:vAlign w:val="center"/>
          </w:tcPr>
          <w:p w14:paraId="0FFB7CB1">
            <w:pPr>
              <w:jc w:val="right"/>
              <w:rPr>
                <w:sz w:val="18"/>
                <w:szCs w:val="18"/>
              </w:rPr>
            </w:pPr>
            <w:r>
              <w:rPr>
                <w:sz w:val="18"/>
                <w:szCs w:val="18"/>
              </w:rPr>
              <w:t>394,938,785.79</w:t>
            </w:r>
          </w:p>
        </w:tc>
        <w:tc>
          <w:tcPr>
            <w:tcW w:w="133" w:type="pct"/>
            <w:vAlign w:val="center"/>
          </w:tcPr>
          <w:p w14:paraId="3DEB44CE">
            <w:pPr>
              <w:jc w:val="right"/>
              <w:rPr>
                <w:sz w:val="18"/>
                <w:szCs w:val="18"/>
              </w:rPr>
            </w:pPr>
          </w:p>
        </w:tc>
        <w:tc>
          <w:tcPr>
            <w:tcW w:w="398" w:type="pct"/>
            <w:vAlign w:val="center"/>
          </w:tcPr>
          <w:p w14:paraId="05BB56A6">
            <w:pPr>
              <w:jc w:val="right"/>
              <w:rPr>
                <w:sz w:val="18"/>
                <w:szCs w:val="18"/>
              </w:rPr>
            </w:pPr>
            <w:r>
              <w:rPr>
                <w:sz w:val="18"/>
                <w:szCs w:val="18"/>
              </w:rPr>
              <w:t>97,731,844.14</w:t>
            </w:r>
          </w:p>
        </w:tc>
        <w:tc>
          <w:tcPr>
            <w:tcW w:w="89" w:type="pct"/>
            <w:vAlign w:val="center"/>
          </w:tcPr>
          <w:p w14:paraId="7EF7E08A">
            <w:pPr>
              <w:jc w:val="right"/>
              <w:rPr>
                <w:sz w:val="18"/>
                <w:szCs w:val="18"/>
              </w:rPr>
            </w:pPr>
          </w:p>
        </w:tc>
        <w:tc>
          <w:tcPr>
            <w:tcW w:w="442" w:type="pct"/>
            <w:vAlign w:val="center"/>
          </w:tcPr>
          <w:p w14:paraId="066DFDDB">
            <w:pPr>
              <w:jc w:val="right"/>
              <w:rPr>
                <w:sz w:val="18"/>
                <w:szCs w:val="18"/>
              </w:rPr>
            </w:pPr>
            <w:r>
              <w:rPr>
                <w:sz w:val="18"/>
                <w:szCs w:val="18"/>
              </w:rPr>
              <w:t>264,198,620.28</w:t>
            </w:r>
          </w:p>
        </w:tc>
        <w:tc>
          <w:tcPr>
            <w:tcW w:w="133" w:type="pct"/>
            <w:vAlign w:val="center"/>
          </w:tcPr>
          <w:p w14:paraId="44B06771">
            <w:pPr>
              <w:jc w:val="right"/>
              <w:rPr>
                <w:sz w:val="18"/>
                <w:szCs w:val="18"/>
              </w:rPr>
            </w:pPr>
          </w:p>
        </w:tc>
        <w:tc>
          <w:tcPr>
            <w:tcW w:w="487" w:type="pct"/>
            <w:vAlign w:val="center"/>
          </w:tcPr>
          <w:p w14:paraId="3E7D2C53">
            <w:pPr>
              <w:jc w:val="right"/>
              <w:rPr>
                <w:sz w:val="18"/>
                <w:szCs w:val="18"/>
              </w:rPr>
            </w:pPr>
            <w:r>
              <w:rPr>
                <w:sz w:val="18"/>
                <w:szCs w:val="18"/>
              </w:rPr>
              <w:t>1,189,501,348.62</w:t>
            </w:r>
          </w:p>
        </w:tc>
        <w:tc>
          <w:tcPr>
            <w:tcW w:w="133" w:type="pct"/>
            <w:vAlign w:val="center"/>
          </w:tcPr>
          <w:p w14:paraId="631A308F">
            <w:pPr>
              <w:jc w:val="right"/>
              <w:rPr>
                <w:sz w:val="18"/>
                <w:szCs w:val="18"/>
              </w:rPr>
            </w:pPr>
          </w:p>
        </w:tc>
        <w:tc>
          <w:tcPr>
            <w:tcW w:w="503" w:type="pct"/>
            <w:vAlign w:val="center"/>
          </w:tcPr>
          <w:p w14:paraId="7EC5D7EE">
            <w:pPr>
              <w:jc w:val="right"/>
              <w:rPr>
                <w:sz w:val="18"/>
                <w:szCs w:val="18"/>
              </w:rPr>
            </w:pPr>
            <w:r>
              <w:rPr>
                <w:sz w:val="18"/>
                <w:szCs w:val="18"/>
              </w:rPr>
              <w:t>3,407,364,902.83</w:t>
            </w:r>
          </w:p>
        </w:tc>
        <w:tc>
          <w:tcPr>
            <w:tcW w:w="426" w:type="pct"/>
            <w:vAlign w:val="center"/>
          </w:tcPr>
          <w:p w14:paraId="06F9BA94">
            <w:pPr>
              <w:jc w:val="right"/>
              <w:rPr>
                <w:sz w:val="18"/>
                <w:szCs w:val="18"/>
              </w:rPr>
            </w:pPr>
            <w:r>
              <w:rPr>
                <w:sz w:val="18"/>
                <w:szCs w:val="18"/>
              </w:rPr>
              <w:t>14,498,119.45</w:t>
            </w:r>
          </w:p>
        </w:tc>
        <w:tc>
          <w:tcPr>
            <w:tcW w:w="486" w:type="pct"/>
            <w:vAlign w:val="center"/>
          </w:tcPr>
          <w:p w14:paraId="35776FA5">
            <w:pPr>
              <w:jc w:val="right"/>
              <w:rPr>
                <w:sz w:val="18"/>
                <w:szCs w:val="18"/>
              </w:rPr>
            </w:pPr>
            <w:r>
              <w:rPr>
                <w:sz w:val="18"/>
                <w:szCs w:val="18"/>
              </w:rPr>
              <w:t>3,421,863,022.28</w:t>
            </w:r>
          </w:p>
        </w:tc>
      </w:tr>
      <w:tr w14:paraId="2D10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186aec2424a047ee9af21797aa0ee0d8"/>
            <w:id w:val="1073002783"/>
          </w:sdtPr>
          <w:sdtContent>
            <w:tc>
              <w:tcPr>
                <w:tcW w:w="576" w:type="pct"/>
                <w:vAlign w:val="center"/>
              </w:tcPr>
              <w:p w14:paraId="04C0F3CE">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三、本</w:t>
                </w:r>
                <w:r>
                  <w:rPr>
                    <w:rFonts w:hint="eastAsia"/>
                    <w:color w:val="000000" w:themeColor="text1"/>
                    <w:sz w:val="18"/>
                    <w:szCs w:val="18"/>
                    <w14:textFill>
                      <w14:solidFill>
                        <w14:schemeClr w14:val="tx1"/>
                      </w14:solidFill>
                    </w14:textFill>
                  </w:rPr>
                  <w:t>期</w:t>
                </w:r>
                <w:r>
                  <w:rPr>
                    <w:color w:val="000000" w:themeColor="text1"/>
                    <w:sz w:val="18"/>
                    <w:szCs w:val="18"/>
                    <w14:textFill>
                      <w14:solidFill>
                        <w14:schemeClr w14:val="tx1"/>
                      </w14:solidFill>
                    </w14:textFill>
                  </w:rPr>
                  <w:t>增减变动金额（减少以“</w:t>
                </w: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”号填列）</w:t>
                </w:r>
              </w:p>
            </w:tc>
          </w:sdtContent>
        </w:sdt>
        <w:tc>
          <w:tcPr>
            <w:tcW w:w="486" w:type="pct"/>
            <w:vAlign w:val="center"/>
          </w:tcPr>
          <w:p w14:paraId="7955E213">
            <w:pPr>
              <w:jc w:val="right"/>
              <w:rPr>
                <w:sz w:val="18"/>
                <w:szCs w:val="18"/>
              </w:rPr>
            </w:pPr>
          </w:p>
        </w:tc>
        <w:tc>
          <w:tcPr>
            <w:tcW w:w="89" w:type="pct"/>
            <w:vAlign w:val="center"/>
          </w:tcPr>
          <w:p w14:paraId="6ECEF49A">
            <w:pPr>
              <w:jc w:val="right"/>
              <w:rPr>
                <w:sz w:val="18"/>
                <w:szCs w:val="18"/>
              </w:rPr>
            </w:pPr>
          </w:p>
        </w:tc>
        <w:tc>
          <w:tcPr>
            <w:tcW w:w="88" w:type="pct"/>
            <w:vAlign w:val="center"/>
          </w:tcPr>
          <w:p w14:paraId="148AA1F9">
            <w:pPr>
              <w:jc w:val="right"/>
              <w:rPr>
                <w:sz w:val="18"/>
                <w:szCs w:val="18"/>
              </w:rPr>
            </w:pPr>
          </w:p>
        </w:tc>
        <w:tc>
          <w:tcPr>
            <w:tcW w:w="89" w:type="pct"/>
            <w:vAlign w:val="center"/>
          </w:tcPr>
          <w:p w14:paraId="257481D5">
            <w:pPr>
              <w:jc w:val="right"/>
              <w:rPr>
                <w:sz w:val="18"/>
                <w:szCs w:val="18"/>
              </w:rPr>
            </w:pPr>
          </w:p>
        </w:tc>
        <w:tc>
          <w:tcPr>
            <w:tcW w:w="442" w:type="pct"/>
            <w:vAlign w:val="center"/>
          </w:tcPr>
          <w:p w14:paraId="01A5A0F3">
            <w:pPr>
              <w:jc w:val="right"/>
              <w:rPr>
                <w:sz w:val="18"/>
                <w:szCs w:val="18"/>
              </w:rPr>
            </w:pPr>
          </w:p>
        </w:tc>
        <w:tc>
          <w:tcPr>
            <w:tcW w:w="133" w:type="pct"/>
            <w:vAlign w:val="center"/>
          </w:tcPr>
          <w:p w14:paraId="4A1C3237">
            <w:pPr>
              <w:jc w:val="right"/>
              <w:rPr>
                <w:sz w:val="18"/>
                <w:szCs w:val="18"/>
              </w:rPr>
            </w:pPr>
          </w:p>
        </w:tc>
        <w:tc>
          <w:tcPr>
            <w:tcW w:w="398" w:type="pct"/>
            <w:vAlign w:val="center"/>
          </w:tcPr>
          <w:p w14:paraId="36BF3AB4">
            <w:pPr>
              <w:jc w:val="right"/>
              <w:rPr>
                <w:sz w:val="18"/>
                <w:szCs w:val="18"/>
              </w:rPr>
            </w:pPr>
          </w:p>
        </w:tc>
        <w:tc>
          <w:tcPr>
            <w:tcW w:w="89" w:type="pct"/>
            <w:vAlign w:val="center"/>
          </w:tcPr>
          <w:p w14:paraId="613BDEB6">
            <w:pPr>
              <w:jc w:val="right"/>
              <w:rPr>
                <w:sz w:val="18"/>
                <w:szCs w:val="18"/>
              </w:rPr>
            </w:pPr>
          </w:p>
        </w:tc>
        <w:tc>
          <w:tcPr>
            <w:tcW w:w="442" w:type="pct"/>
            <w:vAlign w:val="center"/>
          </w:tcPr>
          <w:p w14:paraId="50DBC55B">
            <w:pPr>
              <w:jc w:val="right"/>
              <w:rPr>
                <w:sz w:val="18"/>
                <w:szCs w:val="18"/>
              </w:rPr>
            </w:pPr>
          </w:p>
        </w:tc>
        <w:tc>
          <w:tcPr>
            <w:tcW w:w="133" w:type="pct"/>
            <w:vAlign w:val="center"/>
          </w:tcPr>
          <w:p w14:paraId="1A2F1AB7">
            <w:pPr>
              <w:jc w:val="right"/>
              <w:rPr>
                <w:sz w:val="18"/>
                <w:szCs w:val="18"/>
              </w:rPr>
            </w:pPr>
          </w:p>
        </w:tc>
        <w:tc>
          <w:tcPr>
            <w:tcW w:w="487" w:type="pct"/>
            <w:vAlign w:val="center"/>
          </w:tcPr>
          <w:p w14:paraId="1C208C1D">
            <w:pPr>
              <w:jc w:val="right"/>
              <w:rPr>
                <w:sz w:val="18"/>
                <w:szCs w:val="18"/>
              </w:rPr>
            </w:pPr>
            <w:r>
              <w:rPr>
                <w:sz w:val="18"/>
                <w:szCs w:val="18"/>
              </w:rPr>
              <w:t>11,092,666.45</w:t>
            </w:r>
          </w:p>
        </w:tc>
        <w:tc>
          <w:tcPr>
            <w:tcW w:w="133" w:type="pct"/>
            <w:vAlign w:val="center"/>
          </w:tcPr>
          <w:p w14:paraId="27ABFFC4">
            <w:pPr>
              <w:jc w:val="right"/>
              <w:rPr>
                <w:sz w:val="18"/>
                <w:szCs w:val="18"/>
              </w:rPr>
            </w:pPr>
          </w:p>
        </w:tc>
        <w:tc>
          <w:tcPr>
            <w:tcW w:w="503" w:type="pct"/>
            <w:vAlign w:val="center"/>
          </w:tcPr>
          <w:p w14:paraId="0C7FC3C5">
            <w:pPr>
              <w:jc w:val="right"/>
              <w:rPr>
                <w:sz w:val="18"/>
                <w:szCs w:val="18"/>
              </w:rPr>
            </w:pPr>
            <w:r>
              <w:rPr>
                <w:sz w:val="18"/>
                <w:szCs w:val="18"/>
              </w:rPr>
              <w:t>11,092,666.45</w:t>
            </w:r>
          </w:p>
        </w:tc>
        <w:tc>
          <w:tcPr>
            <w:tcW w:w="426" w:type="pct"/>
            <w:vAlign w:val="center"/>
          </w:tcPr>
          <w:p w14:paraId="1C860D92">
            <w:pPr>
              <w:jc w:val="right"/>
              <w:rPr>
                <w:sz w:val="18"/>
                <w:szCs w:val="18"/>
              </w:rPr>
            </w:pPr>
            <w:r>
              <w:rPr>
                <w:sz w:val="18"/>
                <w:szCs w:val="18"/>
              </w:rPr>
              <w:t>979,587.99</w:t>
            </w:r>
          </w:p>
        </w:tc>
        <w:tc>
          <w:tcPr>
            <w:tcW w:w="486" w:type="pct"/>
            <w:vAlign w:val="center"/>
          </w:tcPr>
          <w:p w14:paraId="5DC36BEF">
            <w:pPr>
              <w:jc w:val="right"/>
              <w:rPr>
                <w:sz w:val="18"/>
                <w:szCs w:val="18"/>
              </w:rPr>
            </w:pPr>
            <w:r>
              <w:rPr>
                <w:sz w:val="18"/>
                <w:szCs w:val="18"/>
              </w:rPr>
              <w:t>12,072,254.44</w:t>
            </w:r>
          </w:p>
        </w:tc>
      </w:tr>
      <w:tr w14:paraId="606D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17bf1a1d144b41e18dbd63758cccc7b5"/>
            <w:id w:val="976411976"/>
          </w:sdtPr>
          <w:sdtContent>
            <w:tc>
              <w:tcPr>
                <w:tcW w:w="576" w:type="pct"/>
                <w:vAlign w:val="center"/>
              </w:tcPr>
              <w:p w14:paraId="718ECD1F">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（一）综合收益总额</w:t>
                </w:r>
              </w:p>
            </w:tc>
          </w:sdtContent>
        </w:sdt>
        <w:tc>
          <w:tcPr>
            <w:tcW w:w="486" w:type="pct"/>
            <w:vAlign w:val="center"/>
          </w:tcPr>
          <w:p w14:paraId="0E601181">
            <w:pPr>
              <w:jc w:val="right"/>
              <w:rPr>
                <w:sz w:val="18"/>
                <w:szCs w:val="18"/>
              </w:rPr>
            </w:pPr>
          </w:p>
        </w:tc>
        <w:tc>
          <w:tcPr>
            <w:tcW w:w="89" w:type="pct"/>
            <w:vAlign w:val="center"/>
          </w:tcPr>
          <w:p w14:paraId="168C436E">
            <w:pPr>
              <w:jc w:val="right"/>
              <w:rPr>
                <w:sz w:val="18"/>
                <w:szCs w:val="18"/>
              </w:rPr>
            </w:pPr>
          </w:p>
        </w:tc>
        <w:tc>
          <w:tcPr>
            <w:tcW w:w="88" w:type="pct"/>
            <w:vAlign w:val="center"/>
          </w:tcPr>
          <w:p w14:paraId="1E0383F7">
            <w:pPr>
              <w:jc w:val="right"/>
              <w:rPr>
                <w:sz w:val="18"/>
                <w:szCs w:val="18"/>
              </w:rPr>
            </w:pPr>
          </w:p>
        </w:tc>
        <w:tc>
          <w:tcPr>
            <w:tcW w:w="89" w:type="pct"/>
            <w:vAlign w:val="center"/>
          </w:tcPr>
          <w:p w14:paraId="07EA6CA1">
            <w:pPr>
              <w:jc w:val="right"/>
              <w:rPr>
                <w:sz w:val="18"/>
                <w:szCs w:val="18"/>
              </w:rPr>
            </w:pPr>
          </w:p>
        </w:tc>
        <w:tc>
          <w:tcPr>
            <w:tcW w:w="442" w:type="pct"/>
            <w:vAlign w:val="center"/>
          </w:tcPr>
          <w:p w14:paraId="4756246B">
            <w:pPr>
              <w:jc w:val="right"/>
              <w:rPr>
                <w:sz w:val="18"/>
                <w:szCs w:val="18"/>
              </w:rPr>
            </w:pPr>
          </w:p>
        </w:tc>
        <w:tc>
          <w:tcPr>
            <w:tcW w:w="133" w:type="pct"/>
            <w:vAlign w:val="center"/>
          </w:tcPr>
          <w:p w14:paraId="4EC00519">
            <w:pPr>
              <w:jc w:val="right"/>
              <w:rPr>
                <w:sz w:val="18"/>
                <w:szCs w:val="18"/>
              </w:rPr>
            </w:pPr>
          </w:p>
        </w:tc>
        <w:tc>
          <w:tcPr>
            <w:tcW w:w="398" w:type="pct"/>
            <w:vAlign w:val="center"/>
          </w:tcPr>
          <w:p w14:paraId="37905CF6">
            <w:pPr>
              <w:jc w:val="right"/>
              <w:rPr>
                <w:sz w:val="18"/>
                <w:szCs w:val="18"/>
              </w:rPr>
            </w:pPr>
          </w:p>
        </w:tc>
        <w:tc>
          <w:tcPr>
            <w:tcW w:w="89" w:type="pct"/>
            <w:vAlign w:val="center"/>
          </w:tcPr>
          <w:p w14:paraId="384B0AC8">
            <w:pPr>
              <w:jc w:val="right"/>
              <w:rPr>
                <w:sz w:val="18"/>
                <w:szCs w:val="18"/>
              </w:rPr>
            </w:pPr>
          </w:p>
        </w:tc>
        <w:tc>
          <w:tcPr>
            <w:tcW w:w="442" w:type="pct"/>
            <w:vAlign w:val="center"/>
          </w:tcPr>
          <w:p w14:paraId="31E96416">
            <w:pPr>
              <w:jc w:val="right"/>
              <w:rPr>
                <w:sz w:val="18"/>
                <w:szCs w:val="18"/>
              </w:rPr>
            </w:pPr>
          </w:p>
        </w:tc>
        <w:tc>
          <w:tcPr>
            <w:tcW w:w="133" w:type="pct"/>
            <w:vAlign w:val="center"/>
          </w:tcPr>
          <w:p w14:paraId="61B17A21">
            <w:pPr>
              <w:jc w:val="right"/>
              <w:rPr>
                <w:sz w:val="18"/>
                <w:szCs w:val="18"/>
              </w:rPr>
            </w:pPr>
          </w:p>
        </w:tc>
        <w:tc>
          <w:tcPr>
            <w:tcW w:w="487" w:type="pct"/>
            <w:vAlign w:val="center"/>
          </w:tcPr>
          <w:p w14:paraId="70A73188">
            <w:pPr>
              <w:jc w:val="right"/>
              <w:rPr>
                <w:sz w:val="18"/>
                <w:szCs w:val="18"/>
              </w:rPr>
            </w:pPr>
            <w:r>
              <w:rPr>
                <w:sz w:val="18"/>
                <w:szCs w:val="18"/>
              </w:rPr>
              <w:t>24,624,735.65</w:t>
            </w:r>
          </w:p>
        </w:tc>
        <w:tc>
          <w:tcPr>
            <w:tcW w:w="133" w:type="pct"/>
            <w:vAlign w:val="center"/>
          </w:tcPr>
          <w:p w14:paraId="59241DAC">
            <w:pPr>
              <w:jc w:val="right"/>
              <w:rPr>
                <w:sz w:val="18"/>
                <w:szCs w:val="18"/>
              </w:rPr>
            </w:pPr>
          </w:p>
        </w:tc>
        <w:tc>
          <w:tcPr>
            <w:tcW w:w="503" w:type="pct"/>
            <w:vAlign w:val="center"/>
          </w:tcPr>
          <w:p w14:paraId="599345A5">
            <w:pPr>
              <w:jc w:val="right"/>
              <w:rPr>
                <w:sz w:val="18"/>
                <w:szCs w:val="18"/>
              </w:rPr>
            </w:pPr>
            <w:r>
              <w:rPr>
                <w:sz w:val="18"/>
                <w:szCs w:val="18"/>
              </w:rPr>
              <w:t>24,624,735.65</w:t>
            </w:r>
          </w:p>
        </w:tc>
        <w:tc>
          <w:tcPr>
            <w:tcW w:w="426" w:type="pct"/>
            <w:vAlign w:val="center"/>
          </w:tcPr>
          <w:p w14:paraId="01E3B5F1">
            <w:pPr>
              <w:jc w:val="right"/>
              <w:rPr>
                <w:sz w:val="18"/>
                <w:szCs w:val="18"/>
              </w:rPr>
            </w:pPr>
            <w:r>
              <w:rPr>
                <w:sz w:val="18"/>
                <w:szCs w:val="18"/>
              </w:rPr>
              <w:t>979,587.99</w:t>
            </w:r>
          </w:p>
        </w:tc>
        <w:tc>
          <w:tcPr>
            <w:tcW w:w="486" w:type="pct"/>
            <w:vAlign w:val="center"/>
          </w:tcPr>
          <w:p w14:paraId="17C7A0B7">
            <w:pPr>
              <w:ind w:right="90"/>
              <w:jc w:val="right"/>
              <w:rPr>
                <w:sz w:val="18"/>
                <w:szCs w:val="18"/>
              </w:rPr>
            </w:pPr>
            <w:r>
              <w:rPr>
                <w:sz w:val="18"/>
                <w:szCs w:val="18"/>
              </w:rPr>
              <w:t>25,604,323.64</w:t>
            </w:r>
          </w:p>
        </w:tc>
      </w:tr>
      <w:tr w14:paraId="3D4C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d55056423dbf4ac187d64bd43c03aca3"/>
            <w:id w:val="2037610955"/>
          </w:sdtPr>
          <w:sdtContent>
            <w:tc>
              <w:tcPr>
                <w:tcW w:w="576" w:type="pct"/>
                <w:vAlign w:val="center"/>
              </w:tcPr>
              <w:p w14:paraId="5C7788F1">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二</w:t>
                </w:r>
                <w:r>
                  <w:rPr>
                    <w:color w:val="000000" w:themeColor="text1"/>
                    <w:sz w:val="18"/>
                    <w:szCs w:val="18"/>
                    <w14:textFill>
                      <w14:solidFill>
                        <w14:schemeClr w14:val="tx1"/>
                      </w14:solidFill>
                    </w14:textFill>
                  </w:rPr>
                  <w:t>）所有者投入和减少资本</w:t>
                </w:r>
              </w:p>
            </w:tc>
          </w:sdtContent>
        </w:sdt>
        <w:tc>
          <w:tcPr>
            <w:tcW w:w="486" w:type="pct"/>
            <w:vAlign w:val="center"/>
          </w:tcPr>
          <w:p w14:paraId="70CD6DC6">
            <w:pPr>
              <w:jc w:val="right"/>
              <w:rPr>
                <w:sz w:val="18"/>
                <w:szCs w:val="18"/>
              </w:rPr>
            </w:pPr>
          </w:p>
        </w:tc>
        <w:tc>
          <w:tcPr>
            <w:tcW w:w="89" w:type="pct"/>
            <w:vAlign w:val="center"/>
          </w:tcPr>
          <w:p w14:paraId="13F9382C">
            <w:pPr>
              <w:jc w:val="right"/>
              <w:rPr>
                <w:sz w:val="18"/>
                <w:szCs w:val="18"/>
              </w:rPr>
            </w:pPr>
          </w:p>
        </w:tc>
        <w:tc>
          <w:tcPr>
            <w:tcW w:w="88" w:type="pct"/>
            <w:vAlign w:val="center"/>
          </w:tcPr>
          <w:p w14:paraId="5AECB18C">
            <w:pPr>
              <w:jc w:val="right"/>
              <w:rPr>
                <w:sz w:val="18"/>
                <w:szCs w:val="18"/>
              </w:rPr>
            </w:pPr>
          </w:p>
        </w:tc>
        <w:tc>
          <w:tcPr>
            <w:tcW w:w="89" w:type="pct"/>
            <w:vAlign w:val="center"/>
          </w:tcPr>
          <w:p w14:paraId="45641F3A">
            <w:pPr>
              <w:jc w:val="right"/>
              <w:rPr>
                <w:sz w:val="18"/>
                <w:szCs w:val="18"/>
              </w:rPr>
            </w:pPr>
          </w:p>
        </w:tc>
        <w:tc>
          <w:tcPr>
            <w:tcW w:w="442" w:type="pct"/>
            <w:vAlign w:val="center"/>
          </w:tcPr>
          <w:p w14:paraId="2D0EC5F8">
            <w:pPr>
              <w:jc w:val="right"/>
              <w:rPr>
                <w:sz w:val="18"/>
                <w:szCs w:val="18"/>
              </w:rPr>
            </w:pPr>
          </w:p>
        </w:tc>
        <w:tc>
          <w:tcPr>
            <w:tcW w:w="133" w:type="pct"/>
            <w:vAlign w:val="center"/>
          </w:tcPr>
          <w:p w14:paraId="2ACD8307">
            <w:pPr>
              <w:jc w:val="right"/>
              <w:rPr>
                <w:sz w:val="18"/>
                <w:szCs w:val="18"/>
              </w:rPr>
            </w:pPr>
          </w:p>
        </w:tc>
        <w:tc>
          <w:tcPr>
            <w:tcW w:w="398" w:type="pct"/>
            <w:vAlign w:val="center"/>
          </w:tcPr>
          <w:p w14:paraId="29286568">
            <w:pPr>
              <w:jc w:val="right"/>
              <w:rPr>
                <w:sz w:val="18"/>
                <w:szCs w:val="18"/>
              </w:rPr>
            </w:pPr>
          </w:p>
        </w:tc>
        <w:tc>
          <w:tcPr>
            <w:tcW w:w="89" w:type="pct"/>
            <w:vAlign w:val="center"/>
          </w:tcPr>
          <w:p w14:paraId="0DC713A9">
            <w:pPr>
              <w:jc w:val="right"/>
              <w:rPr>
                <w:sz w:val="18"/>
                <w:szCs w:val="18"/>
              </w:rPr>
            </w:pPr>
          </w:p>
        </w:tc>
        <w:tc>
          <w:tcPr>
            <w:tcW w:w="442" w:type="pct"/>
            <w:vAlign w:val="center"/>
          </w:tcPr>
          <w:p w14:paraId="2949FBCF">
            <w:pPr>
              <w:jc w:val="right"/>
              <w:rPr>
                <w:sz w:val="18"/>
                <w:szCs w:val="18"/>
              </w:rPr>
            </w:pPr>
          </w:p>
        </w:tc>
        <w:tc>
          <w:tcPr>
            <w:tcW w:w="133" w:type="pct"/>
            <w:vAlign w:val="center"/>
          </w:tcPr>
          <w:p w14:paraId="164DFDA2">
            <w:pPr>
              <w:jc w:val="right"/>
              <w:rPr>
                <w:sz w:val="18"/>
                <w:szCs w:val="18"/>
              </w:rPr>
            </w:pPr>
          </w:p>
        </w:tc>
        <w:tc>
          <w:tcPr>
            <w:tcW w:w="487" w:type="pct"/>
            <w:vAlign w:val="center"/>
          </w:tcPr>
          <w:p w14:paraId="4907E3A0">
            <w:pPr>
              <w:jc w:val="right"/>
              <w:rPr>
                <w:sz w:val="18"/>
                <w:szCs w:val="18"/>
              </w:rPr>
            </w:pPr>
          </w:p>
        </w:tc>
        <w:tc>
          <w:tcPr>
            <w:tcW w:w="133" w:type="pct"/>
            <w:vAlign w:val="center"/>
          </w:tcPr>
          <w:p w14:paraId="4EB45EAB">
            <w:pPr>
              <w:jc w:val="right"/>
              <w:rPr>
                <w:sz w:val="18"/>
                <w:szCs w:val="18"/>
              </w:rPr>
            </w:pPr>
          </w:p>
        </w:tc>
        <w:tc>
          <w:tcPr>
            <w:tcW w:w="503" w:type="pct"/>
            <w:vAlign w:val="center"/>
          </w:tcPr>
          <w:p w14:paraId="78A0B563">
            <w:pPr>
              <w:jc w:val="right"/>
              <w:rPr>
                <w:sz w:val="18"/>
                <w:szCs w:val="18"/>
              </w:rPr>
            </w:pPr>
          </w:p>
        </w:tc>
        <w:tc>
          <w:tcPr>
            <w:tcW w:w="426" w:type="pct"/>
            <w:vAlign w:val="center"/>
          </w:tcPr>
          <w:p w14:paraId="485B8D0D">
            <w:pPr>
              <w:jc w:val="right"/>
              <w:rPr>
                <w:sz w:val="18"/>
                <w:szCs w:val="18"/>
              </w:rPr>
            </w:pPr>
          </w:p>
        </w:tc>
        <w:tc>
          <w:tcPr>
            <w:tcW w:w="486" w:type="pct"/>
            <w:vAlign w:val="center"/>
          </w:tcPr>
          <w:p w14:paraId="7B3F0FC0">
            <w:pPr>
              <w:jc w:val="right"/>
              <w:rPr>
                <w:sz w:val="18"/>
                <w:szCs w:val="18"/>
              </w:rPr>
            </w:pPr>
          </w:p>
        </w:tc>
      </w:tr>
      <w:tr w14:paraId="60A5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284541025868477ca26973c13dd9ff9e"/>
            <w:id w:val="-1106656476"/>
          </w:sdtPr>
          <w:sdtContent>
            <w:tc>
              <w:tcPr>
                <w:tcW w:w="576" w:type="pct"/>
                <w:vAlign w:val="center"/>
              </w:tcPr>
              <w:p w14:paraId="2D437C38">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1．所有者投入的普通股</w:t>
                </w:r>
              </w:p>
            </w:tc>
          </w:sdtContent>
        </w:sdt>
        <w:tc>
          <w:tcPr>
            <w:tcW w:w="486" w:type="pct"/>
            <w:vAlign w:val="center"/>
          </w:tcPr>
          <w:p w14:paraId="110132BC">
            <w:pPr>
              <w:jc w:val="right"/>
              <w:rPr>
                <w:sz w:val="18"/>
                <w:szCs w:val="18"/>
              </w:rPr>
            </w:pPr>
          </w:p>
        </w:tc>
        <w:tc>
          <w:tcPr>
            <w:tcW w:w="89" w:type="pct"/>
            <w:vAlign w:val="center"/>
          </w:tcPr>
          <w:p w14:paraId="76040739">
            <w:pPr>
              <w:jc w:val="right"/>
              <w:rPr>
                <w:sz w:val="18"/>
                <w:szCs w:val="18"/>
              </w:rPr>
            </w:pPr>
          </w:p>
        </w:tc>
        <w:tc>
          <w:tcPr>
            <w:tcW w:w="88" w:type="pct"/>
            <w:vAlign w:val="center"/>
          </w:tcPr>
          <w:p w14:paraId="13960700">
            <w:pPr>
              <w:jc w:val="right"/>
              <w:rPr>
                <w:sz w:val="18"/>
                <w:szCs w:val="18"/>
              </w:rPr>
            </w:pPr>
          </w:p>
        </w:tc>
        <w:tc>
          <w:tcPr>
            <w:tcW w:w="89" w:type="pct"/>
            <w:vAlign w:val="center"/>
          </w:tcPr>
          <w:p w14:paraId="7D97570C">
            <w:pPr>
              <w:jc w:val="right"/>
              <w:rPr>
                <w:sz w:val="18"/>
                <w:szCs w:val="18"/>
              </w:rPr>
            </w:pPr>
          </w:p>
        </w:tc>
        <w:tc>
          <w:tcPr>
            <w:tcW w:w="442" w:type="pct"/>
            <w:vAlign w:val="center"/>
          </w:tcPr>
          <w:p w14:paraId="31F37593">
            <w:pPr>
              <w:jc w:val="right"/>
              <w:rPr>
                <w:sz w:val="18"/>
                <w:szCs w:val="18"/>
              </w:rPr>
            </w:pPr>
          </w:p>
        </w:tc>
        <w:tc>
          <w:tcPr>
            <w:tcW w:w="133" w:type="pct"/>
            <w:vAlign w:val="center"/>
          </w:tcPr>
          <w:p w14:paraId="63F258F3">
            <w:pPr>
              <w:jc w:val="right"/>
              <w:rPr>
                <w:sz w:val="18"/>
                <w:szCs w:val="18"/>
              </w:rPr>
            </w:pPr>
          </w:p>
        </w:tc>
        <w:tc>
          <w:tcPr>
            <w:tcW w:w="398" w:type="pct"/>
            <w:vAlign w:val="center"/>
          </w:tcPr>
          <w:p w14:paraId="634B463B">
            <w:pPr>
              <w:jc w:val="right"/>
              <w:rPr>
                <w:sz w:val="18"/>
                <w:szCs w:val="18"/>
              </w:rPr>
            </w:pPr>
          </w:p>
        </w:tc>
        <w:tc>
          <w:tcPr>
            <w:tcW w:w="89" w:type="pct"/>
            <w:vAlign w:val="center"/>
          </w:tcPr>
          <w:p w14:paraId="59D22B1C">
            <w:pPr>
              <w:jc w:val="right"/>
              <w:rPr>
                <w:sz w:val="18"/>
                <w:szCs w:val="18"/>
              </w:rPr>
            </w:pPr>
          </w:p>
        </w:tc>
        <w:tc>
          <w:tcPr>
            <w:tcW w:w="442" w:type="pct"/>
            <w:vAlign w:val="center"/>
          </w:tcPr>
          <w:p w14:paraId="6ECCBDAA">
            <w:pPr>
              <w:jc w:val="right"/>
              <w:rPr>
                <w:sz w:val="18"/>
                <w:szCs w:val="18"/>
              </w:rPr>
            </w:pPr>
          </w:p>
        </w:tc>
        <w:tc>
          <w:tcPr>
            <w:tcW w:w="133" w:type="pct"/>
            <w:vAlign w:val="center"/>
          </w:tcPr>
          <w:p w14:paraId="3F95238F">
            <w:pPr>
              <w:jc w:val="right"/>
              <w:rPr>
                <w:sz w:val="18"/>
                <w:szCs w:val="18"/>
              </w:rPr>
            </w:pPr>
          </w:p>
        </w:tc>
        <w:tc>
          <w:tcPr>
            <w:tcW w:w="487" w:type="pct"/>
            <w:vAlign w:val="center"/>
          </w:tcPr>
          <w:p w14:paraId="57820814">
            <w:pPr>
              <w:jc w:val="right"/>
              <w:rPr>
                <w:sz w:val="18"/>
                <w:szCs w:val="18"/>
              </w:rPr>
            </w:pPr>
          </w:p>
        </w:tc>
        <w:tc>
          <w:tcPr>
            <w:tcW w:w="133" w:type="pct"/>
            <w:vAlign w:val="center"/>
          </w:tcPr>
          <w:p w14:paraId="327CCD05">
            <w:pPr>
              <w:jc w:val="right"/>
              <w:rPr>
                <w:sz w:val="18"/>
                <w:szCs w:val="18"/>
              </w:rPr>
            </w:pPr>
          </w:p>
        </w:tc>
        <w:tc>
          <w:tcPr>
            <w:tcW w:w="503" w:type="pct"/>
            <w:vAlign w:val="center"/>
          </w:tcPr>
          <w:p w14:paraId="78D205EA">
            <w:pPr>
              <w:jc w:val="right"/>
              <w:rPr>
                <w:sz w:val="18"/>
                <w:szCs w:val="18"/>
              </w:rPr>
            </w:pPr>
          </w:p>
        </w:tc>
        <w:tc>
          <w:tcPr>
            <w:tcW w:w="426" w:type="pct"/>
            <w:vAlign w:val="center"/>
          </w:tcPr>
          <w:p w14:paraId="2C39DEB1">
            <w:pPr>
              <w:jc w:val="right"/>
              <w:rPr>
                <w:sz w:val="18"/>
                <w:szCs w:val="18"/>
              </w:rPr>
            </w:pPr>
          </w:p>
        </w:tc>
        <w:tc>
          <w:tcPr>
            <w:tcW w:w="486" w:type="pct"/>
            <w:vAlign w:val="center"/>
          </w:tcPr>
          <w:p w14:paraId="4320E95E">
            <w:pPr>
              <w:jc w:val="right"/>
              <w:rPr>
                <w:sz w:val="18"/>
                <w:szCs w:val="18"/>
              </w:rPr>
            </w:pPr>
          </w:p>
        </w:tc>
      </w:tr>
      <w:tr w14:paraId="0753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13b4ec8d0fe34f9797d68eab8f95768d"/>
            <w:id w:val="-1586839471"/>
          </w:sdtPr>
          <w:sdtContent>
            <w:tc>
              <w:tcPr>
                <w:tcW w:w="576" w:type="pct"/>
                <w:vAlign w:val="center"/>
              </w:tcPr>
              <w:p w14:paraId="4B881D20">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2．其他权益工具持有者投入资本</w:t>
                </w:r>
              </w:p>
            </w:tc>
          </w:sdtContent>
        </w:sdt>
        <w:tc>
          <w:tcPr>
            <w:tcW w:w="486" w:type="pct"/>
            <w:vAlign w:val="center"/>
          </w:tcPr>
          <w:p w14:paraId="3FD22C71">
            <w:pPr>
              <w:jc w:val="right"/>
              <w:rPr>
                <w:sz w:val="18"/>
                <w:szCs w:val="18"/>
              </w:rPr>
            </w:pPr>
          </w:p>
        </w:tc>
        <w:tc>
          <w:tcPr>
            <w:tcW w:w="89" w:type="pct"/>
            <w:vAlign w:val="center"/>
          </w:tcPr>
          <w:p w14:paraId="7CFFC064">
            <w:pPr>
              <w:jc w:val="right"/>
              <w:rPr>
                <w:sz w:val="18"/>
                <w:szCs w:val="18"/>
              </w:rPr>
            </w:pPr>
          </w:p>
        </w:tc>
        <w:tc>
          <w:tcPr>
            <w:tcW w:w="88" w:type="pct"/>
            <w:vAlign w:val="center"/>
          </w:tcPr>
          <w:p w14:paraId="7A84B842">
            <w:pPr>
              <w:jc w:val="right"/>
              <w:rPr>
                <w:sz w:val="18"/>
                <w:szCs w:val="18"/>
              </w:rPr>
            </w:pPr>
          </w:p>
        </w:tc>
        <w:tc>
          <w:tcPr>
            <w:tcW w:w="89" w:type="pct"/>
            <w:vAlign w:val="center"/>
          </w:tcPr>
          <w:p w14:paraId="509DA699">
            <w:pPr>
              <w:jc w:val="right"/>
              <w:rPr>
                <w:sz w:val="18"/>
                <w:szCs w:val="18"/>
              </w:rPr>
            </w:pPr>
          </w:p>
        </w:tc>
        <w:tc>
          <w:tcPr>
            <w:tcW w:w="442" w:type="pct"/>
            <w:vAlign w:val="center"/>
          </w:tcPr>
          <w:p w14:paraId="4B0D27B4">
            <w:pPr>
              <w:jc w:val="right"/>
              <w:rPr>
                <w:sz w:val="18"/>
                <w:szCs w:val="18"/>
              </w:rPr>
            </w:pPr>
          </w:p>
        </w:tc>
        <w:tc>
          <w:tcPr>
            <w:tcW w:w="133" w:type="pct"/>
            <w:vAlign w:val="center"/>
          </w:tcPr>
          <w:p w14:paraId="52B9025A">
            <w:pPr>
              <w:jc w:val="right"/>
              <w:rPr>
                <w:sz w:val="18"/>
                <w:szCs w:val="18"/>
              </w:rPr>
            </w:pPr>
          </w:p>
        </w:tc>
        <w:tc>
          <w:tcPr>
            <w:tcW w:w="398" w:type="pct"/>
            <w:vAlign w:val="center"/>
          </w:tcPr>
          <w:p w14:paraId="1E9C07FF">
            <w:pPr>
              <w:jc w:val="right"/>
              <w:rPr>
                <w:sz w:val="18"/>
                <w:szCs w:val="18"/>
              </w:rPr>
            </w:pPr>
          </w:p>
        </w:tc>
        <w:tc>
          <w:tcPr>
            <w:tcW w:w="89" w:type="pct"/>
            <w:vAlign w:val="center"/>
          </w:tcPr>
          <w:p w14:paraId="62EB782F">
            <w:pPr>
              <w:jc w:val="right"/>
              <w:rPr>
                <w:sz w:val="18"/>
                <w:szCs w:val="18"/>
              </w:rPr>
            </w:pPr>
          </w:p>
        </w:tc>
        <w:tc>
          <w:tcPr>
            <w:tcW w:w="442" w:type="pct"/>
            <w:vAlign w:val="center"/>
          </w:tcPr>
          <w:p w14:paraId="7E6E85E7">
            <w:pPr>
              <w:jc w:val="right"/>
              <w:rPr>
                <w:sz w:val="18"/>
                <w:szCs w:val="18"/>
              </w:rPr>
            </w:pPr>
          </w:p>
        </w:tc>
        <w:tc>
          <w:tcPr>
            <w:tcW w:w="133" w:type="pct"/>
            <w:vAlign w:val="center"/>
          </w:tcPr>
          <w:p w14:paraId="7113DF28">
            <w:pPr>
              <w:jc w:val="right"/>
              <w:rPr>
                <w:sz w:val="18"/>
                <w:szCs w:val="18"/>
              </w:rPr>
            </w:pPr>
          </w:p>
        </w:tc>
        <w:tc>
          <w:tcPr>
            <w:tcW w:w="487" w:type="pct"/>
            <w:vAlign w:val="center"/>
          </w:tcPr>
          <w:p w14:paraId="226505A2">
            <w:pPr>
              <w:jc w:val="right"/>
              <w:rPr>
                <w:sz w:val="18"/>
                <w:szCs w:val="18"/>
              </w:rPr>
            </w:pPr>
          </w:p>
        </w:tc>
        <w:tc>
          <w:tcPr>
            <w:tcW w:w="133" w:type="pct"/>
            <w:vAlign w:val="center"/>
          </w:tcPr>
          <w:p w14:paraId="1895D452">
            <w:pPr>
              <w:jc w:val="right"/>
              <w:rPr>
                <w:sz w:val="18"/>
                <w:szCs w:val="18"/>
              </w:rPr>
            </w:pPr>
          </w:p>
        </w:tc>
        <w:tc>
          <w:tcPr>
            <w:tcW w:w="503" w:type="pct"/>
            <w:vAlign w:val="center"/>
          </w:tcPr>
          <w:p w14:paraId="46FF17AB">
            <w:pPr>
              <w:jc w:val="right"/>
              <w:rPr>
                <w:sz w:val="18"/>
                <w:szCs w:val="18"/>
              </w:rPr>
            </w:pPr>
          </w:p>
        </w:tc>
        <w:tc>
          <w:tcPr>
            <w:tcW w:w="426" w:type="pct"/>
            <w:vAlign w:val="center"/>
          </w:tcPr>
          <w:p w14:paraId="433BD8B5">
            <w:pPr>
              <w:jc w:val="right"/>
              <w:rPr>
                <w:sz w:val="18"/>
                <w:szCs w:val="18"/>
              </w:rPr>
            </w:pPr>
          </w:p>
        </w:tc>
        <w:tc>
          <w:tcPr>
            <w:tcW w:w="486" w:type="pct"/>
            <w:vAlign w:val="center"/>
          </w:tcPr>
          <w:p w14:paraId="69F56C92">
            <w:pPr>
              <w:jc w:val="right"/>
              <w:rPr>
                <w:sz w:val="18"/>
                <w:szCs w:val="18"/>
              </w:rPr>
            </w:pPr>
          </w:p>
        </w:tc>
      </w:tr>
      <w:tr w14:paraId="2875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f1f3be9263a748c28f276e78f447b133"/>
            <w:id w:val="1277061544"/>
          </w:sdtPr>
          <w:sdtContent>
            <w:tc>
              <w:tcPr>
                <w:tcW w:w="576" w:type="pct"/>
                <w:vAlign w:val="center"/>
              </w:tcPr>
              <w:p w14:paraId="18623E8C">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．股份支付计入所有者权益的金额</w:t>
                </w:r>
              </w:p>
            </w:tc>
          </w:sdtContent>
        </w:sdt>
        <w:tc>
          <w:tcPr>
            <w:tcW w:w="486" w:type="pct"/>
            <w:vAlign w:val="center"/>
          </w:tcPr>
          <w:p w14:paraId="0C0635FD">
            <w:pPr>
              <w:jc w:val="right"/>
              <w:rPr>
                <w:sz w:val="18"/>
                <w:szCs w:val="18"/>
              </w:rPr>
            </w:pPr>
          </w:p>
        </w:tc>
        <w:tc>
          <w:tcPr>
            <w:tcW w:w="89" w:type="pct"/>
            <w:vAlign w:val="center"/>
          </w:tcPr>
          <w:p w14:paraId="6551D611">
            <w:pPr>
              <w:jc w:val="right"/>
              <w:rPr>
                <w:sz w:val="18"/>
                <w:szCs w:val="18"/>
              </w:rPr>
            </w:pPr>
          </w:p>
        </w:tc>
        <w:tc>
          <w:tcPr>
            <w:tcW w:w="88" w:type="pct"/>
            <w:vAlign w:val="center"/>
          </w:tcPr>
          <w:p w14:paraId="0F8E3BFF">
            <w:pPr>
              <w:jc w:val="right"/>
              <w:rPr>
                <w:sz w:val="18"/>
                <w:szCs w:val="18"/>
              </w:rPr>
            </w:pPr>
          </w:p>
        </w:tc>
        <w:tc>
          <w:tcPr>
            <w:tcW w:w="89" w:type="pct"/>
            <w:vAlign w:val="center"/>
          </w:tcPr>
          <w:p w14:paraId="5EA055BD">
            <w:pPr>
              <w:jc w:val="right"/>
              <w:rPr>
                <w:sz w:val="18"/>
                <w:szCs w:val="18"/>
              </w:rPr>
            </w:pPr>
          </w:p>
        </w:tc>
        <w:tc>
          <w:tcPr>
            <w:tcW w:w="442" w:type="pct"/>
            <w:vAlign w:val="center"/>
          </w:tcPr>
          <w:p w14:paraId="48062507">
            <w:pPr>
              <w:jc w:val="right"/>
              <w:rPr>
                <w:sz w:val="18"/>
                <w:szCs w:val="18"/>
              </w:rPr>
            </w:pPr>
          </w:p>
        </w:tc>
        <w:tc>
          <w:tcPr>
            <w:tcW w:w="133" w:type="pct"/>
            <w:vAlign w:val="center"/>
          </w:tcPr>
          <w:p w14:paraId="2EC75091">
            <w:pPr>
              <w:jc w:val="right"/>
              <w:rPr>
                <w:sz w:val="18"/>
                <w:szCs w:val="18"/>
              </w:rPr>
            </w:pPr>
          </w:p>
        </w:tc>
        <w:tc>
          <w:tcPr>
            <w:tcW w:w="398" w:type="pct"/>
            <w:vAlign w:val="center"/>
          </w:tcPr>
          <w:p w14:paraId="2F6A880B">
            <w:pPr>
              <w:jc w:val="right"/>
              <w:rPr>
                <w:sz w:val="18"/>
                <w:szCs w:val="18"/>
              </w:rPr>
            </w:pPr>
          </w:p>
        </w:tc>
        <w:tc>
          <w:tcPr>
            <w:tcW w:w="89" w:type="pct"/>
            <w:vAlign w:val="center"/>
          </w:tcPr>
          <w:p w14:paraId="24F1DEC5">
            <w:pPr>
              <w:jc w:val="right"/>
              <w:rPr>
                <w:sz w:val="18"/>
                <w:szCs w:val="18"/>
              </w:rPr>
            </w:pPr>
          </w:p>
        </w:tc>
        <w:tc>
          <w:tcPr>
            <w:tcW w:w="442" w:type="pct"/>
            <w:vAlign w:val="center"/>
          </w:tcPr>
          <w:p w14:paraId="6DFBFE0F">
            <w:pPr>
              <w:jc w:val="right"/>
              <w:rPr>
                <w:sz w:val="18"/>
                <w:szCs w:val="18"/>
              </w:rPr>
            </w:pPr>
          </w:p>
        </w:tc>
        <w:tc>
          <w:tcPr>
            <w:tcW w:w="133" w:type="pct"/>
            <w:vAlign w:val="center"/>
          </w:tcPr>
          <w:p w14:paraId="774E8520">
            <w:pPr>
              <w:jc w:val="right"/>
              <w:rPr>
                <w:sz w:val="18"/>
                <w:szCs w:val="18"/>
              </w:rPr>
            </w:pPr>
          </w:p>
        </w:tc>
        <w:tc>
          <w:tcPr>
            <w:tcW w:w="487" w:type="pct"/>
            <w:vAlign w:val="center"/>
          </w:tcPr>
          <w:p w14:paraId="1A560A3F">
            <w:pPr>
              <w:jc w:val="right"/>
              <w:rPr>
                <w:sz w:val="18"/>
                <w:szCs w:val="18"/>
              </w:rPr>
            </w:pPr>
          </w:p>
        </w:tc>
        <w:tc>
          <w:tcPr>
            <w:tcW w:w="133" w:type="pct"/>
            <w:vAlign w:val="center"/>
          </w:tcPr>
          <w:p w14:paraId="71D3E2D5">
            <w:pPr>
              <w:jc w:val="right"/>
              <w:rPr>
                <w:sz w:val="18"/>
                <w:szCs w:val="18"/>
              </w:rPr>
            </w:pPr>
          </w:p>
        </w:tc>
        <w:tc>
          <w:tcPr>
            <w:tcW w:w="503" w:type="pct"/>
            <w:vAlign w:val="center"/>
          </w:tcPr>
          <w:p w14:paraId="68B1FE50">
            <w:pPr>
              <w:jc w:val="right"/>
              <w:rPr>
                <w:sz w:val="18"/>
                <w:szCs w:val="18"/>
              </w:rPr>
            </w:pPr>
          </w:p>
        </w:tc>
        <w:tc>
          <w:tcPr>
            <w:tcW w:w="426" w:type="pct"/>
            <w:vAlign w:val="center"/>
          </w:tcPr>
          <w:p w14:paraId="0F762380">
            <w:pPr>
              <w:jc w:val="right"/>
              <w:rPr>
                <w:sz w:val="18"/>
                <w:szCs w:val="18"/>
              </w:rPr>
            </w:pPr>
          </w:p>
        </w:tc>
        <w:tc>
          <w:tcPr>
            <w:tcW w:w="486" w:type="pct"/>
            <w:vAlign w:val="center"/>
          </w:tcPr>
          <w:p w14:paraId="423C9036">
            <w:pPr>
              <w:jc w:val="right"/>
              <w:rPr>
                <w:sz w:val="18"/>
                <w:szCs w:val="18"/>
              </w:rPr>
            </w:pPr>
          </w:p>
        </w:tc>
      </w:tr>
      <w:tr w14:paraId="785A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b361f3a237774bcd8ac416b2b21655eb"/>
            <w:id w:val="-1366826679"/>
          </w:sdtPr>
          <w:sdtContent>
            <w:tc>
              <w:tcPr>
                <w:tcW w:w="576" w:type="pct"/>
                <w:vAlign w:val="center"/>
              </w:tcPr>
              <w:p w14:paraId="32B0D5F5">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r>
                  <w:rPr>
                    <w:color w:val="000000" w:themeColor="text1"/>
                    <w:sz w:val="18"/>
                    <w:szCs w:val="18"/>
                    <w14:textFill>
                      <w14:solidFill>
                        <w14:schemeClr w14:val="tx1"/>
                      </w14:solidFill>
                    </w14:textFill>
                  </w:rPr>
                  <w:t>．其他</w:t>
                </w:r>
              </w:p>
            </w:tc>
          </w:sdtContent>
        </w:sdt>
        <w:tc>
          <w:tcPr>
            <w:tcW w:w="486" w:type="pct"/>
            <w:vAlign w:val="center"/>
          </w:tcPr>
          <w:p w14:paraId="450CE0C2">
            <w:pPr>
              <w:jc w:val="right"/>
              <w:rPr>
                <w:sz w:val="18"/>
                <w:szCs w:val="18"/>
              </w:rPr>
            </w:pPr>
          </w:p>
        </w:tc>
        <w:tc>
          <w:tcPr>
            <w:tcW w:w="89" w:type="pct"/>
            <w:vAlign w:val="center"/>
          </w:tcPr>
          <w:p w14:paraId="1A175AA1">
            <w:pPr>
              <w:jc w:val="right"/>
              <w:rPr>
                <w:sz w:val="18"/>
                <w:szCs w:val="18"/>
              </w:rPr>
            </w:pPr>
          </w:p>
        </w:tc>
        <w:tc>
          <w:tcPr>
            <w:tcW w:w="88" w:type="pct"/>
            <w:vAlign w:val="center"/>
          </w:tcPr>
          <w:p w14:paraId="0CFC9866">
            <w:pPr>
              <w:jc w:val="right"/>
              <w:rPr>
                <w:sz w:val="18"/>
                <w:szCs w:val="18"/>
              </w:rPr>
            </w:pPr>
          </w:p>
        </w:tc>
        <w:tc>
          <w:tcPr>
            <w:tcW w:w="89" w:type="pct"/>
            <w:vAlign w:val="center"/>
          </w:tcPr>
          <w:p w14:paraId="516F4696">
            <w:pPr>
              <w:jc w:val="right"/>
              <w:rPr>
                <w:sz w:val="18"/>
                <w:szCs w:val="18"/>
              </w:rPr>
            </w:pPr>
          </w:p>
        </w:tc>
        <w:tc>
          <w:tcPr>
            <w:tcW w:w="442" w:type="pct"/>
            <w:vAlign w:val="center"/>
          </w:tcPr>
          <w:p w14:paraId="34F3D7E9">
            <w:pPr>
              <w:jc w:val="right"/>
              <w:rPr>
                <w:sz w:val="18"/>
                <w:szCs w:val="18"/>
              </w:rPr>
            </w:pPr>
          </w:p>
        </w:tc>
        <w:tc>
          <w:tcPr>
            <w:tcW w:w="133" w:type="pct"/>
            <w:vAlign w:val="center"/>
          </w:tcPr>
          <w:p w14:paraId="09AEE34F">
            <w:pPr>
              <w:jc w:val="right"/>
              <w:rPr>
                <w:sz w:val="18"/>
                <w:szCs w:val="18"/>
              </w:rPr>
            </w:pPr>
          </w:p>
        </w:tc>
        <w:tc>
          <w:tcPr>
            <w:tcW w:w="398" w:type="pct"/>
            <w:vAlign w:val="center"/>
          </w:tcPr>
          <w:p w14:paraId="15530320">
            <w:pPr>
              <w:jc w:val="right"/>
              <w:rPr>
                <w:sz w:val="18"/>
                <w:szCs w:val="18"/>
              </w:rPr>
            </w:pPr>
          </w:p>
        </w:tc>
        <w:tc>
          <w:tcPr>
            <w:tcW w:w="89" w:type="pct"/>
            <w:vAlign w:val="center"/>
          </w:tcPr>
          <w:p w14:paraId="2CABA9A9">
            <w:pPr>
              <w:jc w:val="right"/>
              <w:rPr>
                <w:sz w:val="18"/>
                <w:szCs w:val="18"/>
              </w:rPr>
            </w:pPr>
          </w:p>
        </w:tc>
        <w:tc>
          <w:tcPr>
            <w:tcW w:w="442" w:type="pct"/>
            <w:vAlign w:val="center"/>
          </w:tcPr>
          <w:p w14:paraId="5098735D">
            <w:pPr>
              <w:jc w:val="right"/>
              <w:rPr>
                <w:sz w:val="18"/>
                <w:szCs w:val="18"/>
              </w:rPr>
            </w:pPr>
          </w:p>
        </w:tc>
        <w:tc>
          <w:tcPr>
            <w:tcW w:w="133" w:type="pct"/>
            <w:vAlign w:val="center"/>
          </w:tcPr>
          <w:p w14:paraId="038E8EC1">
            <w:pPr>
              <w:jc w:val="right"/>
              <w:rPr>
                <w:sz w:val="18"/>
                <w:szCs w:val="18"/>
              </w:rPr>
            </w:pPr>
          </w:p>
        </w:tc>
        <w:tc>
          <w:tcPr>
            <w:tcW w:w="487" w:type="pct"/>
            <w:vAlign w:val="center"/>
          </w:tcPr>
          <w:p w14:paraId="0F073F09">
            <w:pPr>
              <w:jc w:val="right"/>
              <w:rPr>
                <w:sz w:val="18"/>
                <w:szCs w:val="18"/>
              </w:rPr>
            </w:pPr>
          </w:p>
        </w:tc>
        <w:tc>
          <w:tcPr>
            <w:tcW w:w="133" w:type="pct"/>
            <w:vAlign w:val="center"/>
          </w:tcPr>
          <w:p w14:paraId="2409E33C">
            <w:pPr>
              <w:jc w:val="right"/>
              <w:rPr>
                <w:sz w:val="18"/>
                <w:szCs w:val="18"/>
              </w:rPr>
            </w:pPr>
          </w:p>
        </w:tc>
        <w:tc>
          <w:tcPr>
            <w:tcW w:w="503" w:type="pct"/>
            <w:vAlign w:val="center"/>
          </w:tcPr>
          <w:p w14:paraId="2A5F39A8">
            <w:pPr>
              <w:jc w:val="right"/>
              <w:rPr>
                <w:sz w:val="18"/>
                <w:szCs w:val="18"/>
              </w:rPr>
            </w:pPr>
          </w:p>
        </w:tc>
        <w:tc>
          <w:tcPr>
            <w:tcW w:w="426" w:type="pct"/>
            <w:vAlign w:val="center"/>
          </w:tcPr>
          <w:p w14:paraId="2233B91A">
            <w:pPr>
              <w:jc w:val="right"/>
              <w:rPr>
                <w:sz w:val="18"/>
                <w:szCs w:val="18"/>
              </w:rPr>
            </w:pPr>
          </w:p>
        </w:tc>
        <w:tc>
          <w:tcPr>
            <w:tcW w:w="486" w:type="pct"/>
            <w:vAlign w:val="center"/>
          </w:tcPr>
          <w:p w14:paraId="3550D078">
            <w:pPr>
              <w:jc w:val="right"/>
              <w:rPr>
                <w:sz w:val="18"/>
                <w:szCs w:val="18"/>
              </w:rPr>
            </w:pPr>
          </w:p>
        </w:tc>
      </w:tr>
      <w:tr w14:paraId="3075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a7e75a2d1ed049d9bbdb0ef093ac9478"/>
            <w:id w:val="522603230"/>
          </w:sdtPr>
          <w:sdtContent>
            <w:tc>
              <w:tcPr>
                <w:tcW w:w="576" w:type="pct"/>
                <w:vAlign w:val="center"/>
              </w:tcPr>
              <w:p w14:paraId="3EBB8774">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三</w:t>
                </w:r>
                <w:r>
                  <w:rPr>
                    <w:color w:val="000000" w:themeColor="text1"/>
                    <w:sz w:val="18"/>
                    <w:szCs w:val="18"/>
                    <w14:textFill>
                      <w14:solidFill>
                        <w14:schemeClr w14:val="tx1"/>
                      </w14:solidFill>
                    </w14:textFill>
                  </w:rPr>
                  <w:t>）利润分配</w:t>
                </w:r>
              </w:p>
            </w:tc>
          </w:sdtContent>
        </w:sdt>
        <w:tc>
          <w:tcPr>
            <w:tcW w:w="486" w:type="pct"/>
            <w:vAlign w:val="center"/>
          </w:tcPr>
          <w:p w14:paraId="3B48482E">
            <w:pPr>
              <w:jc w:val="right"/>
              <w:rPr>
                <w:sz w:val="18"/>
                <w:szCs w:val="18"/>
              </w:rPr>
            </w:pPr>
          </w:p>
        </w:tc>
        <w:tc>
          <w:tcPr>
            <w:tcW w:w="89" w:type="pct"/>
            <w:vAlign w:val="center"/>
          </w:tcPr>
          <w:p w14:paraId="5F05DAC9">
            <w:pPr>
              <w:jc w:val="right"/>
              <w:rPr>
                <w:sz w:val="18"/>
                <w:szCs w:val="18"/>
              </w:rPr>
            </w:pPr>
          </w:p>
        </w:tc>
        <w:tc>
          <w:tcPr>
            <w:tcW w:w="88" w:type="pct"/>
            <w:vAlign w:val="center"/>
          </w:tcPr>
          <w:p w14:paraId="7EA73532">
            <w:pPr>
              <w:jc w:val="right"/>
              <w:rPr>
                <w:sz w:val="18"/>
                <w:szCs w:val="18"/>
              </w:rPr>
            </w:pPr>
          </w:p>
        </w:tc>
        <w:tc>
          <w:tcPr>
            <w:tcW w:w="89" w:type="pct"/>
            <w:vAlign w:val="center"/>
          </w:tcPr>
          <w:p w14:paraId="6FB0B9BF">
            <w:pPr>
              <w:jc w:val="right"/>
              <w:rPr>
                <w:sz w:val="18"/>
                <w:szCs w:val="18"/>
              </w:rPr>
            </w:pPr>
          </w:p>
        </w:tc>
        <w:tc>
          <w:tcPr>
            <w:tcW w:w="442" w:type="pct"/>
            <w:vAlign w:val="center"/>
          </w:tcPr>
          <w:p w14:paraId="69D2B484">
            <w:pPr>
              <w:jc w:val="right"/>
              <w:rPr>
                <w:sz w:val="18"/>
                <w:szCs w:val="18"/>
              </w:rPr>
            </w:pPr>
          </w:p>
        </w:tc>
        <w:tc>
          <w:tcPr>
            <w:tcW w:w="133" w:type="pct"/>
            <w:vAlign w:val="center"/>
          </w:tcPr>
          <w:p w14:paraId="53642DF4">
            <w:pPr>
              <w:jc w:val="right"/>
              <w:rPr>
                <w:sz w:val="18"/>
                <w:szCs w:val="18"/>
              </w:rPr>
            </w:pPr>
          </w:p>
        </w:tc>
        <w:tc>
          <w:tcPr>
            <w:tcW w:w="398" w:type="pct"/>
            <w:vAlign w:val="center"/>
          </w:tcPr>
          <w:p w14:paraId="4543C919">
            <w:pPr>
              <w:jc w:val="right"/>
              <w:rPr>
                <w:sz w:val="18"/>
                <w:szCs w:val="18"/>
              </w:rPr>
            </w:pPr>
          </w:p>
        </w:tc>
        <w:tc>
          <w:tcPr>
            <w:tcW w:w="89" w:type="pct"/>
            <w:vAlign w:val="center"/>
          </w:tcPr>
          <w:p w14:paraId="5486ADA8">
            <w:pPr>
              <w:jc w:val="right"/>
              <w:rPr>
                <w:sz w:val="18"/>
                <w:szCs w:val="18"/>
              </w:rPr>
            </w:pPr>
          </w:p>
        </w:tc>
        <w:tc>
          <w:tcPr>
            <w:tcW w:w="442" w:type="pct"/>
            <w:vAlign w:val="center"/>
          </w:tcPr>
          <w:p w14:paraId="4DC0DD3F">
            <w:pPr>
              <w:jc w:val="right"/>
              <w:rPr>
                <w:sz w:val="18"/>
                <w:szCs w:val="18"/>
              </w:rPr>
            </w:pPr>
          </w:p>
        </w:tc>
        <w:tc>
          <w:tcPr>
            <w:tcW w:w="133" w:type="pct"/>
            <w:vAlign w:val="center"/>
          </w:tcPr>
          <w:p w14:paraId="7AF4A435">
            <w:pPr>
              <w:jc w:val="right"/>
              <w:rPr>
                <w:sz w:val="18"/>
                <w:szCs w:val="18"/>
              </w:rPr>
            </w:pPr>
          </w:p>
        </w:tc>
        <w:tc>
          <w:tcPr>
            <w:tcW w:w="487" w:type="pct"/>
            <w:vAlign w:val="center"/>
          </w:tcPr>
          <w:p w14:paraId="164C7BCB">
            <w:pPr>
              <w:jc w:val="right"/>
              <w:rPr>
                <w:sz w:val="18"/>
                <w:szCs w:val="18"/>
              </w:rPr>
            </w:pPr>
            <w:r>
              <w:rPr>
                <w:sz w:val="18"/>
                <w:szCs w:val="18"/>
              </w:rPr>
              <w:t>-13,532,069.20</w:t>
            </w:r>
          </w:p>
        </w:tc>
        <w:tc>
          <w:tcPr>
            <w:tcW w:w="133" w:type="pct"/>
            <w:vAlign w:val="center"/>
          </w:tcPr>
          <w:p w14:paraId="0F35DC03">
            <w:pPr>
              <w:jc w:val="right"/>
              <w:rPr>
                <w:sz w:val="18"/>
                <w:szCs w:val="18"/>
              </w:rPr>
            </w:pPr>
          </w:p>
        </w:tc>
        <w:tc>
          <w:tcPr>
            <w:tcW w:w="503" w:type="pct"/>
            <w:vAlign w:val="center"/>
          </w:tcPr>
          <w:p w14:paraId="20461A96">
            <w:pPr>
              <w:jc w:val="right"/>
              <w:rPr>
                <w:sz w:val="18"/>
                <w:szCs w:val="18"/>
              </w:rPr>
            </w:pPr>
            <w:r>
              <w:rPr>
                <w:sz w:val="18"/>
                <w:szCs w:val="18"/>
              </w:rPr>
              <w:t>-13,532,069.20</w:t>
            </w:r>
          </w:p>
        </w:tc>
        <w:tc>
          <w:tcPr>
            <w:tcW w:w="426" w:type="pct"/>
            <w:vAlign w:val="center"/>
          </w:tcPr>
          <w:p w14:paraId="3C76A883">
            <w:pPr>
              <w:jc w:val="right"/>
              <w:rPr>
                <w:sz w:val="18"/>
                <w:szCs w:val="18"/>
              </w:rPr>
            </w:pPr>
          </w:p>
        </w:tc>
        <w:tc>
          <w:tcPr>
            <w:tcW w:w="486" w:type="pct"/>
            <w:vAlign w:val="center"/>
          </w:tcPr>
          <w:p w14:paraId="2F2B7006">
            <w:pPr>
              <w:jc w:val="right"/>
              <w:rPr>
                <w:sz w:val="18"/>
                <w:szCs w:val="18"/>
              </w:rPr>
            </w:pPr>
            <w:r>
              <w:rPr>
                <w:sz w:val="18"/>
                <w:szCs w:val="18"/>
              </w:rPr>
              <w:t>-13,532,069.20</w:t>
            </w:r>
          </w:p>
        </w:tc>
      </w:tr>
      <w:tr w14:paraId="3C65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728c39864cdd4a7c93d6a2bae73ac47f"/>
            <w:id w:val="1939864363"/>
          </w:sdtPr>
          <w:sdtContent>
            <w:tc>
              <w:tcPr>
                <w:tcW w:w="576" w:type="pct"/>
                <w:vAlign w:val="center"/>
              </w:tcPr>
              <w:p w14:paraId="22DBD290">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1．提取盈余公积</w:t>
                </w:r>
              </w:p>
            </w:tc>
          </w:sdtContent>
        </w:sdt>
        <w:tc>
          <w:tcPr>
            <w:tcW w:w="486" w:type="pct"/>
            <w:vAlign w:val="center"/>
          </w:tcPr>
          <w:p w14:paraId="6629983B">
            <w:pPr>
              <w:jc w:val="right"/>
              <w:rPr>
                <w:sz w:val="18"/>
                <w:szCs w:val="18"/>
              </w:rPr>
            </w:pPr>
          </w:p>
        </w:tc>
        <w:tc>
          <w:tcPr>
            <w:tcW w:w="89" w:type="pct"/>
            <w:vAlign w:val="center"/>
          </w:tcPr>
          <w:p w14:paraId="64C1F8EE">
            <w:pPr>
              <w:jc w:val="right"/>
              <w:rPr>
                <w:sz w:val="18"/>
                <w:szCs w:val="18"/>
              </w:rPr>
            </w:pPr>
          </w:p>
        </w:tc>
        <w:tc>
          <w:tcPr>
            <w:tcW w:w="88" w:type="pct"/>
            <w:vAlign w:val="center"/>
          </w:tcPr>
          <w:p w14:paraId="0077B914">
            <w:pPr>
              <w:jc w:val="right"/>
              <w:rPr>
                <w:sz w:val="18"/>
                <w:szCs w:val="18"/>
              </w:rPr>
            </w:pPr>
          </w:p>
        </w:tc>
        <w:tc>
          <w:tcPr>
            <w:tcW w:w="89" w:type="pct"/>
            <w:vAlign w:val="center"/>
          </w:tcPr>
          <w:p w14:paraId="0C03D5FD">
            <w:pPr>
              <w:jc w:val="right"/>
              <w:rPr>
                <w:sz w:val="18"/>
                <w:szCs w:val="18"/>
              </w:rPr>
            </w:pPr>
          </w:p>
        </w:tc>
        <w:tc>
          <w:tcPr>
            <w:tcW w:w="442" w:type="pct"/>
            <w:vAlign w:val="center"/>
          </w:tcPr>
          <w:p w14:paraId="0A34F45A">
            <w:pPr>
              <w:jc w:val="right"/>
              <w:rPr>
                <w:sz w:val="18"/>
                <w:szCs w:val="18"/>
              </w:rPr>
            </w:pPr>
          </w:p>
        </w:tc>
        <w:tc>
          <w:tcPr>
            <w:tcW w:w="133" w:type="pct"/>
            <w:vAlign w:val="center"/>
          </w:tcPr>
          <w:p w14:paraId="2C8ECA78">
            <w:pPr>
              <w:jc w:val="right"/>
              <w:rPr>
                <w:sz w:val="18"/>
                <w:szCs w:val="18"/>
              </w:rPr>
            </w:pPr>
          </w:p>
        </w:tc>
        <w:tc>
          <w:tcPr>
            <w:tcW w:w="398" w:type="pct"/>
            <w:vAlign w:val="center"/>
          </w:tcPr>
          <w:p w14:paraId="7CFA2E67">
            <w:pPr>
              <w:jc w:val="right"/>
              <w:rPr>
                <w:sz w:val="18"/>
                <w:szCs w:val="18"/>
              </w:rPr>
            </w:pPr>
          </w:p>
        </w:tc>
        <w:tc>
          <w:tcPr>
            <w:tcW w:w="89" w:type="pct"/>
            <w:vAlign w:val="center"/>
          </w:tcPr>
          <w:p w14:paraId="24D30E95">
            <w:pPr>
              <w:jc w:val="right"/>
              <w:rPr>
                <w:sz w:val="18"/>
                <w:szCs w:val="18"/>
              </w:rPr>
            </w:pPr>
          </w:p>
        </w:tc>
        <w:tc>
          <w:tcPr>
            <w:tcW w:w="442" w:type="pct"/>
            <w:vAlign w:val="center"/>
          </w:tcPr>
          <w:p w14:paraId="4FE32E3D">
            <w:pPr>
              <w:jc w:val="right"/>
              <w:rPr>
                <w:sz w:val="18"/>
                <w:szCs w:val="18"/>
              </w:rPr>
            </w:pPr>
          </w:p>
        </w:tc>
        <w:tc>
          <w:tcPr>
            <w:tcW w:w="133" w:type="pct"/>
            <w:vAlign w:val="center"/>
          </w:tcPr>
          <w:p w14:paraId="5971B845">
            <w:pPr>
              <w:jc w:val="right"/>
              <w:rPr>
                <w:sz w:val="18"/>
                <w:szCs w:val="18"/>
              </w:rPr>
            </w:pPr>
          </w:p>
        </w:tc>
        <w:tc>
          <w:tcPr>
            <w:tcW w:w="487" w:type="pct"/>
            <w:vAlign w:val="center"/>
          </w:tcPr>
          <w:p w14:paraId="7AB70E4C">
            <w:pPr>
              <w:jc w:val="right"/>
              <w:rPr>
                <w:sz w:val="18"/>
                <w:szCs w:val="18"/>
              </w:rPr>
            </w:pPr>
          </w:p>
        </w:tc>
        <w:tc>
          <w:tcPr>
            <w:tcW w:w="133" w:type="pct"/>
            <w:vAlign w:val="center"/>
          </w:tcPr>
          <w:p w14:paraId="5BAC74A4">
            <w:pPr>
              <w:jc w:val="right"/>
              <w:rPr>
                <w:sz w:val="18"/>
                <w:szCs w:val="18"/>
              </w:rPr>
            </w:pPr>
          </w:p>
        </w:tc>
        <w:tc>
          <w:tcPr>
            <w:tcW w:w="503" w:type="pct"/>
            <w:vAlign w:val="center"/>
          </w:tcPr>
          <w:p w14:paraId="02039B50">
            <w:pPr>
              <w:jc w:val="right"/>
              <w:rPr>
                <w:sz w:val="18"/>
                <w:szCs w:val="18"/>
              </w:rPr>
            </w:pPr>
          </w:p>
        </w:tc>
        <w:tc>
          <w:tcPr>
            <w:tcW w:w="426" w:type="pct"/>
            <w:vAlign w:val="center"/>
          </w:tcPr>
          <w:p w14:paraId="5F69F678">
            <w:pPr>
              <w:jc w:val="right"/>
              <w:rPr>
                <w:sz w:val="18"/>
                <w:szCs w:val="18"/>
              </w:rPr>
            </w:pPr>
          </w:p>
        </w:tc>
        <w:tc>
          <w:tcPr>
            <w:tcW w:w="486" w:type="pct"/>
            <w:vAlign w:val="center"/>
          </w:tcPr>
          <w:p w14:paraId="7F215274">
            <w:pPr>
              <w:jc w:val="right"/>
              <w:rPr>
                <w:sz w:val="18"/>
                <w:szCs w:val="18"/>
              </w:rPr>
            </w:pPr>
          </w:p>
        </w:tc>
      </w:tr>
      <w:tr w14:paraId="5C01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6d8c8a0de80b4f6a97fdb16b82b3a6ac"/>
            <w:id w:val="510734425"/>
          </w:sdtPr>
          <w:sdtContent>
            <w:tc>
              <w:tcPr>
                <w:tcW w:w="576" w:type="pct"/>
                <w:vAlign w:val="center"/>
              </w:tcPr>
              <w:p w14:paraId="0E019923">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2．提取一般风险准备</w:t>
                </w:r>
              </w:p>
            </w:tc>
          </w:sdtContent>
        </w:sdt>
        <w:tc>
          <w:tcPr>
            <w:tcW w:w="486" w:type="pct"/>
            <w:vAlign w:val="center"/>
          </w:tcPr>
          <w:p w14:paraId="6E5C8504">
            <w:pPr>
              <w:jc w:val="right"/>
              <w:rPr>
                <w:sz w:val="18"/>
                <w:szCs w:val="18"/>
              </w:rPr>
            </w:pPr>
          </w:p>
        </w:tc>
        <w:tc>
          <w:tcPr>
            <w:tcW w:w="89" w:type="pct"/>
            <w:vAlign w:val="center"/>
          </w:tcPr>
          <w:p w14:paraId="6E67D838">
            <w:pPr>
              <w:jc w:val="right"/>
              <w:rPr>
                <w:sz w:val="18"/>
                <w:szCs w:val="18"/>
              </w:rPr>
            </w:pPr>
          </w:p>
        </w:tc>
        <w:tc>
          <w:tcPr>
            <w:tcW w:w="88" w:type="pct"/>
            <w:vAlign w:val="center"/>
          </w:tcPr>
          <w:p w14:paraId="20DEE098">
            <w:pPr>
              <w:jc w:val="right"/>
              <w:rPr>
                <w:sz w:val="18"/>
                <w:szCs w:val="18"/>
              </w:rPr>
            </w:pPr>
          </w:p>
        </w:tc>
        <w:tc>
          <w:tcPr>
            <w:tcW w:w="89" w:type="pct"/>
            <w:vAlign w:val="center"/>
          </w:tcPr>
          <w:p w14:paraId="215AF1A0">
            <w:pPr>
              <w:jc w:val="right"/>
              <w:rPr>
                <w:sz w:val="18"/>
                <w:szCs w:val="18"/>
              </w:rPr>
            </w:pPr>
          </w:p>
        </w:tc>
        <w:tc>
          <w:tcPr>
            <w:tcW w:w="442" w:type="pct"/>
            <w:vAlign w:val="center"/>
          </w:tcPr>
          <w:p w14:paraId="38F448C3">
            <w:pPr>
              <w:jc w:val="right"/>
              <w:rPr>
                <w:sz w:val="18"/>
                <w:szCs w:val="18"/>
              </w:rPr>
            </w:pPr>
          </w:p>
        </w:tc>
        <w:tc>
          <w:tcPr>
            <w:tcW w:w="133" w:type="pct"/>
            <w:vAlign w:val="center"/>
          </w:tcPr>
          <w:p w14:paraId="0E983F2E">
            <w:pPr>
              <w:jc w:val="right"/>
              <w:rPr>
                <w:sz w:val="18"/>
                <w:szCs w:val="18"/>
              </w:rPr>
            </w:pPr>
          </w:p>
        </w:tc>
        <w:tc>
          <w:tcPr>
            <w:tcW w:w="398" w:type="pct"/>
            <w:vAlign w:val="center"/>
          </w:tcPr>
          <w:p w14:paraId="01BC6F21">
            <w:pPr>
              <w:jc w:val="right"/>
              <w:rPr>
                <w:sz w:val="18"/>
                <w:szCs w:val="18"/>
              </w:rPr>
            </w:pPr>
          </w:p>
        </w:tc>
        <w:tc>
          <w:tcPr>
            <w:tcW w:w="89" w:type="pct"/>
            <w:vAlign w:val="center"/>
          </w:tcPr>
          <w:p w14:paraId="34FFE6EF">
            <w:pPr>
              <w:jc w:val="right"/>
              <w:rPr>
                <w:sz w:val="18"/>
                <w:szCs w:val="18"/>
              </w:rPr>
            </w:pPr>
          </w:p>
        </w:tc>
        <w:tc>
          <w:tcPr>
            <w:tcW w:w="442" w:type="pct"/>
            <w:vAlign w:val="center"/>
          </w:tcPr>
          <w:p w14:paraId="584B1D2A">
            <w:pPr>
              <w:jc w:val="right"/>
              <w:rPr>
                <w:sz w:val="18"/>
                <w:szCs w:val="18"/>
              </w:rPr>
            </w:pPr>
          </w:p>
        </w:tc>
        <w:tc>
          <w:tcPr>
            <w:tcW w:w="133" w:type="pct"/>
            <w:vAlign w:val="center"/>
          </w:tcPr>
          <w:p w14:paraId="54AAC9E5">
            <w:pPr>
              <w:jc w:val="right"/>
              <w:rPr>
                <w:sz w:val="18"/>
                <w:szCs w:val="18"/>
              </w:rPr>
            </w:pPr>
          </w:p>
        </w:tc>
        <w:tc>
          <w:tcPr>
            <w:tcW w:w="487" w:type="pct"/>
            <w:vAlign w:val="center"/>
          </w:tcPr>
          <w:p w14:paraId="371036C6">
            <w:pPr>
              <w:jc w:val="right"/>
              <w:rPr>
                <w:sz w:val="18"/>
                <w:szCs w:val="18"/>
              </w:rPr>
            </w:pPr>
          </w:p>
        </w:tc>
        <w:tc>
          <w:tcPr>
            <w:tcW w:w="133" w:type="pct"/>
            <w:vAlign w:val="center"/>
          </w:tcPr>
          <w:p w14:paraId="041228F1">
            <w:pPr>
              <w:jc w:val="right"/>
              <w:rPr>
                <w:sz w:val="18"/>
                <w:szCs w:val="18"/>
              </w:rPr>
            </w:pPr>
          </w:p>
        </w:tc>
        <w:tc>
          <w:tcPr>
            <w:tcW w:w="503" w:type="pct"/>
            <w:vAlign w:val="center"/>
          </w:tcPr>
          <w:p w14:paraId="47B96551">
            <w:pPr>
              <w:jc w:val="right"/>
              <w:rPr>
                <w:sz w:val="18"/>
                <w:szCs w:val="18"/>
              </w:rPr>
            </w:pPr>
          </w:p>
        </w:tc>
        <w:tc>
          <w:tcPr>
            <w:tcW w:w="426" w:type="pct"/>
            <w:vAlign w:val="center"/>
          </w:tcPr>
          <w:p w14:paraId="2E709E02">
            <w:pPr>
              <w:jc w:val="right"/>
              <w:rPr>
                <w:sz w:val="18"/>
                <w:szCs w:val="18"/>
              </w:rPr>
            </w:pPr>
          </w:p>
        </w:tc>
        <w:tc>
          <w:tcPr>
            <w:tcW w:w="486" w:type="pct"/>
            <w:vAlign w:val="center"/>
          </w:tcPr>
          <w:p w14:paraId="316A7471">
            <w:pPr>
              <w:jc w:val="right"/>
              <w:rPr>
                <w:sz w:val="18"/>
                <w:szCs w:val="18"/>
              </w:rPr>
            </w:pPr>
          </w:p>
        </w:tc>
      </w:tr>
      <w:tr w14:paraId="1A13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a5531db3e1d84f3897cb962fdc73ab3d"/>
            <w:id w:val="601920145"/>
          </w:sdtPr>
          <w:sdtContent>
            <w:tc>
              <w:tcPr>
                <w:tcW w:w="576" w:type="pct"/>
                <w:vAlign w:val="center"/>
              </w:tcPr>
              <w:p w14:paraId="4CE1C6ED">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3．对所有者（或股东）的分配</w:t>
                </w:r>
              </w:p>
            </w:tc>
          </w:sdtContent>
        </w:sdt>
        <w:tc>
          <w:tcPr>
            <w:tcW w:w="486" w:type="pct"/>
            <w:vAlign w:val="center"/>
          </w:tcPr>
          <w:p w14:paraId="0C996125">
            <w:pPr>
              <w:jc w:val="right"/>
              <w:rPr>
                <w:sz w:val="18"/>
                <w:szCs w:val="18"/>
              </w:rPr>
            </w:pPr>
          </w:p>
        </w:tc>
        <w:tc>
          <w:tcPr>
            <w:tcW w:w="89" w:type="pct"/>
            <w:vAlign w:val="center"/>
          </w:tcPr>
          <w:p w14:paraId="73308342">
            <w:pPr>
              <w:jc w:val="right"/>
              <w:rPr>
                <w:sz w:val="18"/>
                <w:szCs w:val="18"/>
              </w:rPr>
            </w:pPr>
          </w:p>
        </w:tc>
        <w:tc>
          <w:tcPr>
            <w:tcW w:w="88" w:type="pct"/>
            <w:vAlign w:val="center"/>
          </w:tcPr>
          <w:p w14:paraId="27286B5F">
            <w:pPr>
              <w:jc w:val="right"/>
              <w:rPr>
                <w:sz w:val="18"/>
                <w:szCs w:val="18"/>
              </w:rPr>
            </w:pPr>
          </w:p>
        </w:tc>
        <w:tc>
          <w:tcPr>
            <w:tcW w:w="89" w:type="pct"/>
            <w:vAlign w:val="center"/>
          </w:tcPr>
          <w:p w14:paraId="54ABE0AB">
            <w:pPr>
              <w:jc w:val="right"/>
              <w:rPr>
                <w:sz w:val="18"/>
                <w:szCs w:val="18"/>
              </w:rPr>
            </w:pPr>
          </w:p>
        </w:tc>
        <w:tc>
          <w:tcPr>
            <w:tcW w:w="442" w:type="pct"/>
            <w:vAlign w:val="center"/>
          </w:tcPr>
          <w:p w14:paraId="60D6F30F">
            <w:pPr>
              <w:jc w:val="right"/>
              <w:rPr>
                <w:sz w:val="18"/>
                <w:szCs w:val="18"/>
              </w:rPr>
            </w:pPr>
          </w:p>
        </w:tc>
        <w:tc>
          <w:tcPr>
            <w:tcW w:w="133" w:type="pct"/>
            <w:vAlign w:val="center"/>
          </w:tcPr>
          <w:p w14:paraId="313778B7">
            <w:pPr>
              <w:jc w:val="right"/>
              <w:rPr>
                <w:sz w:val="18"/>
                <w:szCs w:val="18"/>
              </w:rPr>
            </w:pPr>
          </w:p>
        </w:tc>
        <w:tc>
          <w:tcPr>
            <w:tcW w:w="398" w:type="pct"/>
            <w:vAlign w:val="center"/>
          </w:tcPr>
          <w:p w14:paraId="381EDE65">
            <w:pPr>
              <w:jc w:val="right"/>
              <w:rPr>
                <w:sz w:val="18"/>
                <w:szCs w:val="18"/>
              </w:rPr>
            </w:pPr>
          </w:p>
        </w:tc>
        <w:tc>
          <w:tcPr>
            <w:tcW w:w="89" w:type="pct"/>
            <w:vAlign w:val="center"/>
          </w:tcPr>
          <w:p w14:paraId="1346A156">
            <w:pPr>
              <w:jc w:val="right"/>
              <w:rPr>
                <w:sz w:val="18"/>
                <w:szCs w:val="18"/>
              </w:rPr>
            </w:pPr>
          </w:p>
        </w:tc>
        <w:tc>
          <w:tcPr>
            <w:tcW w:w="442" w:type="pct"/>
            <w:vAlign w:val="center"/>
          </w:tcPr>
          <w:p w14:paraId="17A80F26">
            <w:pPr>
              <w:jc w:val="right"/>
              <w:rPr>
                <w:sz w:val="18"/>
                <w:szCs w:val="18"/>
              </w:rPr>
            </w:pPr>
          </w:p>
        </w:tc>
        <w:tc>
          <w:tcPr>
            <w:tcW w:w="133" w:type="pct"/>
            <w:vAlign w:val="center"/>
          </w:tcPr>
          <w:p w14:paraId="2559F368">
            <w:pPr>
              <w:jc w:val="right"/>
              <w:rPr>
                <w:sz w:val="18"/>
                <w:szCs w:val="18"/>
              </w:rPr>
            </w:pPr>
          </w:p>
        </w:tc>
        <w:tc>
          <w:tcPr>
            <w:tcW w:w="487" w:type="pct"/>
            <w:vAlign w:val="center"/>
          </w:tcPr>
          <w:p w14:paraId="06DBA504">
            <w:pPr>
              <w:jc w:val="right"/>
              <w:rPr>
                <w:sz w:val="18"/>
                <w:szCs w:val="18"/>
              </w:rPr>
            </w:pPr>
          </w:p>
        </w:tc>
        <w:tc>
          <w:tcPr>
            <w:tcW w:w="133" w:type="pct"/>
            <w:vAlign w:val="center"/>
          </w:tcPr>
          <w:p w14:paraId="335641D4">
            <w:pPr>
              <w:jc w:val="right"/>
              <w:rPr>
                <w:sz w:val="18"/>
                <w:szCs w:val="18"/>
              </w:rPr>
            </w:pPr>
          </w:p>
        </w:tc>
        <w:tc>
          <w:tcPr>
            <w:tcW w:w="503" w:type="pct"/>
            <w:vAlign w:val="center"/>
          </w:tcPr>
          <w:p w14:paraId="0F281E69">
            <w:pPr>
              <w:jc w:val="right"/>
              <w:rPr>
                <w:sz w:val="18"/>
                <w:szCs w:val="18"/>
              </w:rPr>
            </w:pPr>
          </w:p>
        </w:tc>
        <w:tc>
          <w:tcPr>
            <w:tcW w:w="426" w:type="pct"/>
            <w:vAlign w:val="center"/>
          </w:tcPr>
          <w:p w14:paraId="1123650F">
            <w:pPr>
              <w:jc w:val="right"/>
              <w:rPr>
                <w:sz w:val="18"/>
                <w:szCs w:val="18"/>
              </w:rPr>
            </w:pPr>
          </w:p>
        </w:tc>
        <w:tc>
          <w:tcPr>
            <w:tcW w:w="486" w:type="pct"/>
            <w:vAlign w:val="center"/>
          </w:tcPr>
          <w:p w14:paraId="15E8ABCC">
            <w:pPr>
              <w:jc w:val="right"/>
              <w:rPr>
                <w:sz w:val="18"/>
                <w:szCs w:val="18"/>
              </w:rPr>
            </w:pPr>
          </w:p>
        </w:tc>
      </w:tr>
      <w:tr w14:paraId="5501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f3206f8cddd54371b8a1b220dc836af8"/>
            <w:id w:val="682789882"/>
          </w:sdtPr>
          <w:sdtContent>
            <w:tc>
              <w:tcPr>
                <w:tcW w:w="576" w:type="pct"/>
                <w:vAlign w:val="center"/>
              </w:tcPr>
              <w:p w14:paraId="7437A979">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4．其他</w:t>
                </w:r>
              </w:p>
            </w:tc>
          </w:sdtContent>
        </w:sdt>
        <w:tc>
          <w:tcPr>
            <w:tcW w:w="486" w:type="pct"/>
            <w:vAlign w:val="center"/>
          </w:tcPr>
          <w:p w14:paraId="166D7C86">
            <w:pPr>
              <w:jc w:val="right"/>
              <w:rPr>
                <w:sz w:val="18"/>
                <w:szCs w:val="18"/>
              </w:rPr>
            </w:pPr>
          </w:p>
        </w:tc>
        <w:tc>
          <w:tcPr>
            <w:tcW w:w="89" w:type="pct"/>
            <w:vAlign w:val="center"/>
          </w:tcPr>
          <w:p w14:paraId="014ED402">
            <w:pPr>
              <w:jc w:val="right"/>
              <w:rPr>
                <w:sz w:val="18"/>
                <w:szCs w:val="18"/>
              </w:rPr>
            </w:pPr>
          </w:p>
        </w:tc>
        <w:tc>
          <w:tcPr>
            <w:tcW w:w="88" w:type="pct"/>
            <w:vAlign w:val="center"/>
          </w:tcPr>
          <w:p w14:paraId="48281476">
            <w:pPr>
              <w:jc w:val="right"/>
              <w:rPr>
                <w:sz w:val="18"/>
                <w:szCs w:val="18"/>
              </w:rPr>
            </w:pPr>
          </w:p>
        </w:tc>
        <w:tc>
          <w:tcPr>
            <w:tcW w:w="89" w:type="pct"/>
            <w:vAlign w:val="center"/>
          </w:tcPr>
          <w:p w14:paraId="44A5D480">
            <w:pPr>
              <w:jc w:val="right"/>
              <w:rPr>
                <w:sz w:val="18"/>
                <w:szCs w:val="18"/>
              </w:rPr>
            </w:pPr>
          </w:p>
        </w:tc>
        <w:tc>
          <w:tcPr>
            <w:tcW w:w="442" w:type="pct"/>
            <w:vAlign w:val="center"/>
          </w:tcPr>
          <w:p w14:paraId="28D60B71">
            <w:pPr>
              <w:jc w:val="right"/>
              <w:rPr>
                <w:sz w:val="18"/>
                <w:szCs w:val="18"/>
              </w:rPr>
            </w:pPr>
          </w:p>
        </w:tc>
        <w:tc>
          <w:tcPr>
            <w:tcW w:w="133" w:type="pct"/>
            <w:vAlign w:val="center"/>
          </w:tcPr>
          <w:p w14:paraId="3681B8D5">
            <w:pPr>
              <w:jc w:val="right"/>
              <w:rPr>
                <w:sz w:val="18"/>
                <w:szCs w:val="18"/>
              </w:rPr>
            </w:pPr>
          </w:p>
        </w:tc>
        <w:tc>
          <w:tcPr>
            <w:tcW w:w="398" w:type="pct"/>
            <w:vAlign w:val="center"/>
          </w:tcPr>
          <w:p w14:paraId="299C817F">
            <w:pPr>
              <w:jc w:val="right"/>
              <w:rPr>
                <w:sz w:val="18"/>
                <w:szCs w:val="18"/>
              </w:rPr>
            </w:pPr>
          </w:p>
        </w:tc>
        <w:tc>
          <w:tcPr>
            <w:tcW w:w="89" w:type="pct"/>
            <w:vAlign w:val="center"/>
          </w:tcPr>
          <w:p w14:paraId="7420AEDD">
            <w:pPr>
              <w:jc w:val="right"/>
              <w:rPr>
                <w:sz w:val="18"/>
                <w:szCs w:val="18"/>
              </w:rPr>
            </w:pPr>
          </w:p>
        </w:tc>
        <w:tc>
          <w:tcPr>
            <w:tcW w:w="442" w:type="pct"/>
            <w:vAlign w:val="center"/>
          </w:tcPr>
          <w:p w14:paraId="24E14A4D">
            <w:pPr>
              <w:jc w:val="right"/>
              <w:rPr>
                <w:sz w:val="18"/>
                <w:szCs w:val="18"/>
              </w:rPr>
            </w:pPr>
          </w:p>
        </w:tc>
        <w:tc>
          <w:tcPr>
            <w:tcW w:w="133" w:type="pct"/>
            <w:vAlign w:val="center"/>
          </w:tcPr>
          <w:p w14:paraId="71EC22BE">
            <w:pPr>
              <w:jc w:val="right"/>
              <w:rPr>
                <w:sz w:val="18"/>
                <w:szCs w:val="18"/>
              </w:rPr>
            </w:pPr>
          </w:p>
        </w:tc>
        <w:tc>
          <w:tcPr>
            <w:tcW w:w="487" w:type="pct"/>
            <w:vAlign w:val="center"/>
          </w:tcPr>
          <w:p w14:paraId="0AFDCAC3">
            <w:pPr>
              <w:jc w:val="right"/>
              <w:rPr>
                <w:sz w:val="18"/>
                <w:szCs w:val="18"/>
              </w:rPr>
            </w:pPr>
          </w:p>
        </w:tc>
        <w:tc>
          <w:tcPr>
            <w:tcW w:w="133" w:type="pct"/>
            <w:vAlign w:val="center"/>
          </w:tcPr>
          <w:p w14:paraId="45585881">
            <w:pPr>
              <w:jc w:val="right"/>
              <w:rPr>
                <w:sz w:val="18"/>
                <w:szCs w:val="18"/>
              </w:rPr>
            </w:pPr>
          </w:p>
        </w:tc>
        <w:tc>
          <w:tcPr>
            <w:tcW w:w="503" w:type="pct"/>
            <w:vAlign w:val="center"/>
          </w:tcPr>
          <w:p w14:paraId="69483982">
            <w:pPr>
              <w:jc w:val="right"/>
              <w:rPr>
                <w:sz w:val="18"/>
                <w:szCs w:val="18"/>
              </w:rPr>
            </w:pPr>
          </w:p>
        </w:tc>
        <w:tc>
          <w:tcPr>
            <w:tcW w:w="426" w:type="pct"/>
            <w:vAlign w:val="center"/>
          </w:tcPr>
          <w:p w14:paraId="12D3189B">
            <w:pPr>
              <w:jc w:val="right"/>
              <w:rPr>
                <w:sz w:val="18"/>
                <w:szCs w:val="18"/>
              </w:rPr>
            </w:pPr>
          </w:p>
        </w:tc>
        <w:tc>
          <w:tcPr>
            <w:tcW w:w="486" w:type="pct"/>
            <w:vAlign w:val="center"/>
          </w:tcPr>
          <w:p w14:paraId="4763A6C2">
            <w:pPr>
              <w:jc w:val="right"/>
              <w:rPr>
                <w:sz w:val="18"/>
                <w:szCs w:val="18"/>
              </w:rPr>
            </w:pPr>
          </w:p>
        </w:tc>
      </w:tr>
      <w:tr w14:paraId="326F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c0c9652bd3724ad8b729d3650a0840d4"/>
            <w:id w:val="1642074954"/>
          </w:sdtPr>
          <w:sdtContent>
            <w:tc>
              <w:tcPr>
                <w:tcW w:w="576" w:type="pct"/>
                <w:vAlign w:val="center"/>
              </w:tcPr>
              <w:p w14:paraId="2C017D45">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四</w:t>
                </w:r>
                <w:r>
                  <w:rPr>
                    <w:color w:val="000000" w:themeColor="text1"/>
                    <w:sz w:val="18"/>
                    <w:szCs w:val="18"/>
                    <w14:textFill>
                      <w14:solidFill>
                        <w14:schemeClr w14:val="tx1"/>
                      </w14:solidFill>
                    </w14:textFill>
                  </w:rPr>
                  <w:t>）所有者权益内部结转</w:t>
                </w:r>
              </w:p>
            </w:tc>
          </w:sdtContent>
        </w:sdt>
        <w:tc>
          <w:tcPr>
            <w:tcW w:w="486" w:type="pct"/>
            <w:vAlign w:val="center"/>
          </w:tcPr>
          <w:p w14:paraId="502F9329">
            <w:pPr>
              <w:jc w:val="right"/>
              <w:rPr>
                <w:sz w:val="18"/>
                <w:szCs w:val="18"/>
              </w:rPr>
            </w:pPr>
          </w:p>
        </w:tc>
        <w:tc>
          <w:tcPr>
            <w:tcW w:w="89" w:type="pct"/>
            <w:vAlign w:val="center"/>
          </w:tcPr>
          <w:p w14:paraId="4C2D7698">
            <w:pPr>
              <w:jc w:val="right"/>
              <w:rPr>
                <w:sz w:val="18"/>
                <w:szCs w:val="18"/>
              </w:rPr>
            </w:pPr>
          </w:p>
        </w:tc>
        <w:tc>
          <w:tcPr>
            <w:tcW w:w="88" w:type="pct"/>
            <w:vAlign w:val="center"/>
          </w:tcPr>
          <w:p w14:paraId="072B71E0">
            <w:pPr>
              <w:jc w:val="right"/>
              <w:rPr>
                <w:sz w:val="18"/>
                <w:szCs w:val="18"/>
              </w:rPr>
            </w:pPr>
          </w:p>
        </w:tc>
        <w:tc>
          <w:tcPr>
            <w:tcW w:w="89" w:type="pct"/>
            <w:vAlign w:val="center"/>
          </w:tcPr>
          <w:p w14:paraId="28BC4AE2">
            <w:pPr>
              <w:jc w:val="right"/>
              <w:rPr>
                <w:sz w:val="18"/>
                <w:szCs w:val="18"/>
              </w:rPr>
            </w:pPr>
          </w:p>
        </w:tc>
        <w:tc>
          <w:tcPr>
            <w:tcW w:w="442" w:type="pct"/>
            <w:vAlign w:val="center"/>
          </w:tcPr>
          <w:p w14:paraId="5A9195E5">
            <w:pPr>
              <w:jc w:val="right"/>
              <w:rPr>
                <w:sz w:val="18"/>
                <w:szCs w:val="18"/>
              </w:rPr>
            </w:pPr>
          </w:p>
        </w:tc>
        <w:tc>
          <w:tcPr>
            <w:tcW w:w="133" w:type="pct"/>
            <w:vAlign w:val="center"/>
          </w:tcPr>
          <w:p w14:paraId="1E304B35">
            <w:pPr>
              <w:jc w:val="right"/>
              <w:rPr>
                <w:sz w:val="18"/>
                <w:szCs w:val="18"/>
              </w:rPr>
            </w:pPr>
          </w:p>
        </w:tc>
        <w:tc>
          <w:tcPr>
            <w:tcW w:w="398" w:type="pct"/>
            <w:vAlign w:val="center"/>
          </w:tcPr>
          <w:p w14:paraId="3DC20200">
            <w:pPr>
              <w:jc w:val="right"/>
              <w:rPr>
                <w:sz w:val="18"/>
                <w:szCs w:val="18"/>
              </w:rPr>
            </w:pPr>
          </w:p>
        </w:tc>
        <w:tc>
          <w:tcPr>
            <w:tcW w:w="89" w:type="pct"/>
            <w:vAlign w:val="center"/>
          </w:tcPr>
          <w:p w14:paraId="56D39A5B">
            <w:pPr>
              <w:jc w:val="right"/>
              <w:rPr>
                <w:sz w:val="18"/>
                <w:szCs w:val="18"/>
              </w:rPr>
            </w:pPr>
          </w:p>
        </w:tc>
        <w:tc>
          <w:tcPr>
            <w:tcW w:w="442" w:type="pct"/>
            <w:vAlign w:val="center"/>
          </w:tcPr>
          <w:p w14:paraId="0ED58587">
            <w:pPr>
              <w:jc w:val="right"/>
              <w:rPr>
                <w:sz w:val="18"/>
                <w:szCs w:val="18"/>
              </w:rPr>
            </w:pPr>
          </w:p>
        </w:tc>
        <w:tc>
          <w:tcPr>
            <w:tcW w:w="133" w:type="pct"/>
            <w:vAlign w:val="center"/>
          </w:tcPr>
          <w:p w14:paraId="3070582C">
            <w:pPr>
              <w:jc w:val="right"/>
              <w:rPr>
                <w:sz w:val="18"/>
                <w:szCs w:val="18"/>
              </w:rPr>
            </w:pPr>
          </w:p>
        </w:tc>
        <w:tc>
          <w:tcPr>
            <w:tcW w:w="487" w:type="pct"/>
            <w:vAlign w:val="center"/>
          </w:tcPr>
          <w:p w14:paraId="60F35870">
            <w:pPr>
              <w:jc w:val="right"/>
              <w:rPr>
                <w:sz w:val="18"/>
                <w:szCs w:val="18"/>
              </w:rPr>
            </w:pPr>
          </w:p>
        </w:tc>
        <w:tc>
          <w:tcPr>
            <w:tcW w:w="133" w:type="pct"/>
            <w:vAlign w:val="center"/>
          </w:tcPr>
          <w:p w14:paraId="7294B353">
            <w:pPr>
              <w:jc w:val="right"/>
              <w:rPr>
                <w:sz w:val="18"/>
                <w:szCs w:val="18"/>
              </w:rPr>
            </w:pPr>
          </w:p>
        </w:tc>
        <w:tc>
          <w:tcPr>
            <w:tcW w:w="503" w:type="pct"/>
            <w:vAlign w:val="center"/>
          </w:tcPr>
          <w:p w14:paraId="4DB073E8">
            <w:pPr>
              <w:jc w:val="right"/>
              <w:rPr>
                <w:sz w:val="18"/>
                <w:szCs w:val="18"/>
              </w:rPr>
            </w:pPr>
          </w:p>
        </w:tc>
        <w:tc>
          <w:tcPr>
            <w:tcW w:w="426" w:type="pct"/>
            <w:vAlign w:val="center"/>
          </w:tcPr>
          <w:p w14:paraId="055B75C2">
            <w:pPr>
              <w:jc w:val="right"/>
              <w:rPr>
                <w:sz w:val="18"/>
                <w:szCs w:val="18"/>
              </w:rPr>
            </w:pPr>
          </w:p>
        </w:tc>
        <w:tc>
          <w:tcPr>
            <w:tcW w:w="486" w:type="pct"/>
            <w:vAlign w:val="center"/>
          </w:tcPr>
          <w:p w14:paraId="20C14B3A">
            <w:pPr>
              <w:jc w:val="right"/>
              <w:rPr>
                <w:sz w:val="18"/>
                <w:szCs w:val="18"/>
              </w:rPr>
            </w:pPr>
          </w:p>
        </w:tc>
      </w:tr>
      <w:tr w14:paraId="6BBA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469a000ac571436189f1cb682bbe4ce7"/>
            <w:id w:val="1105085177"/>
          </w:sdtPr>
          <w:sdtContent>
            <w:tc>
              <w:tcPr>
                <w:tcW w:w="576" w:type="pct"/>
                <w:vAlign w:val="center"/>
              </w:tcPr>
              <w:p w14:paraId="00B0FA39">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1．资本公积转增资本（或股本）</w:t>
                </w:r>
              </w:p>
            </w:tc>
          </w:sdtContent>
        </w:sdt>
        <w:tc>
          <w:tcPr>
            <w:tcW w:w="486" w:type="pct"/>
            <w:vAlign w:val="center"/>
          </w:tcPr>
          <w:p w14:paraId="207C19ED">
            <w:pPr>
              <w:jc w:val="right"/>
              <w:rPr>
                <w:sz w:val="18"/>
                <w:szCs w:val="18"/>
              </w:rPr>
            </w:pPr>
          </w:p>
        </w:tc>
        <w:tc>
          <w:tcPr>
            <w:tcW w:w="89" w:type="pct"/>
            <w:vAlign w:val="center"/>
          </w:tcPr>
          <w:p w14:paraId="53FB5BEF">
            <w:pPr>
              <w:jc w:val="right"/>
              <w:rPr>
                <w:sz w:val="18"/>
                <w:szCs w:val="18"/>
              </w:rPr>
            </w:pPr>
          </w:p>
        </w:tc>
        <w:tc>
          <w:tcPr>
            <w:tcW w:w="88" w:type="pct"/>
            <w:vAlign w:val="center"/>
          </w:tcPr>
          <w:p w14:paraId="6D02C610">
            <w:pPr>
              <w:jc w:val="right"/>
              <w:rPr>
                <w:sz w:val="18"/>
                <w:szCs w:val="18"/>
              </w:rPr>
            </w:pPr>
          </w:p>
        </w:tc>
        <w:tc>
          <w:tcPr>
            <w:tcW w:w="89" w:type="pct"/>
            <w:vAlign w:val="center"/>
          </w:tcPr>
          <w:p w14:paraId="1E753B11">
            <w:pPr>
              <w:jc w:val="right"/>
              <w:rPr>
                <w:sz w:val="18"/>
                <w:szCs w:val="18"/>
              </w:rPr>
            </w:pPr>
          </w:p>
        </w:tc>
        <w:tc>
          <w:tcPr>
            <w:tcW w:w="442" w:type="pct"/>
            <w:vAlign w:val="center"/>
          </w:tcPr>
          <w:p w14:paraId="1267BA58">
            <w:pPr>
              <w:jc w:val="right"/>
              <w:rPr>
                <w:sz w:val="18"/>
                <w:szCs w:val="18"/>
              </w:rPr>
            </w:pPr>
          </w:p>
        </w:tc>
        <w:tc>
          <w:tcPr>
            <w:tcW w:w="133" w:type="pct"/>
            <w:vAlign w:val="center"/>
          </w:tcPr>
          <w:p w14:paraId="30647A2B">
            <w:pPr>
              <w:jc w:val="right"/>
              <w:rPr>
                <w:sz w:val="18"/>
                <w:szCs w:val="18"/>
              </w:rPr>
            </w:pPr>
          </w:p>
        </w:tc>
        <w:tc>
          <w:tcPr>
            <w:tcW w:w="398" w:type="pct"/>
            <w:vAlign w:val="center"/>
          </w:tcPr>
          <w:p w14:paraId="19AF7FF1">
            <w:pPr>
              <w:jc w:val="right"/>
              <w:rPr>
                <w:sz w:val="18"/>
                <w:szCs w:val="18"/>
              </w:rPr>
            </w:pPr>
          </w:p>
        </w:tc>
        <w:tc>
          <w:tcPr>
            <w:tcW w:w="89" w:type="pct"/>
            <w:vAlign w:val="center"/>
          </w:tcPr>
          <w:p w14:paraId="7CCBFC7D">
            <w:pPr>
              <w:jc w:val="right"/>
              <w:rPr>
                <w:sz w:val="18"/>
                <w:szCs w:val="18"/>
              </w:rPr>
            </w:pPr>
          </w:p>
        </w:tc>
        <w:tc>
          <w:tcPr>
            <w:tcW w:w="442" w:type="pct"/>
            <w:vAlign w:val="center"/>
          </w:tcPr>
          <w:p w14:paraId="38A2539A">
            <w:pPr>
              <w:jc w:val="right"/>
              <w:rPr>
                <w:sz w:val="18"/>
                <w:szCs w:val="18"/>
              </w:rPr>
            </w:pPr>
          </w:p>
        </w:tc>
        <w:tc>
          <w:tcPr>
            <w:tcW w:w="133" w:type="pct"/>
            <w:vAlign w:val="center"/>
          </w:tcPr>
          <w:p w14:paraId="466E0F17">
            <w:pPr>
              <w:jc w:val="right"/>
              <w:rPr>
                <w:sz w:val="18"/>
                <w:szCs w:val="18"/>
              </w:rPr>
            </w:pPr>
          </w:p>
        </w:tc>
        <w:tc>
          <w:tcPr>
            <w:tcW w:w="487" w:type="pct"/>
            <w:vAlign w:val="center"/>
          </w:tcPr>
          <w:p w14:paraId="0745BE86">
            <w:pPr>
              <w:jc w:val="right"/>
              <w:rPr>
                <w:sz w:val="18"/>
                <w:szCs w:val="18"/>
              </w:rPr>
            </w:pPr>
          </w:p>
        </w:tc>
        <w:tc>
          <w:tcPr>
            <w:tcW w:w="133" w:type="pct"/>
            <w:vAlign w:val="center"/>
          </w:tcPr>
          <w:p w14:paraId="19AAD401">
            <w:pPr>
              <w:jc w:val="right"/>
              <w:rPr>
                <w:sz w:val="18"/>
                <w:szCs w:val="18"/>
              </w:rPr>
            </w:pPr>
          </w:p>
        </w:tc>
        <w:tc>
          <w:tcPr>
            <w:tcW w:w="503" w:type="pct"/>
            <w:vAlign w:val="center"/>
          </w:tcPr>
          <w:p w14:paraId="4993DC1E">
            <w:pPr>
              <w:jc w:val="right"/>
              <w:rPr>
                <w:sz w:val="18"/>
                <w:szCs w:val="18"/>
              </w:rPr>
            </w:pPr>
          </w:p>
        </w:tc>
        <w:tc>
          <w:tcPr>
            <w:tcW w:w="426" w:type="pct"/>
            <w:vAlign w:val="center"/>
          </w:tcPr>
          <w:p w14:paraId="487035C0">
            <w:pPr>
              <w:jc w:val="right"/>
              <w:rPr>
                <w:sz w:val="18"/>
                <w:szCs w:val="18"/>
              </w:rPr>
            </w:pPr>
          </w:p>
        </w:tc>
        <w:tc>
          <w:tcPr>
            <w:tcW w:w="486" w:type="pct"/>
            <w:vAlign w:val="center"/>
          </w:tcPr>
          <w:p w14:paraId="13CAF233">
            <w:pPr>
              <w:jc w:val="right"/>
              <w:rPr>
                <w:sz w:val="18"/>
                <w:szCs w:val="18"/>
              </w:rPr>
            </w:pPr>
          </w:p>
        </w:tc>
      </w:tr>
      <w:tr w14:paraId="5C77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8874e17dc09c419baab53299f7967f44"/>
            <w:id w:val="-1595094002"/>
          </w:sdtPr>
          <w:sdtContent>
            <w:tc>
              <w:tcPr>
                <w:tcW w:w="576" w:type="pct"/>
                <w:vAlign w:val="center"/>
              </w:tcPr>
              <w:p w14:paraId="663A92BC">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2．盈余公积转增资本（或股本）</w:t>
                </w:r>
              </w:p>
            </w:tc>
          </w:sdtContent>
        </w:sdt>
        <w:tc>
          <w:tcPr>
            <w:tcW w:w="486" w:type="pct"/>
            <w:vAlign w:val="center"/>
          </w:tcPr>
          <w:p w14:paraId="701C3632">
            <w:pPr>
              <w:jc w:val="right"/>
              <w:rPr>
                <w:sz w:val="18"/>
                <w:szCs w:val="18"/>
              </w:rPr>
            </w:pPr>
          </w:p>
        </w:tc>
        <w:tc>
          <w:tcPr>
            <w:tcW w:w="89" w:type="pct"/>
            <w:vAlign w:val="center"/>
          </w:tcPr>
          <w:p w14:paraId="05581EB1">
            <w:pPr>
              <w:jc w:val="right"/>
              <w:rPr>
                <w:sz w:val="18"/>
                <w:szCs w:val="18"/>
              </w:rPr>
            </w:pPr>
          </w:p>
        </w:tc>
        <w:tc>
          <w:tcPr>
            <w:tcW w:w="88" w:type="pct"/>
            <w:vAlign w:val="center"/>
          </w:tcPr>
          <w:p w14:paraId="209E2FF7">
            <w:pPr>
              <w:jc w:val="right"/>
              <w:rPr>
                <w:sz w:val="18"/>
                <w:szCs w:val="18"/>
              </w:rPr>
            </w:pPr>
          </w:p>
        </w:tc>
        <w:tc>
          <w:tcPr>
            <w:tcW w:w="89" w:type="pct"/>
            <w:vAlign w:val="center"/>
          </w:tcPr>
          <w:p w14:paraId="6FA2CB07">
            <w:pPr>
              <w:jc w:val="right"/>
              <w:rPr>
                <w:sz w:val="18"/>
                <w:szCs w:val="18"/>
              </w:rPr>
            </w:pPr>
          </w:p>
        </w:tc>
        <w:tc>
          <w:tcPr>
            <w:tcW w:w="442" w:type="pct"/>
            <w:vAlign w:val="center"/>
          </w:tcPr>
          <w:p w14:paraId="5353C381">
            <w:pPr>
              <w:jc w:val="right"/>
              <w:rPr>
                <w:sz w:val="18"/>
                <w:szCs w:val="18"/>
              </w:rPr>
            </w:pPr>
          </w:p>
        </w:tc>
        <w:tc>
          <w:tcPr>
            <w:tcW w:w="133" w:type="pct"/>
            <w:vAlign w:val="center"/>
          </w:tcPr>
          <w:p w14:paraId="4F7FFE5C">
            <w:pPr>
              <w:jc w:val="right"/>
              <w:rPr>
                <w:sz w:val="18"/>
                <w:szCs w:val="18"/>
              </w:rPr>
            </w:pPr>
          </w:p>
        </w:tc>
        <w:tc>
          <w:tcPr>
            <w:tcW w:w="398" w:type="pct"/>
            <w:vAlign w:val="center"/>
          </w:tcPr>
          <w:p w14:paraId="7C4DE8BC">
            <w:pPr>
              <w:jc w:val="right"/>
              <w:rPr>
                <w:sz w:val="18"/>
                <w:szCs w:val="18"/>
              </w:rPr>
            </w:pPr>
          </w:p>
        </w:tc>
        <w:tc>
          <w:tcPr>
            <w:tcW w:w="89" w:type="pct"/>
            <w:vAlign w:val="center"/>
          </w:tcPr>
          <w:p w14:paraId="53E661EB">
            <w:pPr>
              <w:jc w:val="right"/>
              <w:rPr>
                <w:sz w:val="18"/>
                <w:szCs w:val="18"/>
              </w:rPr>
            </w:pPr>
          </w:p>
        </w:tc>
        <w:tc>
          <w:tcPr>
            <w:tcW w:w="442" w:type="pct"/>
            <w:vAlign w:val="center"/>
          </w:tcPr>
          <w:p w14:paraId="48474452">
            <w:pPr>
              <w:jc w:val="right"/>
              <w:rPr>
                <w:sz w:val="18"/>
                <w:szCs w:val="18"/>
              </w:rPr>
            </w:pPr>
          </w:p>
        </w:tc>
        <w:tc>
          <w:tcPr>
            <w:tcW w:w="133" w:type="pct"/>
            <w:vAlign w:val="center"/>
          </w:tcPr>
          <w:p w14:paraId="7114D05B">
            <w:pPr>
              <w:jc w:val="right"/>
              <w:rPr>
                <w:sz w:val="18"/>
                <w:szCs w:val="18"/>
              </w:rPr>
            </w:pPr>
          </w:p>
        </w:tc>
        <w:tc>
          <w:tcPr>
            <w:tcW w:w="487" w:type="pct"/>
            <w:vAlign w:val="center"/>
          </w:tcPr>
          <w:p w14:paraId="468A39B4">
            <w:pPr>
              <w:jc w:val="right"/>
              <w:rPr>
                <w:sz w:val="18"/>
                <w:szCs w:val="18"/>
              </w:rPr>
            </w:pPr>
          </w:p>
        </w:tc>
        <w:tc>
          <w:tcPr>
            <w:tcW w:w="133" w:type="pct"/>
            <w:vAlign w:val="center"/>
          </w:tcPr>
          <w:p w14:paraId="3FD497F7">
            <w:pPr>
              <w:jc w:val="right"/>
              <w:rPr>
                <w:sz w:val="18"/>
                <w:szCs w:val="18"/>
              </w:rPr>
            </w:pPr>
          </w:p>
        </w:tc>
        <w:tc>
          <w:tcPr>
            <w:tcW w:w="503" w:type="pct"/>
            <w:vAlign w:val="center"/>
          </w:tcPr>
          <w:p w14:paraId="59D6B5F2">
            <w:pPr>
              <w:jc w:val="right"/>
              <w:rPr>
                <w:sz w:val="18"/>
                <w:szCs w:val="18"/>
              </w:rPr>
            </w:pPr>
          </w:p>
        </w:tc>
        <w:tc>
          <w:tcPr>
            <w:tcW w:w="426" w:type="pct"/>
            <w:vAlign w:val="center"/>
          </w:tcPr>
          <w:p w14:paraId="1D0EEF3D">
            <w:pPr>
              <w:jc w:val="right"/>
              <w:rPr>
                <w:sz w:val="18"/>
                <w:szCs w:val="18"/>
              </w:rPr>
            </w:pPr>
          </w:p>
        </w:tc>
        <w:tc>
          <w:tcPr>
            <w:tcW w:w="486" w:type="pct"/>
            <w:vAlign w:val="center"/>
          </w:tcPr>
          <w:p w14:paraId="60FCC755">
            <w:pPr>
              <w:jc w:val="right"/>
              <w:rPr>
                <w:sz w:val="18"/>
                <w:szCs w:val="18"/>
              </w:rPr>
            </w:pPr>
          </w:p>
        </w:tc>
      </w:tr>
      <w:tr w14:paraId="1008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e3c6e2e078f649258bfa4dadb9266249"/>
            <w:id w:val="-1521776532"/>
          </w:sdtPr>
          <w:sdtContent>
            <w:tc>
              <w:tcPr>
                <w:tcW w:w="576" w:type="pct"/>
                <w:vAlign w:val="center"/>
              </w:tcPr>
              <w:p w14:paraId="002649FC">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3．盈余公积弥补亏损</w:t>
                </w:r>
              </w:p>
            </w:tc>
          </w:sdtContent>
        </w:sdt>
        <w:tc>
          <w:tcPr>
            <w:tcW w:w="486" w:type="pct"/>
            <w:vAlign w:val="center"/>
          </w:tcPr>
          <w:p w14:paraId="57F0E671">
            <w:pPr>
              <w:jc w:val="right"/>
              <w:rPr>
                <w:sz w:val="18"/>
                <w:szCs w:val="18"/>
              </w:rPr>
            </w:pPr>
          </w:p>
        </w:tc>
        <w:tc>
          <w:tcPr>
            <w:tcW w:w="89" w:type="pct"/>
            <w:vAlign w:val="center"/>
          </w:tcPr>
          <w:p w14:paraId="4FC56919">
            <w:pPr>
              <w:jc w:val="right"/>
              <w:rPr>
                <w:sz w:val="18"/>
                <w:szCs w:val="18"/>
              </w:rPr>
            </w:pPr>
          </w:p>
        </w:tc>
        <w:tc>
          <w:tcPr>
            <w:tcW w:w="88" w:type="pct"/>
            <w:vAlign w:val="center"/>
          </w:tcPr>
          <w:p w14:paraId="635DC975">
            <w:pPr>
              <w:jc w:val="right"/>
              <w:rPr>
                <w:sz w:val="18"/>
                <w:szCs w:val="18"/>
              </w:rPr>
            </w:pPr>
          </w:p>
        </w:tc>
        <w:tc>
          <w:tcPr>
            <w:tcW w:w="89" w:type="pct"/>
            <w:vAlign w:val="center"/>
          </w:tcPr>
          <w:p w14:paraId="2006847E">
            <w:pPr>
              <w:jc w:val="right"/>
              <w:rPr>
                <w:sz w:val="18"/>
                <w:szCs w:val="18"/>
              </w:rPr>
            </w:pPr>
          </w:p>
        </w:tc>
        <w:tc>
          <w:tcPr>
            <w:tcW w:w="442" w:type="pct"/>
            <w:vAlign w:val="center"/>
          </w:tcPr>
          <w:p w14:paraId="35159A55">
            <w:pPr>
              <w:jc w:val="right"/>
              <w:rPr>
                <w:sz w:val="18"/>
                <w:szCs w:val="18"/>
              </w:rPr>
            </w:pPr>
          </w:p>
        </w:tc>
        <w:tc>
          <w:tcPr>
            <w:tcW w:w="133" w:type="pct"/>
            <w:vAlign w:val="center"/>
          </w:tcPr>
          <w:p w14:paraId="18CE9070">
            <w:pPr>
              <w:jc w:val="right"/>
              <w:rPr>
                <w:sz w:val="18"/>
                <w:szCs w:val="18"/>
              </w:rPr>
            </w:pPr>
          </w:p>
        </w:tc>
        <w:tc>
          <w:tcPr>
            <w:tcW w:w="398" w:type="pct"/>
            <w:vAlign w:val="center"/>
          </w:tcPr>
          <w:p w14:paraId="4787DF32">
            <w:pPr>
              <w:jc w:val="right"/>
              <w:rPr>
                <w:sz w:val="18"/>
                <w:szCs w:val="18"/>
              </w:rPr>
            </w:pPr>
          </w:p>
        </w:tc>
        <w:tc>
          <w:tcPr>
            <w:tcW w:w="89" w:type="pct"/>
            <w:vAlign w:val="center"/>
          </w:tcPr>
          <w:p w14:paraId="428A5815">
            <w:pPr>
              <w:jc w:val="right"/>
              <w:rPr>
                <w:sz w:val="18"/>
                <w:szCs w:val="18"/>
              </w:rPr>
            </w:pPr>
          </w:p>
        </w:tc>
        <w:tc>
          <w:tcPr>
            <w:tcW w:w="442" w:type="pct"/>
            <w:vAlign w:val="center"/>
          </w:tcPr>
          <w:p w14:paraId="5061EC14">
            <w:pPr>
              <w:jc w:val="right"/>
              <w:rPr>
                <w:sz w:val="18"/>
                <w:szCs w:val="18"/>
              </w:rPr>
            </w:pPr>
          </w:p>
        </w:tc>
        <w:tc>
          <w:tcPr>
            <w:tcW w:w="133" w:type="pct"/>
            <w:vAlign w:val="center"/>
          </w:tcPr>
          <w:p w14:paraId="57AA9BEC">
            <w:pPr>
              <w:jc w:val="right"/>
              <w:rPr>
                <w:sz w:val="18"/>
                <w:szCs w:val="18"/>
              </w:rPr>
            </w:pPr>
          </w:p>
        </w:tc>
        <w:tc>
          <w:tcPr>
            <w:tcW w:w="487" w:type="pct"/>
            <w:vAlign w:val="center"/>
          </w:tcPr>
          <w:p w14:paraId="472C92B6">
            <w:pPr>
              <w:jc w:val="right"/>
              <w:rPr>
                <w:sz w:val="18"/>
                <w:szCs w:val="18"/>
              </w:rPr>
            </w:pPr>
          </w:p>
        </w:tc>
        <w:tc>
          <w:tcPr>
            <w:tcW w:w="133" w:type="pct"/>
            <w:vAlign w:val="center"/>
          </w:tcPr>
          <w:p w14:paraId="14053220">
            <w:pPr>
              <w:jc w:val="right"/>
              <w:rPr>
                <w:sz w:val="18"/>
                <w:szCs w:val="18"/>
              </w:rPr>
            </w:pPr>
          </w:p>
        </w:tc>
        <w:tc>
          <w:tcPr>
            <w:tcW w:w="503" w:type="pct"/>
            <w:vAlign w:val="center"/>
          </w:tcPr>
          <w:p w14:paraId="2660BF95">
            <w:pPr>
              <w:jc w:val="right"/>
              <w:rPr>
                <w:sz w:val="18"/>
                <w:szCs w:val="18"/>
              </w:rPr>
            </w:pPr>
          </w:p>
        </w:tc>
        <w:tc>
          <w:tcPr>
            <w:tcW w:w="426" w:type="pct"/>
            <w:vAlign w:val="center"/>
          </w:tcPr>
          <w:p w14:paraId="68A27551">
            <w:pPr>
              <w:jc w:val="right"/>
              <w:rPr>
                <w:sz w:val="18"/>
                <w:szCs w:val="18"/>
              </w:rPr>
            </w:pPr>
          </w:p>
        </w:tc>
        <w:tc>
          <w:tcPr>
            <w:tcW w:w="486" w:type="pct"/>
            <w:vAlign w:val="center"/>
          </w:tcPr>
          <w:p w14:paraId="3B7B9B7D">
            <w:pPr>
              <w:jc w:val="right"/>
              <w:rPr>
                <w:sz w:val="18"/>
                <w:szCs w:val="18"/>
              </w:rPr>
            </w:pPr>
          </w:p>
        </w:tc>
      </w:tr>
      <w:tr w14:paraId="6118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sdt>
            <w:sdtPr>
              <w:tag w:val="_PLD_7a03b853b8c74c2fb2e89f59e327b578"/>
              <w:id w:val="-95563566"/>
            </w:sdtPr>
            <w:sdtContent>
              <w:p w14:paraId="3E0435A0">
                <w:pPr>
                  <w:rPr>
                    <w:color w:val="000000" w:themeColor="text1"/>
                    <w14:textFill>
                      <w14:solidFill>
                        <w14:schemeClr w14:val="tx1"/>
                      </w14:solidFill>
                    </w14:textFill>
                  </w:rPr>
                </w:pPr>
                <w:r>
                  <w:rPr>
                    <w:color w:val="000000" w:themeColor="text1"/>
                    <w:sz w:val="18"/>
                    <w:szCs w:val="18"/>
                    <w14:textFill>
                      <w14:solidFill>
                        <w14:schemeClr w14:val="tx1"/>
                      </w14:solidFill>
                    </w14:textFill>
                  </w:rPr>
                  <w:t>4．设定受益计划变动额结转留存收益</w:t>
                </w:r>
              </w:p>
            </w:sdtContent>
          </w:sdt>
        </w:tc>
        <w:tc>
          <w:tcPr>
            <w:tcW w:w="486" w:type="pct"/>
            <w:vAlign w:val="center"/>
          </w:tcPr>
          <w:p w14:paraId="428A0202">
            <w:pPr>
              <w:jc w:val="right"/>
              <w:rPr>
                <w:sz w:val="18"/>
                <w:szCs w:val="18"/>
              </w:rPr>
            </w:pPr>
          </w:p>
        </w:tc>
        <w:tc>
          <w:tcPr>
            <w:tcW w:w="89" w:type="pct"/>
            <w:vAlign w:val="center"/>
          </w:tcPr>
          <w:p w14:paraId="437BDA1F">
            <w:pPr>
              <w:jc w:val="right"/>
              <w:rPr>
                <w:sz w:val="18"/>
                <w:szCs w:val="18"/>
              </w:rPr>
            </w:pPr>
          </w:p>
        </w:tc>
        <w:tc>
          <w:tcPr>
            <w:tcW w:w="88" w:type="pct"/>
            <w:vAlign w:val="center"/>
          </w:tcPr>
          <w:p w14:paraId="016BB779">
            <w:pPr>
              <w:jc w:val="right"/>
              <w:rPr>
                <w:sz w:val="18"/>
                <w:szCs w:val="18"/>
              </w:rPr>
            </w:pPr>
          </w:p>
        </w:tc>
        <w:tc>
          <w:tcPr>
            <w:tcW w:w="89" w:type="pct"/>
            <w:vAlign w:val="center"/>
          </w:tcPr>
          <w:p w14:paraId="1C6A5920">
            <w:pPr>
              <w:jc w:val="right"/>
              <w:rPr>
                <w:sz w:val="18"/>
                <w:szCs w:val="18"/>
              </w:rPr>
            </w:pPr>
          </w:p>
        </w:tc>
        <w:tc>
          <w:tcPr>
            <w:tcW w:w="442" w:type="pct"/>
            <w:vAlign w:val="center"/>
          </w:tcPr>
          <w:p w14:paraId="36E9F4FF">
            <w:pPr>
              <w:jc w:val="right"/>
              <w:rPr>
                <w:sz w:val="18"/>
                <w:szCs w:val="18"/>
              </w:rPr>
            </w:pPr>
          </w:p>
        </w:tc>
        <w:tc>
          <w:tcPr>
            <w:tcW w:w="133" w:type="pct"/>
            <w:vAlign w:val="center"/>
          </w:tcPr>
          <w:p w14:paraId="4868ADD8">
            <w:pPr>
              <w:jc w:val="right"/>
              <w:rPr>
                <w:sz w:val="18"/>
                <w:szCs w:val="18"/>
              </w:rPr>
            </w:pPr>
          </w:p>
        </w:tc>
        <w:tc>
          <w:tcPr>
            <w:tcW w:w="398" w:type="pct"/>
            <w:vAlign w:val="center"/>
          </w:tcPr>
          <w:p w14:paraId="72E21979">
            <w:pPr>
              <w:jc w:val="right"/>
              <w:rPr>
                <w:sz w:val="18"/>
                <w:szCs w:val="18"/>
              </w:rPr>
            </w:pPr>
          </w:p>
        </w:tc>
        <w:tc>
          <w:tcPr>
            <w:tcW w:w="89" w:type="pct"/>
            <w:vAlign w:val="center"/>
          </w:tcPr>
          <w:p w14:paraId="66F82746">
            <w:pPr>
              <w:jc w:val="right"/>
              <w:rPr>
                <w:sz w:val="18"/>
                <w:szCs w:val="18"/>
              </w:rPr>
            </w:pPr>
          </w:p>
        </w:tc>
        <w:tc>
          <w:tcPr>
            <w:tcW w:w="442" w:type="pct"/>
            <w:vAlign w:val="center"/>
          </w:tcPr>
          <w:p w14:paraId="59078D0F">
            <w:pPr>
              <w:jc w:val="right"/>
              <w:rPr>
                <w:sz w:val="18"/>
                <w:szCs w:val="18"/>
              </w:rPr>
            </w:pPr>
          </w:p>
        </w:tc>
        <w:tc>
          <w:tcPr>
            <w:tcW w:w="133" w:type="pct"/>
            <w:vAlign w:val="center"/>
          </w:tcPr>
          <w:p w14:paraId="11BB501E">
            <w:pPr>
              <w:jc w:val="right"/>
              <w:rPr>
                <w:sz w:val="18"/>
                <w:szCs w:val="18"/>
              </w:rPr>
            </w:pPr>
          </w:p>
        </w:tc>
        <w:tc>
          <w:tcPr>
            <w:tcW w:w="487" w:type="pct"/>
            <w:vAlign w:val="center"/>
          </w:tcPr>
          <w:p w14:paraId="59FD564E">
            <w:pPr>
              <w:jc w:val="right"/>
              <w:rPr>
                <w:sz w:val="18"/>
                <w:szCs w:val="18"/>
              </w:rPr>
            </w:pPr>
          </w:p>
        </w:tc>
        <w:tc>
          <w:tcPr>
            <w:tcW w:w="133" w:type="pct"/>
            <w:vAlign w:val="center"/>
          </w:tcPr>
          <w:p w14:paraId="66E4CC25">
            <w:pPr>
              <w:jc w:val="right"/>
              <w:rPr>
                <w:sz w:val="18"/>
                <w:szCs w:val="18"/>
              </w:rPr>
            </w:pPr>
          </w:p>
        </w:tc>
        <w:tc>
          <w:tcPr>
            <w:tcW w:w="503" w:type="pct"/>
            <w:vAlign w:val="center"/>
          </w:tcPr>
          <w:p w14:paraId="7278912A">
            <w:pPr>
              <w:jc w:val="right"/>
              <w:rPr>
                <w:sz w:val="18"/>
                <w:szCs w:val="18"/>
              </w:rPr>
            </w:pPr>
          </w:p>
        </w:tc>
        <w:tc>
          <w:tcPr>
            <w:tcW w:w="426" w:type="pct"/>
            <w:vAlign w:val="center"/>
          </w:tcPr>
          <w:p w14:paraId="1665DD6A">
            <w:pPr>
              <w:jc w:val="right"/>
              <w:rPr>
                <w:sz w:val="18"/>
                <w:szCs w:val="18"/>
              </w:rPr>
            </w:pPr>
          </w:p>
        </w:tc>
        <w:tc>
          <w:tcPr>
            <w:tcW w:w="486" w:type="pct"/>
            <w:vAlign w:val="center"/>
          </w:tcPr>
          <w:p w14:paraId="5CEBE760">
            <w:pPr>
              <w:jc w:val="right"/>
              <w:rPr>
                <w:sz w:val="18"/>
                <w:szCs w:val="18"/>
              </w:rPr>
            </w:pPr>
          </w:p>
        </w:tc>
      </w:tr>
      <w:tr w14:paraId="7DF5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sdt>
            <w:sdtPr>
              <w:tag w:val="_PLD_1db95d2c039e4fb6b41eae5a5c0aeb0a"/>
              <w:id w:val="-2140948982"/>
            </w:sdtPr>
            <w:sdtContent>
              <w:p w14:paraId="7779007C">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5．其他综合收益结转留存收益</w:t>
                </w:r>
              </w:p>
            </w:sdtContent>
          </w:sdt>
        </w:tc>
        <w:tc>
          <w:tcPr>
            <w:tcW w:w="486" w:type="pct"/>
            <w:vAlign w:val="center"/>
          </w:tcPr>
          <w:p w14:paraId="78148D3B">
            <w:pPr>
              <w:jc w:val="right"/>
              <w:rPr>
                <w:sz w:val="18"/>
                <w:szCs w:val="18"/>
              </w:rPr>
            </w:pPr>
          </w:p>
        </w:tc>
        <w:tc>
          <w:tcPr>
            <w:tcW w:w="89" w:type="pct"/>
            <w:vAlign w:val="center"/>
          </w:tcPr>
          <w:p w14:paraId="477AF7C2">
            <w:pPr>
              <w:jc w:val="right"/>
              <w:rPr>
                <w:sz w:val="18"/>
                <w:szCs w:val="18"/>
              </w:rPr>
            </w:pPr>
          </w:p>
        </w:tc>
        <w:tc>
          <w:tcPr>
            <w:tcW w:w="88" w:type="pct"/>
            <w:vAlign w:val="center"/>
          </w:tcPr>
          <w:p w14:paraId="537FB9E6">
            <w:pPr>
              <w:jc w:val="right"/>
              <w:rPr>
                <w:sz w:val="18"/>
                <w:szCs w:val="18"/>
              </w:rPr>
            </w:pPr>
          </w:p>
        </w:tc>
        <w:tc>
          <w:tcPr>
            <w:tcW w:w="89" w:type="pct"/>
            <w:vAlign w:val="center"/>
          </w:tcPr>
          <w:p w14:paraId="660B8006">
            <w:pPr>
              <w:jc w:val="right"/>
              <w:rPr>
                <w:sz w:val="18"/>
                <w:szCs w:val="18"/>
              </w:rPr>
            </w:pPr>
          </w:p>
        </w:tc>
        <w:tc>
          <w:tcPr>
            <w:tcW w:w="442" w:type="pct"/>
            <w:vAlign w:val="center"/>
          </w:tcPr>
          <w:p w14:paraId="623B4D5B">
            <w:pPr>
              <w:jc w:val="right"/>
              <w:rPr>
                <w:sz w:val="18"/>
                <w:szCs w:val="18"/>
              </w:rPr>
            </w:pPr>
          </w:p>
        </w:tc>
        <w:tc>
          <w:tcPr>
            <w:tcW w:w="133" w:type="pct"/>
            <w:vAlign w:val="center"/>
          </w:tcPr>
          <w:p w14:paraId="18137A79">
            <w:pPr>
              <w:jc w:val="right"/>
              <w:rPr>
                <w:sz w:val="18"/>
                <w:szCs w:val="18"/>
              </w:rPr>
            </w:pPr>
          </w:p>
        </w:tc>
        <w:tc>
          <w:tcPr>
            <w:tcW w:w="398" w:type="pct"/>
            <w:vAlign w:val="center"/>
          </w:tcPr>
          <w:p w14:paraId="3E4E2257">
            <w:pPr>
              <w:jc w:val="right"/>
              <w:rPr>
                <w:sz w:val="18"/>
                <w:szCs w:val="18"/>
              </w:rPr>
            </w:pPr>
          </w:p>
        </w:tc>
        <w:tc>
          <w:tcPr>
            <w:tcW w:w="89" w:type="pct"/>
            <w:vAlign w:val="center"/>
          </w:tcPr>
          <w:p w14:paraId="568827CA">
            <w:pPr>
              <w:jc w:val="right"/>
              <w:rPr>
                <w:sz w:val="18"/>
                <w:szCs w:val="18"/>
              </w:rPr>
            </w:pPr>
          </w:p>
        </w:tc>
        <w:tc>
          <w:tcPr>
            <w:tcW w:w="442" w:type="pct"/>
            <w:vAlign w:val="center"/>
          </w:tcPr>
          <w:p w14:paraId="406B5576">
            <w:pPr>
              <w:jc w:val="right"/>
              <w:rPr>
                <w:sz w:val="18"/>
                <w:szCs w:val="18"/>
              </w:rPr>
            </w:pPr>
          </w:p>
        </w:tc>
        <w:tc>
          <w:tcPr>
            <w:tcW w:w="133" w:type="pct"/>
            <w:vAlign w:val="center"/>
          </w:tcPr>
          <w:p w14:paraId="70BA6AFA">
            <w:pPr>
              <w:jc w:val="right"/>
              <w:rPr>
                <w:sz w:val="18"/>
                <w:szCs w:val="18"/>
              </w:rPr>
            </w:pPr>
          </w:p>
        </w:tc>
        <w:tc>
          <w:tcPr>
            <w:tcW w:w="487" w:type="pct"/>
            <w:vAlign w:val="center"/>
          </w:tcPr>
          <w:p w14:paraId="3AA6F43A">
            <w:pPr>
              <w:jc w:val="right"/>
              <w:rPr>
                <w:sz w:val="18"/>
                <w:szCs w:val="18"/>
              </w:rPr>
            </w:pPr>
          </w:p>
        </w:tc>
        <w:tc>
          <w:tcPr>
            <w:tcW w:w="133" w:type="pct"/>
            <w:vAlign w:val="center"/>
          </w:tcPr>
          <w:p w14:paraId="31F43534">
            <w:pPr>
              <w:jc w:val="right"/>
              <w:rPr>
                <w:sz w:val="18"/>
                <w:szCs w:val="18"/>
              </w:rPr>
            </w:pPr>
          </w:p>
        </w:tc>
        <w:tc>
          <w:tcPr>
            <w:tcW w:w="503" w:type="pct"/>
            <w:vAlign w:val="center"/>
          </w:tcPr>
          <w:p w14:paraId="00A9E775">
            <w:pPr>
              <w:jc w:val="right"/>
              <w:rPr>
                <w:sz w:val="18"/>
                <w:szCs w:val="18"/>
              </w:rPr>
            </w:pPr>
          </w:p>
        </w:tc>
        <w:tc>
          <w:tcPr>
            <w:tcW w:w="426" w:type="pct"/>
            <w:vAlign w:val="center"/>
          </w:tcPr>
          <w:p w14:paraId="112125A2">
            <w:pPr>
              <w:jc w:val="right"/>
              <w:rPr>
                <w:sz w:val="18"/>
                <w:szCs w:val="18"/>
              </w:rPr>
            </w:pPr>
          </w:p>
        </w:tc>
        <w:tc>
          <w:tcPr>
            <w:tcW w:w="486" w:type="pct"/>
            <w:vAlign w:val="center"/>
          </w:tcPr>
          <w:p w14:paraId="3FAD7F2F">
            <w:pPr>
              <w:jc w:val="right"/>
              <w:rPr>
                <w:sz w:val="18"/>
                <w:szCs w:val="18"/>
              </w:rPr>
            </w:pPr>
          </w:p>
        </w:tc>
      </w:tr>
      <w:tr w14:paraId="7FDE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sdt>
            <w:sdtPr>
              <w:tag w:val="_PLD_44b366cf670e4514b5f91bc8cef97e27"/>
              <w:id w:val="-4905465"/>
            </w:sdtPr>
            <w:sdtContent>
              <w:p w14:paraId="3D83AF0A">
                <w:pPr>
                  <w:rPr>
                    <w:color w:val="000000" w:themeColor="text1"/>
                    <w14:textFill>
                      <w14:solidFill>
                        <w14:schemeClr w14:val="tx1"/>
                      </w14:solidFill>
                    </w14:textFill>
                  </w:rPr>
                </w:pPr>
                <w:r>
                  <w:rPr>
                    <w:color w:val="000000" w:themeColor="text1"/>
                    <w:sz w:val="18"/>
                    <w:szCs w:val="18"/>
                    <w14:textFill>
                      <w14:solidFill>
                        <w14:schemeClr w14:val="tx1"/>
                      </w14:solidFill>
                    </w14:textFill>
                  </w:rPr>
                  <w:t>6．其他</w:t>
                </w:r>
              </w:p>
            </w:sdtContent>
          </w:sdt>
        </w:tc>
        <w:tc>
          <w:tcPr>
            <w:tcW w:w="486" w:type="pct"/>
            <w:vAlign w:val="center"/>
          </w:tcPr>
          <w:p w14:paraId="7FDEE846">
            <w:pPr>
              <w:jc w:val="right"/>
              <w:rPr>
                <w:sz w:val="18"/>
                <w:szCs w:val="18"/>
              </w:rPr>
            </w:pPr>
          </w:p>
        </w:tc>
        <w:tc>
          <w:tcPr>
            <w:tcW w:w="89" w:type="pct"/>
            <w:vAlign w:val="center"/>
          </w:tcPr>
          <w:p w14:paraId="2581B6E0">
            <w:pPr>
              <w:jc w:val="right"/>
              <w:rPr>
                <w:sz w:val="18"/>
                <w:szCs w:val="18"/>
              </w:rPr>
            </w:pPr>
          </w:p>
        </w:tc>
        <w:tc>
          <w:tcPr>
            <w:tcW w:w="88" w:type="pct"/>
            <w:vAlign w:val="center"/>
          </w:tcPr>
          <w:p w14:paraId="7C516326">
            <w:pPr>
              <w:jc w:val="right"/>
              <w:rPr>
                <w:sz w:val="18"/>
                <w:szCs w:val="18"/>
              </w:rPr>
            </w:pPr>
          </w:p>
        </w:tc>
        <w:tc>
          <w:tcPr>
            <w:tcW w:w="89" w:type="pct"/>
            <w:vAlign w:val="center"/>
          </w:tcPr>
          <w:p w14:paraId="59559659">
            <w:pPr>
              <w:jc w:val="right"/>
              <w:rPr>
                <w:sz w:val="18"/>
                <w:szCs w:val="18"/>
              </w:rPr>
            </w:pPr>
          </w:p>
        </w:tc>
        <w:tc>
          <w:tcPr>
            <w:tcW w:w="442" w:type="pct"/>
            <w:vAlign w:val="center"/>
          </w:tcPr>
          <w:p w14:paraId="4375C3C0">
            <w:pPr>
              <w:jc w:val="right"/>
              <w:rPr>
                <w:sz w:val="18"/>
                <w:szCs w:val="18"/>
              </w:rPr>
            </w:pPr>
          </w:p>
        </w:tc>
        <w:tc>
          <w:tcPr>
            <w:tcW w:w="133" w:type="pct"/>
            <w:vAlign w:val="center"/>
          </w:tcPr>
          <w:p w14:paraId="17E37A6A">
            <w:pPr>
              <w:jc w:val="right"/>
              <w:rPr>
                <w:sz w:val="18"/>
                <w:szCs w:val="18"/>
              </w:rPr>
            </w:pPr>
          </w:p>
        </w:tc>
        <w:tc>
          <w:tcPr>
            <w:tcW w:w="398" w:type="pct"/>
            <w:vAlign w:val="center"/>
          </w:tcPr>
          <w:p w14:paraId="0CDBE9EF">
            <w:pPr>
              <w:jc w:val="right"/>
              <w:rPr>
                <w:sz w:val="18"/>
                <w:szCs w:val="18"/>
              </w:rPr>
            </w:pPr>
          </w:p>
        </w:tc>
        <w:tc>
          <w:tcPr>
            <w:tcW w:w="89" w:type="pct"/>
            <w:vAlign w:val="center"/>
          </w:tcPr>
          <w:p w14:paraId="6BAA3CDB">
            <w:pPr>
              <w:jc w:val="right"/>
              <w:rPr>
                <w:sz w:val="18"/>
                <w:szCs w:val="18"/>
              </w:rPr>
            </w:pPr>
          </w:p>
        </w:tc>
        <w:tc>
          <w:tcPr>
            <w:tcW w:w="442" w:type="pct"/>
            <w:vAlign w:val="center"/>
          </w:tcPr>
          <w:p w14:paraId="7CED7EE3">
            <w:pPr>
              <w:jc w:val="right"/>
              <w:rPr>
                <w:sz w:val="18"/>
                <w:szCs w:val="18"/>
              </w:rPr>
            </w:pPr>
          </w:p>
        </w:tc>
        <w:tc>
          <w:tcPr>
            <w:tcW w:w="133" w:type="pct"/>
            <w:vAlign w:val="center"/>
          </w:tcPr>
          <w:p w14:paraId="3E29C8DF">
            <w:pPr>
              <w:jc w:val="right"/>
              <w:rPr>
                <w:sz w:val="18"/>
                <w:szCs w:val="18"/>
              </w:rPr>
            </w:pPr>
          </w:p>
        </w:tc>
        <w:tc>
          <w:tcPr>
            <w:tcW w:w="487" w:type="pct"/>
            <w:vAlign w:val="center"/>
          </w:tcPr>
          <w:p w14:paraId="640BD6F8">
            <w:pPr>
              <w:jc w:val="right"/>
              <w:rPr>
                <w:sz w:val="18"/>
                <w:szCs w:val="18"/>
              </w:rPr>
            </w:pPr>
          </w:p>
        </w:tc>
        <w:tc>
          <w:tcPr>
            <w:tcW w:w="133" w:type="pct"/>
            <w:vAlign w:val="center"/>
          </w:tcPr>
          <w:p w14:paraId="3542DEA2">
            <w:pPr>
              <w:jc w:val="right"/>
              <w:rPr>
                <w:sz w:val="18"/>
                <w:szCs w:val="18"/>
              </w:rPr>
            </w:pPr>
          </w:p>
        </w:tc>
        <w:tc>
          <w:tcPr>
            <w:tcW w:w="503" w:type="pct"/>
            <w:vAlign w:val="center"/>
          </w:tcPr>
          <w:p w14:paraId="6163ADF6">
            <w:pPr>
              <w:jc w:val="right"/>
              <w:rPr>
                <w:sz w:val="18"/>
                <w:szCs w:val="18"/>
              </w:rPr>
            </w:pPr>
          </w:p>
        </w:tc>
        <w:tc>
          <w:tcPr>
            <w:tcW w:w="426" w:type="pct"/>
            <w:vAlign w:val="center"/>
          </w:tcPr>
          <w:p w14:paraId="4815B0A6">
            <w:pPr>
              <w:jc w:val="right"/>
              <w:rPr>
                <w:sz w:val="18"/>
                <w:szCs w:val="18"/>
              </w:rPr>
            </w:pPr>
          </w:p>
        </w:tc>
        <w:tc>
          <w:tcPr>
            <w:tcW w:w="486" w:type="pct"/>
            <w:vAlign w:val="center"/>
          </w:tcPr>
          <w:p w14:paraId="0326BAEF">
            <w:pPr>
              <w:jc w:val="right"/>
              <w:rPr>
                <w:sz w:val="18"/>
                <w:szCs w:val="18"/>
              </w:rPr>
            </w:pPr>
          </w:p>
        </w:tc>
      </w:tr>
      <w:tr w14:paraId="56AE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4c2ffccd1b8247f8b48874b508665dc1"/>
            <w:id w:val="706615892"/>
          </w:sdtPr>
          <w:sdtContent>
            <w:tc>
              <w:tcPr>
                <w:tcW w:w="576" w:type="pct"/>
                <w:vAlign w:val="center"/>
              </w:tcPr>
              <w:p w14:paraId="03051C71">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（五）专项储备</w:t>
                </w:r>
              </w:p>
            </w:tc>
          </w:sdtContent>
        </w:sdt>
        <w:tc>
          <w:tcPr>
            <w:tcW w:w="486" w:type="pct"/>
            <w:vAlign w:val="center"/>
          </w:tcPr>
          <w:p w14:paraId="7620BABE">
            <w:pPr>
              <w:jc w:val="right"/>
              <w:rPr>
                <w:sz w:val="18"/>
                <w:szCs w:val="18"/>
              </w:rPr>
            </w:pPr>
          </w:p>
        </w:tc>
        <w:tc>
          <w:tcPr>
            <w:tcW w:w="89" w:type="pct"/>
            <w:vAlign w:val="center"/>
          </w:tcPr>
          <w:p w14:paraId="60A904DC">
            <w:pPr>
              <w:jc w:val="right"/>
              <w:rPr>
                <w:sz w:val="18"/>
                <w:szCs w:val="18"/>
              </w:rPr>
            </w:pPr>
          </w:p>
        </w:tc>
        <w:tc>
          <w:tcPr>
            <w:tcW w:w="88" w:type="pct"/>
            <w:vAlign w:val="center"/>
          </w:tcPr>
          <w:p w14:paraId="4F2C43D0">
            <w:pPr>
              <w:jc w:val="right"/>
              <w:rPr>
                <w:sz w:val="18"/>
                <w:szCs w:val="18"/>
              </w:rPr>
            </w:pPr>
          </w:p>
        </w:tc>
        <w:tc>
          <w:tcPr>
            <w:tcW w:w="89" w:type="pct"/>
            <w:vAlign w:val="center"/>
          </w:tcPr>
          <w:p w14:paraId="70325EDF">
            <w:pPr>
              <w:jc w:val="right"/>
              <w:rPr>
                <w:sz w:val="18"/>
                <w:szCs w:val="18"/>
              </w:rPr>
            </w:pPr>
          </w:p>
        </w:tc>
        <w:tc>
          <w:tcPr>
            <w:tcW w:w="442" w:type="pct"/>
            <w:vAlign w:val="center"/>
          </w:tcPr>
          <w:p w14:paraId="576E88D2">
            <w:pPr>
              <w:jc w:val="right"/>
              <w:rPr>
                <w:sz w:val="18"/>
                <w:szCs w:val="18"/>
              </w:rPr>
            </w:pPr>
          </w:p>
        </w:tc>
        <w:tc>
          <w:tcPr>
            <w:tcW w:w="133" w:type="pct"/>
            <w:vAlign w:val="center"/>
          </w:tcPr>
          <w:p w14:paraId="4683CB36">
            <w:pPr>
              <w:jc w:val="right"/>
              <w:rPr>
                <w:sz w:val="18"/>
                <w:szCs w:val="18"/>
              </w:rPr>
            </w:pPr>
          </w:p>
        </w:tc>
        <w:tc>
          <w:tcPr>
            <w:tcW w:w="398" w:type="pct"/>
            <w:vAlign w:val="center"/>
          </w:tcPr>
          <w:p w14:paraId="4917B82C">
            <w:pPr>
              <w:jc w:val="right"/>
              <w:rPr>
                <w:sz w:val="18"/>
                <w:szCs w:val="18"/>
              </w:rPr>
            </w:pPr>
          </w:p>
        </w:tc>
        <w:tc>
          <w:tcPr>
            <w:tcW w:w="89" w:type="pct"/>
            <w:vAlign w:val="center"/>
          </w:tcPr>
          <w:p w14:paraId="2E015CDB">
            <w:pPr>
              <w:jc w:val="right"/>
              <w:rPr>
                <w:sz w:val="18"/>
                <w:szCs w:val="18"/>
              </w:rPr>
            </w:pPr>
          </w:p>
        </w:tc>
        <w:tc>
          <w:tcPr>
            <w:tcW w:w="442" w:type="pct"/>
            <w:vAlign w:val="center"/>
          </w:tcPr>
          <w:p w14:paraId="0554147B">
            <w:pPr>
              <w:jc w:val="right"/>
              <w:rPr>
                <w:sz w:val="18"/>
                <w:szCs w:val="18"/>
              </w:rPr>
            </w:pPr>
          </w:p>
        </w:tc>
        <w:tc>
          <w:tcPr>
            <w:tcW w:w="133" w:type="pct"/>
            <w:vAlign w:val="center"/>
          </w:tcPr>
          <w:p w14:paraId="05A25AC6">
            <w:pPr>
              <w:jc w:val="right"/>
              <w:rPr>
                <w:sz w:val="18"/>
                <w:szCs w:val="18"/>
              </w:rPr>
            </w:pPr>
          </w:p>
        </w:tc>
        <w:tc>
          <w:tcPr>
            <w:tcW w:w="487" w:type="pct"/>
            <w:vAlign w:val="center"/>
          </w:tcPr>
          <w:p w14:paraId="40811839">
            <w:pPr>
              <w:jc w:val="right"/>
              <w:rPr>
                <w:sz w:val="18"/>
                <w:szCs w:val="18"/>
              </w:rPr>
            </w:pPr>
          </w:p>
        </w:tc>
        <w:tc>
          <w:tcPr>
            <w:tcW w:w="133" w:type="pct"/>
            <w:vAlign w:val="center"/>
          </w:tcPr>
          <w:p w14:paraId="338B28AF">
            <w:pPr>
              <w:jc w:val="right"/>
              <w:rPr>
                <w:sz w:val="18"/>
                <w:szCs w:val="18"/>
              </w:rPr>
            </w:pPr>
          </w:p>
        </w:tc>
        <w:tc>
          <w:tcPr>
            <w:tcW w:w="503" w:type="pct"/>
            <w:vAlign w:val="center"/>
          </w:tcPr>
          <w:p w14:paraId="7CA4A394">
            <w:pPr>
              <w:jc w:val="right"/>
              <w:rPr>
                <w:sz w:val="18"/>
                <w:szCs w:val="18"/>
              </w:rPr>
            </w:pPr>
          </w:p>
        </w:tc>
        <w:tc>
          <w:tcPr>
            <w:tcW w:w="426" w:type="pct"/>
            <w:vAlign w:val="center"/>
          </w:tcPr>
          <w:p w14:paraId="53245515">
            <w:pPr>
              <w:jc w:val="right"/>
              <w:rPr>
                <w:sz w:val="18"/>
                <w:szCs w:val="18"/>
              </w:rPr>
            </w:pPr>
          </w:p>
        </w:tc>
        <w:tc>
          <w:tcPr>
            <w:tcW w:w="486" w:type="pct"/>
            <w:vAlign w:val="center"/>
          </w:tcPr>
          <w:p w14:paraId="33E0EB42">
            <w:pPr>
              <w:jc w:val="right"/>
              <w:rPr>
                <w:sz w:val="18"/>
                <w:szCs w:val="18"/>
              </w:rPr>
            </w:pPr>
          </w:p>
        </w:tc>
      </w:tr>
      <w:tr w14:paraId="077D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d7da1c1428f3471c9d74c89a582725d7"/>
            <w:id w:val="1321385753"/>
          </w:sdtPr>
          <w:sdtContent>
            <w:tc>
              <w:tcPr>
                <w:tcW w:w="576" w:type="pct"/>
                <w:vAlign w:val="center"/>
              </w:tcPr>
              <w:p w14:paraId="7040F358">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1．本期提取</w:t>
                </w:r>
              </w:p>
            </w:tc>
          </w:sdtContent>
        </w:sdt>
        <w:tc>
          <w:tcPr>
            <w:tcW w:w="486" w:type="pct"/>
            <w:vAlign w:val="center"/>
          </w:tcPr>
          <w:p w14:paraId="06C47B25">
            <w:pPr>
              <w:jc w:val="right"/>
              <w:rPr>
                <w:sz w:val="18"/>
                <w:szCs w:val="18"/>
              </w:rPr>
            </w:pPr>
          </w:p>
        </w:tc>
        <w:tc>
          <w:tcPr>
            <w:tcW w:w="89" w:type="pct"/>
            <w:vAlign w:val="center"/>
          </w:tcPr>
          <w:p w14:paraId="3AB4FDCD">
            <w:pPr>
              <w:jc w:val="right"/>
              <w:rPr>
                <w:sz w:val="18"/>
                <w:szCs w:val="18"/>
              </w:rPr>
            </w:pPr>
          </w:p>
        </w:tc>
        <w:tc>
          <w:tcPr>
            <w:tcW w:w="88" w:type="pct"/>
            <w:vAlign w:val="center"/>
          </w:tcPr>
          <w:p w14:paraId="4C7986A0">
            <w:pPr>
              <w:jc w:val="right"/>
              <w:rPr>
                <w:sz w:val="18"/>
                <w:szCs w:val="18"/>
              </w:rPr>
            </w:pPr>
          </w:p>
        </w:tc>
        <w:tc>
          <w:tcPr>
            <w:tcW w:w="89" w:type="pct"/>
            <w:vAlign w:val="center"/>
          </w:tcPr>
          <w:p w14:paraId="6D2E8A34">
            <w:pPr>
              <w:jc w:val="right"/>
              <w:rPr>
                <w:sz w:val="18"/>
                <w:szCs w:val="18"/>
              </w:rPr>
            </w:pPr>
          </w:p>
        </w:tc>
        <w:tc>
          <w:tcPr>
            <w:tcW w:w="442" w:type="pct"/>
            <w:vAlign w:val="center"/>
          </w:tcPr>
          <w:p w14:paraId="2D78E42E">
            <w:pPr>
              <w:jc w:val="right"/>
              <w:rPr>
                <w:sz w:val="18"/>
                <w:szCs w:val="18"/>
              </w:rPr>
            </w:pPr>
          </w:p>
        </w:tc>
        <w:tc>
          <w:tcPr>
            <w:tcW w:w="133" w:type="pct"/>
            <w:vAlign w:val="center"/>
          </w:tcPr>
          <w:p w14:paraId="11D672C9">
            <w:pPr>
              <w:jc w:val="right"/>
              <w:rPr>
                <w:sz w:val="18"/>
                <w:szCs w:val="18"/>
              </w:rPr>
            </w:pPr>
          </w:p>
        </w:tc>
        <w:tc>
          <w:tcPr>
            <w:tcW w:w="398" w:type="pct"/>
            <w:vAlign w:val="center"/>
          </w:tcPr>
          <w:p w14:paraId="6AFE33BA">
            <w:pPr>
              <w:jc w:val="right"/>
              <w:rPr>
                <w:sz w:val="18"/>
                <w:szCs w:val="18"/>
              </w:rPr>
            </w:pPr>
          </w:p>
        </w:tc>
        <w:tc>
          <w:tcPr>
            <w:tcW w:w="89" w:type="pct"/>
            <w:vAlign w:val="center"/>
          </w:tcPr>
          <w:p w14:paraId="351354F1">
            <w:pPr>
              <w:jc w:val="right"/>
              <w:rPr>
                <w:sz w:val="18"/>
                <w:szCs w:val="18"/>
              </w:rPr>
            </w:pPr>
          </w:p>
        </w:tc>
        <w:tc>
          <w:tcPr>
            <w:tcW w:w="442" w:type="pct"/>
            <w:vAlign w:val="center"/>
          </w:tcPr>
          <w:p w14:paraId="41AE6A75">
            <w:pPr>
              <w:jc w:val="right"/>
              <w:rPr>
                <w:sz w:val="18"/>
                <w:szCs w:val="18"/>
              </w:rPr>
            </w:pPr>
          </w:p>
        </w:tc>
        <w:tc>
          <w:tcPr>
            <w:tcW w:w="133" w:type="pct"/>
            <w:vAlign w:val="center"/>
          </w:tcPr>
          <w:p w14:paraId="5B36DA3A">
            <w:pPr>
              <w:jc w:val="right"/>
              <w:rPr>
                <w:sz w:val="18"/>
                <w:szCs w:val="18"/>
              </w:rPr>
            </w:pPr>
          </w:p>
        </w:tc>
        <w:tc>
          <w:tcPr>
            <w:tcW w:w="487" w:type="pct"/>
            <w:vAlign w:val="center"/>
          </w:tcPr>
          <w:p w14:paraId="625EC719">
            <w:pPr>
              <w:jc w:val="right"/>
              <w:rPr>
                <w:sz w:val="18"/>
                <w:szCs w:val="18"/>
              </w:rPr>
            </w:pPr>
          </w:p>
        </w:tc>
        <w:tc>
          <w:tcPr>
            <w:tcW w:w="133" w:type="pct"/>
            <w:vAlign w:val="center"/>
          </w:tcPr>
          <w:p w14:paraId="6908F6BA">
            <w:pPr>
              <w:jc w:val="right"/>
              <w:rPr>
                <w:sz w:val="18"/>
                <w:szCs w:val="18"/>
              </w:rPr>
            </w:pPr>
          </w:p>
        </w:tc>
        <w:tc>
          <w:tcPr>
            <w:tcW w:w="503" w:type="pct"/>
            <w:vAlign w:val="center"/>
          </w:tcPr>
          <w:p w14:paraId="17EE25F3">
            <w:pPr>
              <w:jc w:val="right"/>
              <w:rPr>
                <w:sz w:val="18"/>
                <w:szCs w:val="18"/>
              </w:rPr>
            </w:pPr>
          </w:p>
        </w:tc>
        <w:tc>
          <w:tcPr>
            <w:tcW w:w="426" w:type="pct"/>
            <w:vAlign w:val="center"/>
          </w:tcPr>
          <w:p w14:paraId="26328FBB">
            <w:pPr>
              <w:jc w:val="right"/>
              <w:rPr>
                <w:sz w:val="18"/>
                <w:szCs w:val="18"/>
              </w:rPr>
            </w:pPr>
          </w:p>
        </w:tc>
        <w:tc>
          <w:tcPr>
            <w:tcW w:w="486" w:type="pct"/>
            <w:vAlign w:val="center"/>
          </w:tcPr>
          <w:p w14:paraId="7CC0B21A">
            <w:pPr>
              <w:jc w:val="right"/>
              <w:rPr>
                <w:sz w:val="18"/>
                <w:szCs w:val="18"/>
              </w:rPr>
            </w:pPr>
          </w:p>
        </w:tc>
      </w:tr>
      <w:tr w14:paraId="0052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f11a5c1cf32e432cb3dba158baca32fc"/>
            <w:id w:val="-1882327259"/>
          </w:sdtPr>
          <w:sdtContent>
            <w:tc>
              <w:tcPr>
                <w:tcW w:w="576" w:type="pct"/>
                <w:vAlign w:val="center"/>
              </w:tcPr>
              <w:p w14:paraId="74A3E027">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2．本期使用</w:t>
                </w:r>
              </w:p>
            </w:tc>
          </w:sdtContent>
        </w:sdt>
        <w:tc>
          <w:tcPr>
            <w:tcW w:w="486" w:type="pct"/>
            <w:vAlign w:val="center"/>
          </w:tcPr>
          <w:p w14:paraId="4DDB30CD">
            <w:pPr>
              <w:jc w:val="right"/>
              <w:rPr>
                <w:sz w:val="18"/>
                <w:szCs w:val="18"/>
              </w:rPr>
            </w:pPr>
          </w:p>
        </w:tc>
        <w:tc>
          <w:tcPr>
            <w:tcW w:w="89" w:type="pct"/>
            <w:vAlign w:val="center"/>
          </w:tcPr>
          <w:p w14:paraId="6CEC1365">
            <w:pPr>
              <w:jc w:val="right"/>
              <w:rPr>
                <w:sz w:val="18"/>
                <w:szCs w:val="18"/>
              </w:rPr>
            </w:pPr>
          </w:p>
        </w:tc>
        <w:tc>
          <w:tcPr>
            <w:tcW w:w="88" w:type="pct"/>
            <w:vAlign w:val="center"/>
          </w:tcPr>
          <w:p w14:paraId="37B0EB40">
            <w:pPr>
              <w:jc w:val="right"/>
              <w:rPr>
                <w:sz w:val="18"/>
                <w:szCs w:val="18"/>
              </w:rPr>
            </w:pPr>
          </w:p>
        </w:tc>
        <w:tc>
          <w:tcPr>
            <w:tcW w:w="89" w:type="pct"/>
            <w:vAlign w:val="center"/>
          </w:tcPr>
          <w:p w14:paraId="193DBCE9">
            <w:pPr>
              <w:jc w:val="right"/>
              <w:rPr>
                <w:sz w:val="18"/>
                <w:szCs w:val="18"/>
              </w:rPr>
            </w:pPr>
          </w:p>
        </w:tc>
        <w:tc>
          <w:tcPr>
            <w:tcW w:w="442" w:type="pct"/>
            <w:vAlign w:val="center"/>
          </w:tcPr>
          <w:p w14:paraId="7084F522">
            <w:pPr>
              <w:jc w:val="right"/>
              <w:rPr>
                <w:sz w:val="18"/>
                <w:szCs w:val="18"/>
              </w:rPr>
            </w:pPr>
          </w:p>
        </w:tc>
        <w:tc>
          <w:tcPr>
            <w:tcW w:w="133" w:type="pct"/>
            <w:vAlign w:val="center"/>
          </w:tcPr>
          <w:p w14:paraId="37BD05EC">
            <w:pPr>
              <w:jc w:val="right"/>
              <w:rPr>
                <w:sz w:val="18"/>
                <w:szCs w:val="18"/>
              </w:rPr>
            </w:pPr>
          </w:p>
        </w:tc>
        <w:tc>
          <w:tcPr>
            <w:tcW w:w="398" w:type="pct"/>
            <w:vAlign w:val="center"/>
          </w:tcPr>
          <w:p w14:paraId="69991037">
            <w:pPr>
              <w:jc w:val="right"/>
              <w:rPr>
                <w:sz w:val="18"/>
                <w:szCs w:val="18"/>
              </w:rPr>
            </w:pPr>
          </w:p>
        </w:tc>
        <w:tc>
          <w:tcPr>
            <w:tcW w:w="89" w:type="pct"/>
            <w:vAlign w:val="center"/>
          </w:tcPr>
          <w:p w14:paraId="300FF3E2">
            <w:pPr>
              <w:jc w:val="right"/>
              <w:rPr>
                <w:sz w:val="18"/>
                <w:szCs w:val="18"/>
              </w:rPr>
            </w:pPr>
          </w:p>
        </w:tc>
        <w:tc>
          <w:tcPr>
            <w:tcW w:w="442" w:type="pct"/>
            <w:vAlign w:val="center"/>
          </w:tcPr>
          <w:p w14:paraId="6F0C0023">
            <w:pPr>
              <w:jc w:val="right"/>
              <w:rPr>
                <w:sz w:val="18"/>
                <w:szCs w:val="18"/>
              </w:rPr>
            </w:pPr>
          </w:p>
        </w:tc>
        <w:tc>
          <w:tcPr>
            <w:tcW w:w="133" w:type="pct"/>
            <w:vAlign w:val="center"/>
          </w:tcPr>
          <w:p w14:paraId="3A6E3327">
            <w:pPr>
              <w:jc w:val="right"/>
              <w:rPr>
                <w:sz w:val="18"/>
                <w:szCs w:val="18"/>
              </w:rPr>
            </w:pPr>
          </w:p>
        </w:tc>
        <w:tc>
          <w:tcPr>
            <w:tcW w:w="487" w:type="pct"/>
            <w:vAlign w:val="center"/>
          </w:tcPr>
          <w:p w14:paraId="30AD4380">
            <w:pPr>
              <w:jc w:val="right"/>
              <w:rPr>
                <w:sz w:val="18"/>
                <w:szCs w:val="18"/>
              </w:rPr>
            </w:pPr>
          </w:p>
        </w:tc>
        <w:tc>
          <w:tcPr>
            <w:tcW w:w="133" w:type="pct"/>
            <w:vAlign w:val="center"/>
          </w:tcPr>
          <w:p w14:paraId="0203414C">
            <w:pPr>
              <w:jc w:val="right"/>
              <w:rPr>
                <w:sz w:val="18"/>
                <w:szCs w:val="18"/>
              </w:rPr>
            </w:pPr>
          </w:p>
        </w:tc>
        <w:tc>
          <w:tcPr>
            <w:tcW w:w="503" w:type="pct"/>
            <w:vAlign w:val="center"/>
          </w:tcPr>
          <w:p w14:paraId="51ECB223">
            <w:pPr>
              <w:jc w:val="right"/>
              <w:rPr>
                <w:sz w:val="18"/>
                <w:szCs w:val="18"/>
              </w:rPr>
            </w:pPr>
          </w:p>
        </w:tc>
        <w:tc>
          <w:tcPr>
            <w:tcW w:w="426" w:type="pct"/>
            <w:vAlign w:val="center"/>
          </w:tcPr>
          <w:p w14:paraId="007AC508">
            <w:pPr>
              <w:jc w:val="right"/>
              <w:rPr>
                <w:sz w:val="18"/>
                <w:szCs w:val="18"/>
              </w:rPr>
            </w:pPr>
          </w:p>
        </w:tc>
        <w:tc>
          <w:tcPr>
            <w:tcW w:w="486" w:type="pct"/>
            <w:vAlign w:val="center"/>
          </w:tcPr>
          <w:p w14:paraId="00E585FF">
            <w:pPr>
              <w:jc w:val="right"/>
              <w:rPr>
                <w:sz w:val="18"/>
                <w:szCs w:val="18"/>
              </w:rPr>
            </w:pPr>
          </w:p>
        </w:tc>
      </w:tr>
      <w:tr w14:paraId="3BBF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749e92980f334c9cae023bb1dba136fc"/>
            <w:id w:val="-1218356176"/>
          </w:sdtPr>
          <w:sdtContent>
            <w:tc>
              <w:tcPr>
                <w:tcW w:w="576" w:type="pct"/>
                <w:vAlign w:val="center"/>
              </w:tcPr>
              <w:p w14:paraId="6EE356FF">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（六）其他</w:t>
                </w:r>
              </w:p>
            </w:tc>
          </w:sdtContent>
        </w:sdt>
        <w:tc>
          <w:tcPr>
            <w:tcW w:w="486" w:type="pct"/>
            <w:vAlign w:val="center"/>
          </w:tcPr>
          <w:p w14:paraId="228D5D36">
            <w:pPr>
              <w:jc w:val="right"/>
              <w:rPr>
                <w:sz w:val="18"/>
                <w:szCs w:val="18"/>
              </w:rPr>
            </w:pPr>
          </w:p>
        </w:tc>
        <w:tc>
          <w:tcPr>
            <w:tcW w:w="89" w:type="pct"/>
            <w:vAlign w:val="center"/>
          </w:tcPr>
          <w:p w14:paraId="243D9A17">
            <w:pPr>
              <w:jc w:val="right"/>
              <w:rPr>
                <w:sz w:val="18"/>
                <w:szCs w:val="18"/>
              </w:rPr>
            </w:pPr>
          </w:p>
        </w:tc>
        <w:tc>
          <w:tcPr>
            <w:tcW w:w="88" w:type="pct"/>
            <w:vAlign w:val="center"/>
          </w:tcPr>
          <w:p w14:paraId="6A4D240B">
            <w:pPr>
              <w:jc w:val="right"/>
              <w:rPr>
                <w:sz w:val="18"/>
                <w:szCs w:val="18"/>
              </w:rPr>
            </w:pPr>
          </w:p>
        </w:tc>
        <w:tc>
          <w:tcPr>
            <w:tcW w:w="89" w:type="pct"/>
            <w:vAlign w:val="center"/>
          </w:tcPr>
          <w:p w14:paraId="2C6CA2F9">
            <w:pPr>
              <w:jc w:val="right"/>
              <w:rPr>
                <w:sz w:val="18"/>
                <w:szCs w:val="18"/>
              </w:rPr>
            </w:pPr>
          </w:p>
        </w:tc>
        <w:tc>
          <w:tcPr>
            <w:tcW w:w="442" w:type="pct"/>
            <w:vAlign w:val="center"/>
          </w:tcPr>
          <w:p w14:paraId="5EB4F04A">
            <w:pPr>
              <w:jc w:val="right"/>
              <w:rPr>
                <w:sz w:val="18"/>
                <w:szCs w:val="18"/>
              </w:rPr>
            </w:pPr>
          </w:p>
        </w:tc>
        <w:tc>
          <w:tcPr>
            <w:tcW w:w="133" w:type="pct"/>
            <w:vAlign w:val="center"/>
          </w:tcPr>
          <w:p w14:paraId="5E732BCF">
            <w:pPr>
              <w:jc w:val="right"/>
              <w:rPr>
                <w:sz w:val="18"/>
                <w:szCs w:val="18"/>
              </w:rPr>
            </w:pPr>
          </w:p>
        </w:tc>
        <w:tc>
          <w:tcPr>
            <w:tcW w:w="398" w:type="pct"/>
            <w:vAlign w:val="center"/>
          </w:tcPr>
          <w:p w14:paraId="036497BE">
            <w:pPr>
              <w:jc w:val="right"/>
              <w:rPr>
                <w:sz w:val="18"/>
                <w:szCs w:val="18"/>
              </w:rPr>
            </w:pPr>
          </w:p>
        </w:tc>
        <w:tc>
          <w:tcPr>
            <w:tcW w:w="89" w:type="pct"/>
            <w:vAlign w:val="center"/>
          </w:tcPr>
          <w:p w14:paraId="451E0AF2">
            <w:pPr>
              <w:jc w:val="right"/>
              <w:rPr>
                <w:sz w:val="18"/>
                <w:szCs w:val="18"/>
              </w:rPr>
            </w:pPr>
          </w:p>
        </w:tc>
        <w:tc>
          <w:tcPr>
            <w:tcW w:w="442" w:type="pct"/>
            <w:vAlign w:val="center"/>
          </w:tcPr>
          <w:p w14:paraId="2C96C539">
            <w:pPr>
              <w:jc w:val="right"/>
              <w:rPr>
                <w:sz w:val="18"/>
                <w:szCs w:val="18"/>
              </w:rPr>
            </w:pPr>
          </w:p>
        </w:tc>
        <w:tc>
          <w:tcPr>
            <w:tcW w:w="133" w:type="pct"/>
            <w:vAlign w:val="center"/>
          </w:tcPr>
          <w:p w14:paraId="2F18F758">
            <w:pPr>
              <w:jc w:val="right"/>
              <w:rPr>
                <w:sz w:val="18"/>
                <w:szCs w:val="18"/>
              </w:rPr>
            </w:pPr>
          </w:p>
        </w:tc>
        <w:tc>
          <w:tcPr>
            <w:tcW w:w="487" w:type="pct"/>
            <w:vAlign w:val="center"/>
          </w:tcPr>
          <w:p w14:paraId="6BD5CA6D">
            <w:pPr>
              <w:jc w:val="right"/>
              <w:rPr>
                <w:sz w:val="18"/>
                <w:szCs w:val="18"/>
              </w:rPr>
            </w:pPr>
          </w:p>
        </w:tc>
        <w:tc>
          <w:tcPr>
            <w:tcW w:w="133" w:type="pct"/>
            <w:vAlign w:val="center"/>
          </w:tcPr>
          <w:p w14:paraId="03C3A12D">
            <w:pPr>
              <w:jc w:val="right"/>
              <w:rPr>
                <w:sz w:val="18"/>
                <w:szCs w:val="18"/>
              </w:rPr>
            </w:pPr>
          </w:p>
        </w:tc>
        <w:tc>
          <w:tcPr>
            <w:tcW w:w="503" w:type="pct"/>
            <w:vAlign w:val="center"/>
          </w:tcPr>
          <w:p w14:paraId="030AEC48">
            <w:pPr>
              <w:jc w:val="right"/>
              <w:rPr>
                <w:sz w:val="18"/>
                <w:szCs w:val="18"/>
              </w:rPr>
            </w:pPr>
          </w:p>
        </w:tc>
        <w:tc>
          <w:tcPr>
            <w:tcW w:w="426" w:type="pct"/>
            <w:vAlign w:val="center"/>
          </w:tcPr>
          <w:p w14:paraId="55172AB8">
            <w:pPr>
              <w:jc w:val="right"/>
              <w:rPr>
                <w:sz w:val="18"/>
                <w:szCs w:val="18"/>
              </w:rPr>
            </w:pPr>
          </w:p>
        </w:tc>
        <w:tc>
          <w:tcPr>
            <w:tcW w:w="486" w:type="pct"/>
            <w:vAlign w:val="center"/>
          </w:tcPr>
          <w:p w14:paraId="74CEC742">
            <w:pPr>
              <w:jc w:val="right"/>
              <w:rPr>
                <w:sz w:val="18"/>
                <w:szCs w:val="18"/>
              </w:rPr>
            </w:pPr>
          </w:p>
        </w:tc>
      </w:tr>
      <w:tr w14:paraId="12EE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e9c8435b637745858c6ad855ad7bbea0"/>
            <w:id w:val="66236324"/>
          </w:sdtPr>
          <w:sdtContent>
            <w:tc>
              <w:tcPr>
                <w:tcW w:w="576" w:type="pct"/>
                <w:vAlign w:val="center"/>
              </w:tcPr>
              <w:p w14:paraId="304E0BC9">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四、本期期末余额</w:t>
                </w:r>
              </w:p>
            </w:tc>
          </w:sdtContent>
        </w:sdt>
        <w:tc>
          <w:tcPr>
            <w:tcW w:w="486" w:type="pct"/>
            <w:vAlign w:val="center"/>
          </w:tcPr>
          <w:p w14:paraId="3D26FBD5">
            <w:pPr>
              <w:jc w:val="right"/>
              <w:rPr>
                <w:sz w:val="18"/>
                <w:szCs w:val="18"/>
              </w:rPr>
            </w:pPr>
            <w:r>
              <w:rPr>
                <w:sz w:val="18"/>
                <w:szCs w:val="18"/>
              </w:rPr>
              <w:t>1,460,994,304.00</w:t>
            </w:r>
          </w:p>
        </w:tc>
        <w:tc>
          <w:tcPr>
            <w:tcW w:w="89" w:type="pct"/>
            <w:vAlign w:val="center"/>
          </w:tcPr>
          <w:p w14:paraId="1B97DDBE">
            <w:pPr>
              <w:jc w:val="right"/>
              <w:rPr>
                <w:sz w:val="18"/>
                <w:szCs w:val="18"/>
              </w:rPr>
            </w:pPr>
          </w:p>
        </w:tc>
        <w:tc>
          <w:tcPr>
            <w:tcW w:w="88" w:type="pct"/>
            <w:vAlign w:val="center"/>
          </w:tcPr>
          <w:p w14:paraId="2C2280D1">
            <w:pPr>
              <w:jc w:val="right"/>
              <w:rPr>
                <w:sz w:val="18"/>
                <w:szCs w:val="18"/>
              </w:rPr>
            </w:pPr>
          </w:p>
        </w:tc>
        <w:tc>
          <w:tcPr>
            <w:tcW w:w="89" w:type="pct"/>
            <w:vAlign w:val="center"/>
          </w:tcPr>
          <w:p w14:paraId="42B48DA5">
            <w:pPr>
              <w:jc w:val="right"/>
              <w:rPr>
                <w:sz w:val="18"/>
                <w:szCs w:val="18"/>
              </w:rPr>
            </w:pPr>
          </w:p>
        </w:tc>
        <w:tc>
          <w:tcPr>
            <w:tcW w:w="442" w:type="pct"/>
            <w:vAlign w:val="center"/>
          </w:tcPr>
          <w:p w14:paraId="23AAC3DE">
            <w:pPr>
              <w:jc w:val="right"/>
              <w:rPr>
                <w:sz w:val="18"/>
                <w:szCs w:val="18"/>
              </w:rPr>
            </w:pPr>
            <w:r>
              <w:rPr>
                <w:sz w:val="18"/>
                <w:szCs w:val="18"/>
              </w:rPr>
              <w:t>394,938,785.79</w:t>
            </w:r>
          </w:p>
        </w:tc>
        <w:tc>
          <w:tcPr>
            <w:tcW w:w="133" w:type="pct"/>
            <w:vAlign w:val="center"/>
          </w:tcPr>
          <w:p w14:paraId="6928D5B7">
            <w:pPr>
              <w:jc w:val="right"/>
              <w:rPr>
                <w:sz w:val="18"/>
                <w:szCs w:val="18"/>
              </w:rPr>
            </w:pPr>
          </w:p>
        </w:tc>
        <w:tc>
          <w:tcPr>
            <w:tcW w:w="398" w:type="pct"/>
            <w:vAlign w:val="center"/>
          </w:tcPr>
          <w:p w14:paraId="5E9BC4EA">
            <w:pPr>
              <w:jc w:val="right"/>
              <w:rPr>
                <w:sz w:val="18"/>
                <w:szCs w:val="18"/>
              </w:rPr>
            </w:pPr>
            <w:r>
              <w:rPr>
                <w:sz w:val="18"/>
                <w:szCs w:val="18"/>
              </w:rPr>
              <w:t>97,731,844.14</w:t>
            </w:r>
          </w:p>
        </w:tc>
        <w:tc>
          <w:tcPr>
            <w:tcW w:w="89" w:type="pct"/>
            <w:vAlign w:val="center"/>
          </w:tcPr>
          <w:p w14:paraId="18DE3361">
            <w:pPr>
              <w:jc w:val="right"/>
              <w:rPr>
                <w:sz w:val="18"/>
                <w:szCs w:val="18"/>
              </w:rPr>
            </w:pPr>
          </w:p>
        </w:tc>
        <w:tc>
          <w:tcPr>
            <w:tcW w:w="442" w:type="pct"/>
            <w:vAlign w:val="center"/>
          </w:tcPr>
          <w:p w14:paraId="1F65D912">
            <w:pPr>
              <w:jc w:val="right"/>
              <w:rPr>
                <w:sz w:val="18"/>
                <w:szCs w:val="18"/>
              </w:rPr>
            </w:pPr>
            <w:r>
              <w:rPr>
                <w:sz w:val="18"/>
                <w:szCs w:val="18"/>
              </w:rPr>
              <w:t>264,198,620.28</w:t>
            </w:r>
          </w:p>
        </w:tc>
        <w:tc>
          <w:tcPr>
            <w:tcW w:w="133" w:type="pct"/>
            <w:vAlign w:val="center"/>
          </w:tcPr>
          <w:p w14:paraId="2145504C">
            <w:pPr>
              <w:jc w:val="right"/>
              <w:rPr>
                <w:sz w:val="18"/>
                <w:szCs w:val="18"/>
              </w:rPr>
            </w:pPr>
          </w:p>
        </w:tc>
        <w:tc>
          <w:tcPr>
            <w:tcW w:w="487" w:type="pct"/>
            <w:vAlign w:val="center"/>
          </w:tcPr>
          <w:p w14:paraId="7B263565">
            <w:pPr>
              <w:jc w:val="right"/>
              <w:rPr>
                <w:sz w:val="18"/>
                <w:szCs w:val="18"/>
              </w:rPr>
            </w:pPr>
            <w:r>
              <w:rPr>
                <w:sz w:val="18"/>
                <w:szCs w:val="18"/>
              </w:rPr>
              <w:t>1,200,594,015.07</w:t>
            </w:r>
          </w:p>
        </w:tc>
        <w:tc>
          <w:tcPr>
            <w:tcW w:w="133" w:type="pct"/>
            <w:vAlign w:val="center"/>
          </w:tcPr>
          <w:p w14:paraId="03DB4FF7">
            <w:pPr>
              <w:jc w:val="right"/>
              <w:rPr>
                <w:sz w:val="18"/>
                <w:szCs w:val="18"/>
              </w:rPr>
            </w:pPr>
          </w:p>
        </w:tc>
        <w:tc>
          <w:tcPr>
            <w:tcW w:w="503" w:type="pct"/>
            <w:vAlign w:val="center"/>
          </w:tcPr>
          <w:p w14:paraId="0F977C58">
            <w:pPr>
              <w:jc w:val="right"/>
              <w:rPr>
                <w:sz w:val="18"/>
                <w:szCs w:val="18"/>
              </w:rPr>
            </w:pPr>
            <w:r>
              <w:rPr>
                <w:sz w:val="18"/>
                <w:szCs w:val="18"/>
              </w:rPr>
              <w:t>3,418,457,569.28</w:t>
            </w:r>
          </w:p>
        </w:tc>
        <w:tc>
          <w:tcPr>
            <w:tcW w:w="426" w:type="pct"/>
            <w:vAlign w:val="center"/>
          </w:tcPr>
          <w:p w14:paraId="4189E5A1">
            <w:pPr>
              <w:jc w:val="right"/>
              <w:rPr>
                <w:sz w:val="18"/>
                <w:szCs w:val="18"/>
              </w:rPr>
            </w:pPr>
            <w:r>
              <w:rPr>
                <w:sz w:val="18"/>
                <w:szCs w:val="18"/>
              </w:rPr>
              <w:t>15,477,707.44</w:t>
            </w:r>
          </w:p>
        </w:tc>
        <w:tc>
          <w:tcPr>
            <w:tcW w:w="486" w:type="pct"/>
            <w:vAlign w:val="center"/>
          </w:tcPr>
          <w:p w14:paraId="623B2B07">
            <w:pPr>
              <w:jc w:val="right"/>
              <w:rPr>
                <w:sz w:val="18"/>
                <w:szCs w:val="18"/>
              </w:rPr>
            </w:pPr>
            <w:r>
              <w:rPr>
                <w:sz w:val="18"/>
                <w:szCs w:val="18"/>
              </w:rPr>
              <w:t>3,433,935,276.72</w:t>
            </w:r>
          </w:p>
        </w:tc>
      </w:tr>
    </w:tbl>
    <w:p w14:paraId="63D8EE43">
      <w:pPr>
        <w:rPr>
          <w:color w:val="000000" w:themeColor="text1"/>
          <w14:textFill>
            <w14:solidFill>
              <w14:schemeClr w14:val="tx1"/>
            </w14:solidFill>
          </w14:textFill>
        </w:rPr>
      </w:pPr>
    </w:p>
    <w:p w14:paraId="1439736F">
      <w:pPr>
        <w:snapToGrid w:val="0"/>
        <w:spacing w:line="240" w:lineRule="atLeast"/>
        <w:rPr>
          <w:b/>
          <w:bCs w:val="0"/>
          <w:color w:val="000000" w:themeColor="text1"/>
          <w14:textFill>
            <w14:solidFill>
              <w14:schemeClr w14:val="tx1"/>
            </w14:solidFill>
          </w14:textFill>
        </w:rPr>
      </w:pPr>
      <w:r>
        <w:rPr>
          <w:color w:val="000000" w:themeColor="text1"/>
          <w14:textFill>
            <w14:solidFill>
              <w14:schemeClr w14:val="tx1"/>
            </w14:solidFill>
          </w14:textFill>
        </w:rPr>
        <w:t>公司负责人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公司负责人"/>
          <w:tag w:val="_GBC_076a4a0998a840bab20f0ed83e5bab3d"/>
          <w:id w:val="-2055382783"/>
          <w:placeholder>
            <w:docPart w:val="GBC22222222222222222222222222222"/>
          </w:placeholder>
          <w:dataBinding w:prefixMappings="xmlns:clcid-mr='clcid-mr'" w:xpath="/*/clcid-mr:GongSi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唐传勤</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主管会计工作负责人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主管会计工作负责人姓名"/>
          <w:tag w:val="_GBC_5b21002df9e248fa81a6770579ce76cd"/>
          <w:id w:val="-564412568"/>
          <w:placeholder>
            <w:docPart w:val="GBC22222222222222222222222222222"/>
          </w:placeholder>
          <w:dataBinding w:prefixMappings="xmlns:clcid-mr='clcid-mr'" w:xpath="/*/clcid-mr:ZhuGuanKuaiJiGongZuo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宋荣超</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会计机构负责人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会计机构负责人姓名"/>
          <w:tag w:val="_GBC_6a446d6543174dc48c72d440eefb0b71"/>
          <w:id w:val="1556896069"/>
          <w:placeholder>
            <w:docPart w:val="GBC22222222222222222222222222222"/>
          </w:placeholder>
          <w:dataBinding w:prefixMappings="xmlns:clcid-mr='clcid-mr'" w:xpath="/*/clcid-mr:KuaiJiJiGou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张小嫘</w:t>
          </w:r>
        </w:sdtContent>
      </w:sdt>
    </w:p>
    <w:p w14:paraId="7B0E1CCC">
      <w:pPr>
        <w:rPr>
          <w:color w:val="000000" w:themeColor="text1"/>
          <w14:textFill>
            <w14:solidFill>
              <w14:schemeClr w14:val="tx1"/>
            </w14:solidFill>
          </w14:textFill>
        </w:rPr>
      </w:pPr>
    </w:p>
    <w:p w14:paraId="6773B624">
      <w:pPr>
        <w:rPr>
          <w:color w:val="000000" w:themeColor="text1"/>
          <w14:textFill>
            <w14:solidFill>
              <w14:schemeClr w14:val="tx1"/>
            </w14:solidFill>
          </w14:textFill>
        </w:rPr>
      </w:pPr>
    </w:p>
    <w:p w14:paraId="5D1F82FB">
      <w:pPr>
        <w:pStyle w:val="4"/>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母公司</w:t>
      </w:r>
      <w:r>
        <w:rPr>
          <w:rFonts w:hint="eastAsia" w:ascii="宋体" w:hAnsi="宋体"/>
          <w:color w:val="000000" w:themeColor="text1"/>
          <w14:textFill>
            <w14:solidFill>
              <w14:schemeClr w14:val="tx1"/>
            </w14:solidFill>
          </w14:textFill>
        </w:rPr>
        <w:t>所有者权益变动表</w:t>
      </w:r>
    </w:p>
    <w:p w14:paraId="1CF0B359">
      <w:pPr>
        <w:tabs>
          <w:tab w:val="left" w:pos="10080"/>
        </w:tabs>
        <w:snapToGrid w:val="0"/>
        <w:spacing w:line="240" w:lineRule="atLeast"/>
        <w:ind w:right="25" w:rightChars="12"/>
        <w:jc w:val="center"/>
        <w:rPr>
          <w:b/>
          <w:bCs w:val="0"/>
          <w:color w:val="000000" w:themeColor="text1"/>
          <w14:textFill>
            <w14:solidFill>
              <w14:schemeClr w14:val="tx1"/>
            </w14:solidFill>
          </w14:textFill>
        </w:rPr>
      </w:pPr>
      <w:r>
        <w:rPr>
          <w:color w:val="000000" w:themeColor="text1"/>
          <w14:textFill>
            <w14:solidFill>
              <w14:schemeClr w14:val="tx1"/>
            </w14:solidFill>
          </w14:textFill>
        </w:rPr>
        <w:t>2026年</w:t>
      </w:r>
      <w:r>
        <w:rPr>
          <w:rFonts w:hint="eastAsia"/>
          <w:color w:val="000000" w:themeColor="text1"/>
          <w14:textFill>
            <w14:solidFill>
              <w14:schemeClr w14:val="tx1"/>
            </w14:solidFill>
          </w14:textFill>
        </w:rPr>
        <w:t>1—6</w:t>
      </w:r>
      <w:r>
        <w:rPr>
          <w:color w:val="000000" w:themeColor="text1"/>
          <w14:textFill>
            <w14:solidFill>
              <w14:schemeClr w14:val="tx1"/>
            </w14:solidFill>
          </w14:textFill>
        </w:rPr>
        <w:t>月</w:t>
      </w:r>
    </w:p>
    <w:p w14:paraId="591D20D7">
      <w:pPr>
        <w:snapToGrid w:val="0"/>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单位：</w:t>
      </w:r>
      <w:sdt>
        <w:sdtPr>
          <w:rPr>
            <w:color w:val="000000" w:themeColor="text1"/>
            <w14:textFill>
              <w14:solidFill>
                <w14:schemeClr w14:val="tx1"/>
              </w14:solidFill>
            </w14:textFill>
          </w:rPr>
          <w:alias w:val="单位：母公司股东权益调节表"/>
          <w:tag w:val="_GBC_048773409e614c6bb753000b028316a5"/>
          <w:id w:val="2778453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元</w:t>
          </w:r>
        </w:sdtContent>
      </w:sdt>
      <w:r>
        <w:rPr>
          <w:color w:val="000000" w:themeColor="text1"/>
          <w14:textFill>
            <w14:solidFill>
              <w14:schemeClr w14:val="tx1"/>
            </w14:solidFill>
          </w14:textFill>
        </w:rPr>
        <w:t xml:space="preserve"> 币种：</w:t>
      </w:r>
      <w:sdt>
        <w:sdtPr>
          <w:rPr>
            <w:color w:val="000000" w:themeColor="text1"/>
            <w14:textFill>
              <w14:solidFill>
                <w14:schemeClr w14:val="tx1"/>
              </w14:solidFill>
            </w14:textFill>
          </w:rPr>
          <w:alias w:val="币种：母公司股东权益调节表"/>
          <w:tag w:val="_GBC_5214b7a188334da286fc3038d017d072"/>
          <w:id w:val="2946478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人民币</w:t>
          </w:r>
        </w:sdtContent>
      </w:sdt>
    </w:p>
    <w:tbl>
      <w:tblPr>
        <w:tblStyle w:val="37"/>
        <w:tblW w:w="139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50"/>
        <w:gridCol w:w="1656"/>
        <w:gridCol w:w="472"/>
        <w:gridCol w:w="379"/>
        <w:gridCol w:w="425"/>
        <w:gridCol w:w="1417"/>
        <w:gridCol w:w="567"/>
        <w:gridCol w:w="1418"/>
        <w:gridCol w:w="709"/>
        <w:gridCol w:w="1417"/>
        <w:gridCol w:w="1559"/>
        <w:gridCol w:w="1491"/>
      </w:tblGrid>
      <w:tr w14:paraId="19485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e16babcb874e4410be91226aac3d24db"/>
            <w:id w:val="-1201466100"/>
          </w:sdtPr>
          <w:sdtContent>
            <w:tc>
              <w:tcPr>
                <w:tcW w:w="2450" w:type="dxa"/>
                <w:vMerge w:val="restart"/>
                <w:vAlign w:val="center"/>
              </w:tcPr>
              <w:p w14:paraId="4D81CB32">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项目</w:t>
                </w:r>
              </w:p>
            </w:tc>
          </w:sdtContent>
        </w:sdt>
        <w:tc>
          <w:tcPr>
            <w:tcW w:w="11510" w:type="dxa"/>
            <w:gridSpan w:val="11"/>
            <w:vAlign w:val="center"/>
          </w:tcPr>
          <w:p w14:paraId="075D1702">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sdt>
              <w:sdtPr>
                <w:tag w:val="_PLD_f6e21c3ce66d4e148eea3bf743a653b8"/>
                <w:id w:val="-1496561445"/>
              </w:sdtPr>
              <w:sdtContent>
                <w:r>
                  <w:rPr>
                    <w:rFonts w:hint="eastAsia"/>
                    <w:color w:val="000000" w:themeColor="text1"/>
                    <w:sz w:val="18"/>
                    <w14:textFill>
                      <w14:solidFill>
                        <w14:schemeClr w14:val="tx1"/>
                      </w14:solidFill>
                    </w14:textFill>
                  </w:rPr>
                  <w:t>2026年半年度</w:t>
                </w:r>
              </w:sdtContent>
            </w:sdt>
          </w:p>
        </w:tc>
      </w:tr>
      <w:tr w14:paraId="603EC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2450" w:type="dxa"/>
            <w:vMerge w:val="continue"/>
            <w:vAlign w:val="center"/>
          </w:tcPr>
          <w:p w14:paraId="06A659AA">
            <w:pPr>
              <w:adjustRightInd w:val="0"/>
              <w:snapToGrid w:val="0"/>
              <w:rPr>
                <w:color w:val="000000" w:themeColor="text1"/>
                <w:sz w:val="18"/>
                <w:szCs w:val="18"/>
                <w14:textFill>
                  <w14:solidFill>
                    <w14:schemeClr w14:val="tx1"/>
                  </w14:solidFill>
                </w14:textFill>
              </w:rPr>
            </w:pPr>
          </w:p>
        </w:tc>
        <w:sdt>
          <w:sdtPr>
            <w:tag w:val="_PLD_0b6e9703ed65458cb162afd47e6cc9f5"/>
            <w:id w:val="1248303728"/>
          </w:sdtPr>
          <w:sdtContent>
            <w:tc>
              <w:tcPr>
                <w:tcW w:w="1656" w:type="dxa"/>
                <w:vMerge w:val="restart"/>
                <w:tcBorders>
                  <w:right w:val="single" w:color="auto" w:sz="4" w:space="0"/>
                </w:tcBorders>
                <w:vAlign w:val="center"/>
              </w:tcPr>
              <w:p w14:paraId="36CA769F">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实收资本</w:t>
                </w:r>
                <w:r>
                  <w:rPr>
                    <w:color w:val="000000" w:themeColor="text1"/>
                    <w:sz w:val="18"/>
                    <w:szCs w:val="18"/>
                    <w14:textFill>
                      <w14:solidFill>
                        <w14:schemeClr w14:val="tx1"/>
                      </w14:solidFill>
                    </w14:textFill>
                  </w:rPr>
                  <w:t xml:space="preserve"> (或股本)</w:t>
                </w:r>
              </w:p>
            </w:tc>
          </w:sdtContent>
        </w:sdt>
        <w:sdt>
          <w:sdtPr>
            <w:tag w:val="_PLD_385a3413585444238bb59d181b958311"/>
            <w:id w:val="684791826"/>
          </w:sdtPr>
          <w:sdtContent>
            <w:tc>
              <w:tcPr>
                <w:tcW w:w="1276" w:type="dxa"/>
                <w:gridSpan w:val="3"/>
                <w:tcBorders>
                  <w:left w:val="single" w:color="auto" w:sz="4" w:space="0"/>
                  <w:bottom w:val="single" w:color="auto" w:sz="4" w:space="0"/>
                </w:tcBorders>
                <w:vAlign w:val="center"/>
              </w:tcPr>
              <w:p w14:paraId="10357D84">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其他权益工具</w:t>
                </w:r>
              </w:p>
            </w:tc>
          </w:sdtContent>
        </w:sdt>
        <w:sdt>
          <w:sdtPr>
            <w:tag w:val="_PLD_670488de432c4150880353e82f6ebb21"/>
            <w:id w:val="-1173181731"/>
          </w:sdtPr>
          <w:sdtContent>
            <w:tc>
              <w:tcPr>
                <w:tcW w:w="1417" w:type="dxa"/>
                <w:vMerge w:val="restart"/>
                <w:vAlign w:val="center"/>
              </w:tcPr>
              <w:p w14:paraId="6F1CFCEE">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资本公积</w:t>
                </w:r>
              </w:p>
            </w:tc>
          </w:sdtContent>
        </w:sdt>
        <w:sdt>
          <w:sdtPr>
            <w:tag w:val="_PLD_c1c25c4e521b4e8aba5ccfef16a558c5"/>
            <w:id w:val="1068459046"/>
          </w:sdtPr>
          <w:sdtContent>
            <w:tc>
              <w:tcPr>
                <w:tcW w:w="567" w:type="dxa"/>
                <w:vMerge w:val="restart"/>
                <w:vAlign w:val="center"/>
              </w:tcPr>
              <w:p w14:paraId="46201758">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减：库存股</w:t>
                </w:r>
              </w:p>
            </w:tc>
          </w:sdtContent>
        </w:sdt>
        <w:sdt>
          <w:sdtPr>
            <w:tag w:val="_PLD_4ef83c170ca54a08ac6fcebc6a487dcd"/>
            <w:id w:val="1627431002"/>
          </w:sdtPr>
          <w:sdtContent>
            <w:tc>
              <w:tcPr>
                <w:tcW w:w="1418" w:type="dxa"/>
                <w:vMerge w:val="restart"/>
                <w:vAlign w:val="center"/>
              </w:tcPr>
              <w:p w14:paraId="582C5F9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其他综合收益</w:t>
                </w:r>
              </w:p>
            </w:tc>
          </w:sdtContent>
        </w:sdt>
        <w:sdt>
          <w:sdtPr>
            <w:tag w:val="_PLD_5a42f2a835d44138928915520fc5e902"/>
            <w:id w:val="135077931"/>
          </w:sdtPr>
          <w:sdtContent>
            <w:tc>
              <w:tcPr>
                <w:tcW w:w="709" w:type="dxa"/>
                <w:vMerge w:val="restart"/>
                <w:vAlign w:val="center"/>
              </w:tcPr>
              <w:p w14:paraId="395AF3ED">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专项储备</w:t>
                </w:r>
              </w:p>
            </w:tc>
          </w:sdtContent>
        </w:sdt>
        <w:sdt>
          <w:sdtPr>
            <w:tag w:val="_PLD_dbef0e1514f54b8ab8b43e975d3451b6"/>
            <w:id w:val="1712464584"/>
          </w:sdtPr>
          <w:sdtContent>
            <w:tc>
              <w:tcPr>
                <w:tcW w:w="1417" w:type="dxa"/>
                <w:vMerge w:val="restart"/>
                <w:vAlign w:val="center"/>
              </w:tcPr>
              <w:p w14:paraId="714C920D">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盈余公积</w:t>
                </w:r>
              </w:p>
            </w:tc>
          </w:sdtContent>
        </w:sdt>
        <w:sdt>
          <w:sdtPr>
            <w:tag w:val="_PLD_63b6c2969ec64e7abb1802f027c1069a"/>
            <w:id w:val="-1851100409"/>
          </w:sdtPr>
          <w:sdtContent>
            <w:tc>
              <w:tcPr>
                <w:tcW w:w="1559" w:type="dxa"/>
                <w:vMerge w:val="restart"/>
                <w:vAlign w:val="center"/>
              </w:tcPr>
              <w:p w14:paraId="218BFD74">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未分配利润</w:t>
                </w:r>
              </w:p>
            </w:tc>
          </w:sdtContent>
        </w:sdt>
        <w:sdt>
          <w:sdtPr>
            <w:tag w:val="_PLD_cdd38492b3a84e28b52c6700432babfd"/>
            <w:id w:val="618112959"/>
          </w:sdtPr>
          <w:sdtContent>
            <w:tc>
              <w:tcPr>
                <w:tcW w:w="1491" w:type="dxa"/>
                <w:vMerge w:val="restart"/>
                <w:vAlign w:val="center"/>
              </w:tcPr>
              <w:p w14:paraId="12870104">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所有者权益合计</w:t>
                </w:r>
              </w:p>
            </w:tc>
          </w:sdtContent>
        </w:sdt>
      </w:tr>
      <w:tr w14:paraId="68191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2450" w:type="dxa"/>
            <w:vMerge w:val="continue"/>
            <w:vAlign w:val="center"/>
          </w:tcPr>
          <w:p w14:paraId="627C596E">
            <w:pPr>
              <w:adjustRightInd w:val="0"/>
              <w:snapToGrid w:val="0"/>
              <w:rPr>
                <w:color w:val="000000" w:themeColor="text1"/>
                <w:sz w:val="18"/>
                <w:szCs w:val="18"/>
                <w14:textFill>
                  <w14:solidFill>
                    <w14:schemeClr w14:val="tx1"/>
                  </w14:solidFill>
                </w14:textFill>
              </w:rPr>
            </w:pPr>
          </w:p>
        </w:tc>
        <w:tc>
          <w:tcPr>
            <w:tcW w:w="1656" w:type="dxa"/>
            <w:vMerge w:val="continue"/>
            <w:tcBorders>
              <w:right w:val="single" w:color="auto" w:sz="4" w:space="0"/>
            </w:tcBorders>
            <w:vAlign w:val="center"/>
          </w:tcPr>
          <w:p w14:paraId="577FAB2C">
            <w:pPr>
              <w:adjustRightInd w:val="0"/>
              <w:snapToGrid w:val="0"/>
              <w:jc w:val="center"/>
              <w:rPr>
                <w:color w:val="000000" w:themeColor="text1"/>
                <w:sz w:val="18"/>
                <w:szCs w:val="18"/>
                <w14:textFill>
                  <w14:solidFill>
                    <w14:schemeClr w14:val="tx1"/>
                  </w14:solidFill>
                </w14:textFill>
              </w:rPr>
            </w:pPr>
          </w:p>
        </w:tc>
        <w:sdt>
          <w:sdtPr>
            <w:tag w:val="_PLD_90c1cf3c29414463ba491093caed23a7"/>
            <w:id w:val="-1233614709"/>
          </w:sdtPr>
          <w:sdtContent>
            <w:tc>
              <w:tcPr>
                <w:tcW w:w="472" w:type="dxa"/>
                <w:tcBorders>
                  <w:top w:val="single" w:color="auto" w:sz="4" w:space="0"/>
                  <w:left w:val="single" w:color="auto" w:sz="4" w:space="0"/>
                  <w:right w:val="single" w:color="auto" w:sz="4" w:space="0"/>
                </w:tcBorders>
                <w:vAlign w:val="center"/>
              </w:tcPr>
              <w:p w14:paraId="57D6AB7F">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优先股</w:t>
                </w:r>
              </w:p>
            </w:tc>
          </w:sdtContent>
        </w:sdt>
        <w:sdt>
          <w:sdtPr>
            <w:tag w:val="_PLD_7dac20c025664b94b7a2176be4c24d00"/>
            <w:id w:val="263738820"/>
          </w:sdtPr>
          <w:sdtContent>
            <w:tc>
              <w:tcPr>
                <w:tcW w:w="379" w:type="dxa"/>
                <w:tcBorders>
                  <w:top w:val="single" w:color="auto" w:sz="4" w:space="0"/>
                  <w:left w:val="single" w:color="auto" w:sz="4" w:space="0"/>
                  <w:right w:val="single" w:color="auto" w:sz="4" w:space="0"/>
                </w:tcBorders>
                <w:vAlign w:val="center"/>
              </w:tcPr>
              <w:p w14:paraId="617E1248">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永续债</w:t>
                </w:r>
              </w:p>
            </w:tc>
          </w:sdtContent>
        </w:sdt>
        <w:sdt>
          <w:sdtPr>
            <w:tag w:val="_PLD_23829f284d5149ee92e64b94083b1ade"/>
            <w:id w:val="-1658534227"/>
          </w:sdtPr>
          <w:sdtContent>
            <w:tc>
              <w:tcPr>
                <w:tcW w:w="425" w:type="dxa"/>
                <w:tcBorders>
                  <w:top w:val="single" w:color="auto" w:sz="4" w:space="0"/>
                  <w:left w:val="single" w:color="auto" w:sz="4" w:space="0"/>
                </w:tcBorders>
                <w:vAlign w:val="center"/>
              </w:tcPr>
              <w:p w14:paraId="3C904A9E">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w:t>
                </w:r>
              </w:p>
            </w:tc>
          </w:sdtContent>
        </w:sdt>
        <w:tc>
          <w:tcPr>
            <w:tcW w:w="1417" w:type="dxa"/>
            <w:vMerge w:val="continue"/>
            <w:vAlign w:val="center"/>
          </w:tcPr>
          <w:p w14:paraId="068B6FE9">
            <w:pPr>
              <w:adjustRightInd w:val="0"/>
              <w:snapToGrid w:val="0"/>
              <w:jc w:val="center"/>
              <w:rPr>
                <w:color w:val="000000" w:themeColor="text1"/>
                <w:sz w:val="18"/>
                <w:szCs w:val="18"/>
                <w14:textFill>
                  <w14:solidFill>
                    <w14:schemeClr w14:val="tx1"/>
                  </w14:solidFill>
                </w14:textFill>
              </w:rPr>
            </w:pPr>
          </w:p>
        </w:tc>
        <w:tc>
          <w:tcPr>
            <w:tcW w:w="567" w:type="dxa"/>
            <w:vMerge w:val="continue"/>
            <w:vAlign w:val="center"/>
          </w:tcPr>
          <w:p w14:paraId="2E50EF53">
            <w:pPr>
              <w:adjustRightInd w:val="0"/>
              <w:snapToGrid w:val="0"/>
              <w:jc w:val="center"/>
              <w:rPr>
                <w:color w:val="000000" w:themeColor="text1"/>
                <w:sz w:val="18"/>
                <w:szCs w:val="18"/>
                <w14:textFill>
                  <w14:solidFill>
                    <w14:schemeClr w14:val="tx1"/>
                  </w14:solidFill>
                </w14:textFill>
              </w:rPr>
            </w:pPr>
          </w:p>
        </w:tc>
        <w:tc>
          <w:tcPr>
            <w:tcW w:w="1418" w:type="dxa"/>
            <w:vMerge w:val="continue"/>
            <w:vAlign w:val="center"/>
          </w:tcPr>
          <w:p w14:paraId="71FA0709">
            <w:pPr>
              <w:jc w:val="center"/>
              <w:rPr>
                <w:color w:val="000000" w:themeColor="text1"/>
                <w:sz w:val="18"/>
                <w:szCs w:val="18"/>
                <w14:textFill>
                  <w14:solidFill>
                    <w14:schemeClr w14:val="tx1"/>
                  </w14:solidFill>
                </w14:textFill>
              </w:rPr>
            </w:pPr>
          </w:p>
        </w:tc>
        <w:tc>
          <w:tcPr>
            <w:tcW w:w="709" w:type="dxa"/>
            <w:vMerge w:val="continue"/>
            <w:vAlign w:val="center"/>
          </w:tcPr>
          <w:p w14:paraId="1FECD3D7">
            <w:pPr>
              <w:adjustRightInd w:val="0"/>
              <w:snapToGrid w:val="0"/>
              <w:jc w:val="center"/>
              <w:rPr>
                <w:color w:val="000000" w:themeColor="text1"/>
                <w:sz w:val="18"/>
                <w:szCs w:val="18"/>
                <w14:textFill>
                  <w14:solidFill>
                    <w14:schemeClr w14:val="tx1"/>
                  </w14:solidFill>
                </w14:textFill>
              </w:rPr>
            </w:pPr>
          </w:p>
        </w:tc>
        <w:tc>
          <w:tcPr>
            <w:tcW w:w="1417" w:type="dxa"/>
            <w:vMerge w:val="continue"/>
            <w:vAlign w:val="center"/>
          </w:tcPr>
          <w:p w14:paraId="5B87A46A">
            <w:pPr>
              <w:adjustRightInd w:val="0"/>
              <w:snapToGrid w:val="0"/>
              <w:jc w:val="center"/>
              <w:rPr>
                <w:color w:val="000000" w:themeColor="text1"/>
                <w:sz w:val="18"/>
                <w:szCs w:val="18"/>
                <w14:textFill>
                  <w14:solidFill>
                    <w14:schemeClr w14:val="tx1"/>
                  </w14:solidFill>
                </w14:textFill>
              </w:rPr>
            </w:pPr>
          </w:p>
        </w:tc>
        <w:tc>
          <w:tcPr>
            <w:tcW w:w="1559" w:type="dxa"/>
            <w:vMerge w:val="continue"/>
            <w:vAlign w:val="center"/>
          </w:tcPr>
          <w:p w14:paraId="7DBB5105">
            <w:pPr>
              <w:adjustRightInd w:val="0"/>
              <w:snapToGrid w:val="0"/>
              <w:jc w:val="center"/>
              <w:rPr>
                <w:color w:val="000000" w:themeColor="text1"/>
                <w:sz w:val="18"/>
                <w:szCs w:val="18"/>
                <w14:textFill>
                  <w14:solidFill>
                    <w14:schemeClr w14:val="tx1"/>
                  </w14:solidFill>
                </w14:textFill>
              </w:rPr>
            </w:pPr>
          </w:p>
        </w:tc>
        <w:tc>
          <w:tcPr>
            <w:tcW w:w="1491" w:type="dxa"/>
            <w:vMerge w:val="continue"/>
            <w:vAlign w:val="center"/>
          </w:tcPr>
          <w:p w14:paraId="162016D8">
            <w:pPr>
              <w:adjustRightInd w:val="0"/>
              <w:snapToGrid w:val="0"/>
              <w:jc w:val="center"/>
              <w:rPr>
                <w:color w:val="000000" w:themeColor="text1"/>
                <w:sz w:val="18"/>
                <w:szCs w:val="18"/>
                <w14:textFill>
                  <w14:solidFill>
                    <w14:schemeClr w14:val="tx1"/>
                  </w14:solidFill>
                </w14:textFill>
              </w:rPr>
            </w:pPr>
          </w:p>
        </w:tc>
      </w:tr>
      <w:tr w14:paraId="57E93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b5131b53bda244fcbd76916797d6b666"/>
            <w:id w:val="1139152057"/>
          </w:sdtPr>
          <w:sdtContent>
            <w:tc>
              <w:tcPr>
                <w:tcW w:w="2450" w:type="dxa"/>
                <w:vAlign w:val="center"/>
              </w:tcPr>
              <w:p w14:paraId="24A80709">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一、上年</w:t>
                </w:r>
                <w:r>
                  <w:rPr>
                    <w:rFonts w:hint="eastAsia"/>
                    <w:color w:val="000000" w:themeColor="text1"/>
                    <w:sz w:val="18"/>
                    <w:szCs w:val="18"/>
                    <w14:textFill>
                      <w14:solidFill>
                        <w14:schemeClr w14:val="tx1"/>
                      </w14:solidFill>
                    </w14:textFill>
                  </w:rPr>
                  <w:t>期</w:t>
                </w:r>
                <w:r>
                  <w:rPr>
                    <w:color w:val="000000" w:themeColor="text1"/>
                    <w:sz w:val="18"/>
                    <w:szCs w:val="18"/>
                    <w14:textFill>
                      <w14:solidFill>
                        <w14:schemeClr w14:val="tx1"/>
                      </w14:solidFill>
                    </w14:textFill>
                  </w:rPr>
                  <w:t>末余额</w:t>
                </w:r>
              </w:p>
            </w:tc>
          </w:sdtContent>
        </w:sdt>
        <w:tc>
          <w:tcPr>
            <w:tcW w:w="1656" w:type="dxa"/>
            <w:tcBorders>
              <w:right w:val="single" w:color="auto" w:sz="4" w:space="0"/>
            </w:tcBorders>
            <w:vAlign w:val="center"/>
          </w:tcPr>
          <w:p w14:paraId="5D22B291">
            <w:pPr>
              <w:jc w:val="right"/>
              <w:rPr>
                <w:sz w:val="18"/>
                <w:szCs w:val="18"/>
              </w:rPr>
            </w:pPr>
            <w:r>
              <w:rPr>
                <w:sz w:val="18"/>
                <w:szCs w:val="18"/>
              </w:rPr>
              <w:t>1,460,994,304.00</w:t>
            </w:r>
          </w:p>
        </w:tc>
        <w:tc>
          <w:tcPr>
            <w:tcW w:w="472" w:type="dxa"/>
            <w:tcBorders>
              <w:left w:val="single" w:color="auto" w:sz="4" w:space="0"/>
              <w:right w:val="single" w:color="auto" w:sz="4" w:space="0"/>
            </w:tcBorders>
            <w:vAlign w:val="center"/>
          </w:tcPr>
          <w:p w14:paraId="17295DC3">
            <w:pPr>
              <w:jc w:val="right"/>
              <w:rPr>
                <w:sz w:val="18"/>
                <w:szCs w:val="18"/>
              </w:rPr>
            </w:pPr>
          </w:p>
        </w:tc>
        <w:tc>
          <w:tcPr>
            <w:tcW w:w="379" w:type="dxa"/>
            <w:tcBorders>
              <w:left w:val="single" w:color="auto" w:sz="4" w:space="0"/>
              <w:right w:val="single" w:color="auto" w:sz="4" w:space="0"/>
            </w:tcBorders>
            <w:vAlign w:val="center"/>
          </w:tcPr>
          <w:p w14:paraId="28FEC9B3">
            <w:pPr>
              <w:jc w:val="right"/>
              <w:rPr>
                <w:sz w:val="18"/>
                <w:szCs w:val="18"/>
              </w:rPr>
            </w:pPr>
          </w:p>
        </w:tc>
        <w:tc>
          <w:tcPr>
            <w:tcW w:w="425" w:type="dxa"/>
            <w:tcBorders>
              <w:left w:val="single" w:color="auto" w:sz="4" w:space="0"/>
              <w:right w:val="single" w:color="auto" w:sz="4" w:space="0"/>
            </w:tcBorders>
            <w:vAlign w:val="center"/>
          </w:tcPr>
          <w:p w14:paraId="518C92EC">
            <w:pPr>
              <w:jc w:val="right"/>
              <w:rPr>
                <w:sz w:val="18"/>
                <w:szCs w:val="18"/>
              </w:rPr>
            </w:pPr>
          </w:p>
        </w:tc>
        <w:tc>
          <w:tcPr>
            <w:tcW w:w="1417" w:type="dxa"/>
            <w:tcBorders>
              <w:left w:val="single" w:color="auto" w:sz="4" w:space="0"/>
            </w:tcBorders>
            <w:vAlign w:val="center"/>
          </w:tcPr>
          <w:p w14:paraId="18ED38BC">
            <w:pPr>
              <w:jc w:val="right"/>
              <w:rPr>
                <w:sz w:val="18"/>
                <w:szCs w:val="18"/>
              </w:rPr>
            </w:pPr>
            <w:r>
              <w:rPr>
                <w:sz w:val="18"/>
                <w:szCs w:val="18"/>
              </w:rPr>
              <w:t>399,925,938.07</w:t>
            </w:r>
          </w:p>
        </w:tc>
        <w:tc>
          <w:tcPr>
            <w:tcW w:w="567" w:type="dxa"/>
            <w:vAlign w:val="center"/>
          </w:tcPr>
          <w:p w14:paraId="5FA64555">
            <w:pPr>
              <w:jc w:val="right"/>
              <w:rPr>
                <w:sz w:val="18"/>
                <w:szCs w:val="18"/>
              </w:rPr>
            </w:pPr>
          </w:p>
        </w:tc>
        <w:tc>
          <w:tcPr>
            <w:tcW w:w="1418" w:type="dxa"/>
            <w:vAlign w:val="center"/>
          </w:tcPr>
          <w:p w14:paraId="08BEC132">
            <w:pPr>
              <w:jc w:val="right"/>
              <w:rPr>
                <w:sz w:val="18"/>
                <w:szCs w:val="18"/>
              </w:rPr>
            </w:pPr>
            <w:r>
              <w:rPr>
                <w:sz w:val="18"/>
                <w:szCs w:val="18"/>
              </w:rPr>
              <w:t>92,779,101.53</w:t>
            </w:r>
          </w:p>
        </w:tc>
        <w:tc>
          <w:tcPr>
            <w:tcW w:w="709" w:type="dxa"/>
            <w:vAlign w:val="center"/>
          </w:tcPr>
          <w:p w14:paraId="1906638C">
            <w:pPr>
              <w:jc w:val="right"/>
              <w:rPr>
                <w:sz w:val="18"/>
                <w:szCs w:val="18"/>
              </w:rPr>
            </w:pPr>
          </w:p>
        </w:tc>
        <w:tc>
          <w:tcPr>
            <w:tcW w:w="1417" w:type="dxa"/>
            <w:vAlign w:val="center"/>
          </w:tcPr>
          <w:p w14:paraId="2525B72C">
            <w:pPr>
              <w:jc w:val="right"/>
              <w:rPr>
                <w:sz w:val="18"/>
                <w:szCs w:val="18"/>
              </w:rPr>
            </w:pPr>
            <w:r>
              <w:rPr>
                <w:sz w:val="18"/>
                <w:szCs w:val="18"/>
              </w:rPr>
              <w:t>270,275,602.84</w:t>
            </w:r>
          </w:p>
        </w:tc>
        <w:tc>
          <w:tcPr>
            <w:tcW w:w="1559" w:type="dxa"/>
            <w:vAlign w:val="center"/>
          </w:tcPr>
          <w:p w14:paraId="32F0C723">
            <w:pPr>
              <w:jc w:val="right"/>
              <w:rPr>
                <w:sz w:val="18"/>
                <w:szCs w:val="18"/>
              </w:rPr>
            </w:pPr>
            <w:r>
              <w:rPr>
                <w:sz w:val="18"/>
                <w:szCs w:val="18"/>
              </w:rPr>
              <w:t>1,548,050,517.09</w:t>
            </w:r>
          </w:p>
        </w:tc>
        <w:tc>
          <w:tcPr>
            <w:tcW w:w="1491" w:type="dxa"/>
            <w:vAlign w:val="center"/>
          </w:tcPr>
          <w:p w14:paraId="5A144D60">
            <w:pPr>
              <w:jc w:val="right"/>
              <w:rPr>
                <w:sz w:val="18"/>
                <w:szCs w:val="18"/>
              </w:rPr>
            </w:pPr>
            <w:r>
              <w:rPr>
                <w:sz w:val="18"/>
                <w:szCs w:val="18"/>
              </w:rPr>
              <w:t>3,772,025,463.53</w:t>
            </w:r>
          </w:p>
        </w:tc>
      </w:tr>
      <w:tr w14:paraId="15E0B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66de901175bd4e50a35a24f0fca7513d"/>
            <w:id w:val="1083491546"/>
          </w:sdtPr>
          <w:sdtContent>
            <w:tc>
              <w:tcPr>
                <w:tcW w:w="2450" w:type="dxa"/>
                <w:vAlign w:val="center"/>
              </w:tcPr>
              <w:p w14:paraId="28DE1DBB">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加：会计政策变更</w:t>
                </w:r>
              </w:p>
            </w:tc>
          </w:sdtContent>
        </w:sdt>
        <w:tc>
          <w:tcPr>
            <w:tcW w:w="1656" w:type="dxa"/>
            <w:tcBorders>
              <w:right w:val="single" w:color="auto" w:sz="4" w:space="0"/>
            </w:tcBorders>
            <w:vAlign w:val="center"/>
          </w:tcPr>
          <w:p w14:paraId="6C27615A">
            <w:pPr>
              <w:jc w:val="right"/>
              <w:rPr>
                <w:sz w:val="18"/>
                <w:szCs w:val="18"/>
              </w:rPr>
            </w:pPr>
          </w:p>
        </w:tc>
        <w:tc>
          <w:tcPr>
            <w:tcW w:w="472" w:type="dxa"/>
            <w:tcBorders>
              <w:left w:val="single" w:color="auto" w:sz="4" w:space="0"/>
              <w:right w:val="single" w:color="auto" w:sz="4" w:space="0"/>
            </w:tcBorders>
            <w:vAlign w:val="center"/>
          </w:tcPr>
          <w:p w14:paraId="3DCEB268">
            <w:pPr>
              <w:jc w:val="right"/>
              <w:rPr>
                <w:sz w:val="18"/>
                <w:szCs w:val="18"/>
              </w:rPr>
            </w:pPr>
          </w:p>
        </w:tc>
        <w:tc>
          <w:tcPr>
            <w:tcW w:w="379" w:type="dxa"/>
            <w:tcBorders>
              <w:left w:val="single" w:color="auto" w:sz="4" w:space="0"/>
              <w:right w:val="single" w:color="auto" w:sz="4" w:space="0"/>
            </w:tcBorders>
            <w:vAlign w:val="center"/>
          </w:tcPr>
          <w:p w14:paraId="3D9F0B3C">
            <w:pPr>
              <w:jc w:val="right"/>
              <w:rPr>
                <w:sz w:val="18"/>
                <w:szCs w:val="18"/>
              </w:rPr>
            </w:pPr>
          </w:p>
        </w:tc>
        <w:tc>
          <w:tcPr>
            <w:tcW w:w="425" w:type="dxa"/>
            <w:tcBorders>
              <w:left w:val="single" w:color="auto" w:sz="4" w:space="0"/>
              <w:right w:val="single" w:color="auto" w:sz="4" w:space="0"/>
            </w:tcBorders>
            <w:vAlign w:val="center"/>
          </w:tcPr>
          <w:p w14:paraId="197ED344">
            <w:pPr>
              <w:jc w:val="right"/>
              <w:rPr>
                <w:sz w:val="18"/>
                <w:szCs w:val="18"/>
              </w:rPr>
            </w:pPr>
          </w:p>
        </w:tc>
        <w:tc>
          <w:tcPr>
            <w:tcW w:w="1417" w:type="dxa"/>
            <w:tcBorders>
              <w:left w:val="single" w:color="auto" w:sz="4" w:space="0"/>
            </w:tcBorders>
            <w:vAlign w:val="center"/>
          </w:tcPr>
          <w:p w14:paraId="317BA2B5">
            <w:pPr>
              <w:jc w:val="right"/>
              <w:rPr>
                <w:sz w:val="18"/>
                <w:szCs w:val="18"/>
              </w:rPr>
            </w:pPr>
          </w:p>
        </w:tc>
        <w:tc>
          <w:tcPr>
            <w:tcW w:w="567" w:type="dxa"/>
            <w:vAlign w:val="center"/>
          </w:tcPr>
          <w:p w14:paraId="6F1DCCC6">
            <w:pPr>
              <w:jc w:val="right"/>
              <w:rPr>
                <w:sz w:val="18"/>
                <w:szCs w:val="18"/>
              </w:rPr>
            </w:pPr>
          </w:p>
        </w:tc>
        <w:tc>
          <w:tcPr>
            <w:tcW w:w="1418" w:type="dxa"/>
            <w:vAlign w:val="center"/>
          </w:tcPr>
          <w:p w14:paraId="6545ABA8">
            <w:pPr>
              <w:jc w:val="right"/>
              <w:rPr>
                <w:sz w:val="18"/>
                <w:szCs w:val="18"/>
              </w:rPr>
            </w:pPr>
          </w:p>
        </w:tc>
        <w:tc>
          <w:tcPr>
            <w:tcW w:w="709" w:type="dxa"/>
            <w:vAlign w:val="center"/>
          </w:tcPr>
          <w:p w14:paraId="3CD7433E">
            <w:pPr>
              <w:jc w:val="right"/>
              <w:rPr>
                <w:sz w:val="18"/>
                <w:szCs w:val="18"/>
              </w:rPr>
            </w:pPr>
          </w:p>
        </w:tc>
        <w:tc>
          <w:tcPr>
            <w:tcW w:w="1417" w:type="dxa"/>
            <w:vAlign w:val="center"/>
          </w:tcPr>
          <w:p w14:paraId="293B7AFD">
            <w:pPr>
              <w:jc w:val="right"/>
              <w:rPr>
                <w:sz w:val="18"/>
                <w:szCs w:val="18"/>
              </w:rPr>
            </w:pPr>
          </w:p>
        </w:tc>
        <w:tc>
          <w:tcPr>
            <w:tcW w:w="1559" w:type="dxa"/>
            <w:vAlign w:val="center"/>
          </w:tcPr>
          <w:p w14:paraId="69EA111A">
            <w:pPr>
              <w:jc w:val="right"/>
              <w:rPr>
                <w:sz w:val="18"/>
                <w:szCs w:val="18"/>
              </w:rPr>
            </w:pPr>
          </w:p>
        </w:tc>
        <w:tc>
          <w:tcPr>
            <w:tcW w:w="1491" w:type="dxa"/>
            <w:vAlign w:val="center"/>
          </w:tcPr>
          <w:p w14:paraId="539F0070">
            <w:pPr>
              <w:jc w:val="right"/>
              <w:rPr>
                <w:sz w:val="18"/>
                <w:szCs w:val="18"/>
              </w:rPr>
            </w:pPr>
          </w:p>
        </w:tc>
      </w:tr>
      <w:tr w14:paraId="31CC5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3bfc3b7951f4488f95a7180f02c989cf"/>
            <w:id w:val="1023754452"/>
          </w:sdtPr>
          <w:sdtContent>
            <w:tc>
              <w:tcPr>
                <w:tcW w:w="2450" w:type="dxa"/>
                <w:vAlign w:val="center"/>
              </w:tcPr>
              <w:p w14:paraId="69823BC7">
                <w:pPr>
                  <w:ind w:firstLine="420" w:firstLineChars="20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前期差错更正</w:t>
                </w:r>
              </w:p>
            </w:tc>
          </w:sdtContent>
        </w:sdt>
        <w:tc>
          <w:tcPr>
            <w:tcW w:w="1656" w:type="dxa"/>
            <w:tcBorders>
              <w:right w:val="single" w:color="auto" w:sz="4" w:space="0"/>
            </w:tcBorders>
            <w:vAlign w:val="center"/>
          </w:tcPr>
          <w:p w14:paraId="443C2792">
            <w:pPr>
              <w:jc w:val="right"/>
              <w:rPr>
                <w:sz w:val="18"/>
                <w:szCs w:val="18"/>
              </w:rPr>
            </w:pPr>
          </w:p>
        </w:tc>
        <w:tc>
          <w:tcPr>
            <w:tcW w:w="472" w:type="dxa"/>
            <w:tcBorders>
              <w:left w:val="single" w:color="auto" w:sz="4" w:space="0"/>
              <w:right w:val="single" w:color="auto" w:sz="4" w:space="0"/>
            </w:tcBorders>
            <w:vAlign w:val="center"/>
          </w:tcPr>
          <w:p w14:paraId="52C6E38E">
            <w:pPr>
              <w:jc w:val="right"/>
              <w:rPr>
                <w:sz w:val="18"/>
                <w:szCs w:val="18"/>
              </w:rPr>
            </w:pPr>
          </w:p>
        </w:tc>
        <w:tc>
          <w:tcPr>
            <w:tcW w:w="379" w:type="dxa"/>
            <w:tcBorders>
              <w:left w:val="single" w:color="auto" w:sz="4" w:space="0"/>
              <w:right w:val="single" w:color="auto" w:sz="4" w:space="0"/>
            </w:tcBorders>
            <w:vAlign w:val="center"/>
          </w:tcPr>
          <w:p w14:paraId="33149E6C">
            <w:pPr>
              <w:jc w:val="right"/>
              <w:rPr>
                <w:sz w:val="18"/>
                <w:szCs w:val="18"/>
              </w:rPr>
            </w:pPr>
          </w:p>
        </w:tc>
        <w:tc>
          <w:tcPr>
            <w:tcW w:w="425" w:type="dxa"/>
            <w:tcBorders>
              <w:left w:val="single" w:color="auto" w:sz="4" w:space="0"/>
              <w:right w:val="single" w:color="auto" w:sz="4" w:space="0"/>
            </w:tcBorders>
            <w:vAlign w:val="center"/>
          </w:tcPr>
          <w:p w14:paraId="390E54ED">
            <w:pPr>
              <w:jc w:val="right"/>
              <w:rPr>
                <w:sz w:val="18"/>
                <w:szCs w:val="18"/>
              </w:rPr>
            </w:pPr>
          </w:p>
        </w:tc>
        <w:tc>
          <w:tcPr>
            <w:tcW w:w="1417" w:type="dxa"/>
            <w:tcBorders>
              <w:left w:val="single" w:color="auto" w:sz="4" w:space="0"/>
            </w:tcBorders>
            <w:vAlign w:val="center"/>
          </w:tcPr>
          <w:p w14:paraId="75DCCAB5">
            <w:pPr>
              <w:jc w:val="right"/>
              <w:rPr>
                <w:sz w:val="18"/>
                <w:szCs w:val="18"/>
              </w:rPr>
            </w:pPr>
          </w:p>
        </w:tc>
        <w:tc>
          <w:tcPr>
            <w:tcW w:w="567" w:type="dxa"/>
            <w:vAlign w:val="center"/>
          </w:tcPr>
          <w:p w14:paraId="32596DF4">
            <w:pPr>
              <w:jc w:val="right"/>
              <w:rPr>
                <w:sz w:val="18"/>
                <w:szCs w:val="18"/>
              </w:rPr>
            </w:pPr>
          </w:p>
        </w:tc>
        <w:tc>
          <w:tcPr>
            <w:tcW w:w="1418" w:type="dxa"/>
            <w:vAlign w:val="center"/>
          </w:tcPr>
          <w:p w14:paraId="2BDBE835">
            <w:pPr>
              <w:jc w:val="right"/>
              <w:rPr>
                <w:sz w:val="18"/>
                <w:szCs w:val="18"/>
              </w:rPr>
            </w:pPr>
          </w:p>
        </w:tc>
        <w:tc>
          <w:tcPr>
            <w:tcW w:w="709" w:type="dxa"/>
            <w:vAlign w:val="center"/>
          </w:tcPr>
          <w:p w14:paraId="2E68066E">
            <w:pPr>
              <w:jc w:val="right"/>
              <w:rPr>
                <w:sz w:val="18"/>
                <w:szCs w:val="18"/>
              </w:rPr>
            </w:pPr>
          </w:p>
        </w:tc>
        <w:tc>
          <w:tcPr>
            <w:tcW w:w="1417" w:type="dxa"/>
            <w:vAlign w:val="center"/>
          </w:tcPr>
          <w:p w14:paraId="67CB873F">
            <w:pPr>
              <w:jc w:val="right"/>
              <w:rPr>
                <w:sz w:val="18"/>
                <w:szCs w:val="18"/>
              </w:rPr>
            </w:pPr>
          </w:p>
        </w:tc>
        <w:tc>
          <w:tcPr>
            <w:tcW w:w="1559" w:type="dxa"/>
            <w:vAlign w:val="center"/>
          </w:tcPr>
          <w:p w14:paraId="06105B33">
            <w:pPr>
              <w:jc w:val="right"/>
              <w:rPr>
                <w:sz w:val="18"/>
                <w:szCs w:val="18"/>
              </w:rPr>
            </w:pPr>
          </w:p>
        </w:tc>
        <w:tc>
          <w:tcPr>
            <w:tcW w:w="1491" w:type="dxa"/>
            <w:vAlign w:val="center"/>
          </w:tcPr>
          <w:p w14:paraId="3C8768CD">
            <w:pPr>
              <w:jc w:val="right"/>
              <w:rPr>
                <w:sz w:val="18"/>
                <w:szCs w:val="18"/>
              </w:rPr>
            </w:pPr>
          </w:p>
        </w:tc>
      </w:tr>
      <w:tr w14:paraId="32A18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dc9b9aaf7e384b1eae7dcabb517c2b1e"/>
            <w:id w:val="1669906449"/>
          </w:sdtPr>
          <w:sdtContent>
            <w:tc>
              <w:tcPr>
                <w:tcW w:w="2450" w:type="dxa"/>
                <w:vAlign w:val="center"/>
              </w:tcPr>
              <w:p w14:paraId="0889170A">
                <w:pPr>
                  <w:ind w:firstLine="42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w:t>
                </w:r>
              </w:p>
            </w:tc>
          </w:sdtContent>
        </w:sdt>
        <w:tc>
          <w:tcPr>
            <w:tcW w:w="1656" w:type="dxa"/>
            <w:tcBorders>
              <w:right w:val="single" w:color="auto" w:sz="4" w:space="0"/>
            </w:tcBorders>
            <w:vAlign w:val="center"/>
          </w:tcPr>
          <w:p w14:paraId="0E458B7D">
            <w:pPr>
              <w:jc w:val="right"/>
              <w:rPr>
                <w:sz w:val="18"/>
                <w:szCs w:val="18"/>
              </w:rPr>
            </w:pPr>
          </w:p>
        </w:tc>
        <w:tc>
          <w:tcPr>
            <w:tcW w:w="472" w:type="dxa"/>
            <w:tcBorders>
              <w:left w:val="single" w:color="auto" w:sz="4" w:space="0"/>
              <w:right w:val="single" w:color="auto" w:sz="4" w:space="0"/>
            </w:tcBorders>
            <w:vAlign w:val="center"/>
          </w:tcPr>
          <w:p w14:paraId="1D04FE5F">
            <w:pPr>
              <w:jc w:val="right"/>
              <w:rPr>
                <w:sz w:val="18"/>
                <w:szCs w:val="18"/>
              </w:rPr>
            </w:pPr>
          </w:p>
        </w:tc>
        <w:tc>
          <w:tcPr>
            <w:tcW w:w="379" w:type="dxa"/>
            <w:tcBorders>
              <w:left w:val="single" w:color="auto" w:sz="4" w:space="0"/>
              <w:right w:val="single" w:color="auto" w:sz="4" w:space="0"/>
            </w:tcBorders>
            <w:vAlign w:val="center"/>
          </w:tcPr>
          <w:p w14:paraId="639F52AF">
            <w:pPr>
              <w:jc w:val="right"/>
              <w:rPr>
                <w:sz w:val="18"/>
                <w:szCs w:val="18"/>
              </w:rPr>
            </w:pPr>
          </w:p>
        </w:tc>
        <w:tc>
          <w:tcPr>
            <w:tcW w:w="425" w:type="dxa"/>
            <w:tcBorders>
              <w:left w:val="single" w:color="auto" w:sz="4" w:space="0"/>
              <w:right w:val="single" w:color="auto" w:sz="4" w:space="0"/>
            </w:tcBorders>
            <w:vAlign w:val="center"/>
          </w:tcPr>
          <w:p w14:paraId="7233EB0C">
            <w:pPr>
              <w:jc w:val="right"/>
              <w:rPr>
                <w:sz w:val="18"/>
                <w:szCs w:val="18"/>
              </w:rPr>
            </w:pPr>
          </w:p>
        </w:tc>
        <w:tc>
          <w:tcPr>
            <w:tcW w:w="1417" w:type="dxa"/>
            <w:tcBorders>
              <w:left w:val="single" w:color="auto" w:sz="4" w:space="0"/>
            </w:tcBorders>
            <w:vAlign w:val="center"/>
          </w:tcPr>
          <w:p w14:paraId="4CCD25A4">
            <w:pPr>
              <w:jc w:val="right"/>
              <w:rPr>
                <w:sz w:val="18"/>
                <w:szCs w:val="18"/>
              </w:rPr>
            </w:pPr>
          </w:p>
        </w:tc>
        <w:tc>
          <w:tcPr>
            <w:tcW w:w="567" w:type="dxa"/>
            <w:vAlign w:val="center"/>
          </w:tcPr>
          <w:p w14:paraId="7529EF33">
            <w:pPr>
              <w:jc w:val="right"/>
              <w:rPr>
                <w:sz w:val="18"/>
                <w:szCs w:val="18"/>
              </w:rPr>
            </w:pPr>
          </w:p>
        </w:tc>
        <w:tc>
          <w:tcPr>
            <w:tcW w:w="1418" w:type="dxa"/>
            <w:vAlign w:val="center"/>
          </w:tcPr>
          <w:p w14:paraId="64CA6392">
            <w:pPr>
              <w:jc w:val="right"/>
              <w:rPr>
                <w:sz w:val="18"/>
                <w:szCs w:val="18"/>
              </w:rPr>
            </w:pPr>
          </w:p>
        </w:tc>
        <w:tc>
          <w:tcPr>
            <w:tcW w:w="709" w:type="dxa"/>
            <w:vAlign w:val="center"/>
          </w:tcPr>
          <w:p w14:paraId="435AD58B">
            <w:pPr>
              <w:jc w:val="right"/>
              <w:rPr>
                <w:sz w:val="18"/>
                <w:szCs w:val="18"/>
              </w:rPr>
            </w:pPr>
          </w:p>
        </w:tc>
        <w:tc>
          <w:tcPr>
            <w:tcW w:w="1417" w:type="dxa"/>
            <w:vAlign w:val="center"/>
          </w:tcPr>
          <w:p w14:paraId="0EBF18DB">
            <w:pPr>
              <w:jc w:val="right"/>
              <w:rPr>
                <w:sz w:val="18"/>
                <w:szCs w:val="18"/>
              </w:rPr>
            </w:pPr>
          </w:p>
        </w:tc>
        <w:tc>
          <w:tcPr>
            <w:tcW w:w="1559" w:type="dxa"/>
            <w:vAlign w:val="center"/>
          </w:tcPr>
          <w:p w14:paraId="5429377D">
            <w:pPr>
              <w:jc w:val="right"/>
              <w:rPr>
                <w:sz w:val="18"/>
                <w:szCs w:val="18"/>
              </w:rPr>
            </w:pPr>
          </w:p>
        </w:tc>
        <w:tc>
          <w:tcPr>
            <w:tcW w:w="1491" w:type="dxa"/>
            <w:vAlign w:val="center"/>
          </w:tcPr>
          <w:p w14:paraId="4C429D83">
            <w:pPr>
              <w:jc w:val="right"/>
              <w:rPr>
                <w:sz w:val="18"/>
                <w:szCs w:val="18"/>
              </w:rPr>
            </w:pPr>
          </w:p>
        </w:tc>
      </w:tr>
      <w:tr w14:paraId="1BAA3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345919472b384d0eb13471ef5f2f5e92"/>
            <w:id w:val="-1241483164"/>
          </w:sdtPr>
          <w:sdtContent>
            <w:tc>
              <w:tcPr>
                <w:tcW w:w="2450" w:type="dxa"/>
                <w:vAlign w:val="center"/>
              </w:tcPr>
              <w:p w14:paraId="790645C5">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二、本年</w:t>
                </w:r>
                <w:r>
                  <w:rPr>
                    <w:rFonts w:hint="eastAsia"/>
                    <w:color w:val="000000" w:themeColor="text1"/>
                    <w:sz w:val="18"/>
                    <w:szCs w:val="18"/>
                    <w14:textFill>
                      <w14:solidFill>
                        <w14:schemeClr w14:val="tx1"/>
                      </w14:solidFill>
                    </w14:textFill>
                  </w:rPr>
                  <w:t>期</w:t>
                </w:r>
                <w:r>
                  <w:rPr>
                    <w:color w:val="000000" w:themeColor="text1"/>
                    <w:sz w:val="18"/>
                    <w:szCs w:val="18"/>
                    <w14:textFill>
                      <w14:solidFill>
                        <w14:schemeClr w14:val="tx1"/>
                      </w14:solidFill>
                    </w14:textFill>
                  </w:rPr>
                  <w:t>初余额</w:t>
                </w:r>
              </w:p>
            </w:tc>
          </w:sdtContent>
        </w:sdt>
        <w:tc>
          <w:tcPr>
            <w:tcW w:w="1656" w:type="dxa"/>
            <w:tcBorders>
              <w:right w:val="single" w:color="auto" w:sz="4" w:space="0"/>
            </w:tcBorders>
            <w:vAlign w:val="center"/>
          </w:tcPr>
          <w:p w14:paraId="00AF80BE">
            <w:pPr>
              <w:jc w:val="right"/>
              <w:rPr>
                <w:sz w:val="18"/>
                <w:szCs w:val="18"/>
              </w:rPr>
            </w:pPr>
            <w:r>
              <w:rPr>
                <w:sz w:val="18"/>
                <w:szCs w:val="18"/>
              </w:rPr>
              <w:t>1,460,994,304.00</w:t>
            </w:r>
          </w:p>
        </w:tc>
        <w:tc>
          <w:tcPr>
            <w:tcW w:w="472" w:type="dxa"/>
            <w:tcBorders>
              <w:left w:val="single" w:color="auto" w:sz="4" w:space="0"/>
              <w:right w:val="single" w:color="auto" w:sz="4" w:space="0"/>
            </w:tcBorders>
            <w:vAlign w:val="center"/>
          </w:tcPr>
          <w:p w14:paraId="67EABB55">
            <w:pPr>
              <w:jc w:val="right"/>
              <w:rPr>
                <w:sz w:val="18"/>
                <w:szCs w:val="18"/>
              </w:rPr>
            </w:pPr>
          </w:p>
        </w:tc>
        <w:tc>
          <w:tcPr>
            <w:tcW w:w="379" w:type="dxa"/>
            <w:tcBorders>
              <w:left w:val="single" w:color="auto" w:sz="4" w:space="0"/>
              <w:right w:val="single" w:color="auto" w:sz="4" w:space="0"/>
            </w:tcBorders>
            <w:vAlign w:val="center"/>
          </w:tcPr>
          <w:p w14:paraId="3321A291">
            <w:pPr>
              <w:jc w:val="right"/>
              <w:rPr>
                <w:sz w:val="18"/>
                <w:szCs w:val="18"/>
              </w:rPr>
            </w:pPr>
          </w:p>
        </w:tc>
        <w:tc>
          <w:tcPr>
            <w:tcW w:w="425" w:type="dxa"/>
            <w:tcBorders>
              <w:left w:val="single" w:color="auto" w:sz="4" w:space="0"/>
              <w:right w:val="single" w:color="auto" w:sz="4" w:space="0"/>
            </w:tcBorders>
            <w:vAlign w:val="center"/>
          </w:tcPr>
          <w:p w14:paraId="2C666F31">
            <w:pPr>
              <w:jc w:val="right"/>
              <w:rPr>
                <w:sz w:val="18"/>
                <w:szCs w:val="18"/>
              </w:rPr>
            </w:pPr>
          </w:p>
        </w:tc>
        <w:tc>
          <w:tcPr>
            <w:tcW w:w="1417" w:type="dxa"/>
            <w:tcBorders>
              <w:left w:val="single" w:color="auto" w:sz="4" w:space="0"/>
            </w:tcBorders>
            <w:vAlign w:val="center"/>
          </w:tcPr>
          <w:p w14:paraId="70C46E75">
            <w:pPr>
              <w:jc w:val="right"/>
              <w:rPr>
                <w:sz w:val="18"/>
                <w:szCs w:val="18"/>
              </w:rPr>
            </w:pPr>
            <w:r>
              <w:rPr>
                <w:sz w:val="18"/>
                <w:szCs w:val="18"/>
              </w:rPr>
              <w:t>399,925,938.07</w:t>
            </w:r>
          </w:p>
        </w:tc>
        <w:tc>
          <w:tcPr>
            <w:tcW w:w="567" w:type="dxa"/>
            <w:vAlign w:val="center"/>
          </w:tcPr>
          <w:p w14:paraId="3ACE7F88">
            <w:pPr>
              <w:jc w:val="right"/>
              <w:rPr>
                <w:sz w:val="18"/>
                <w:szCs w:val="18"/>
              </w:rPr>
            </w:pPr>
          </w:p>
        </w:tc>
        <w:tc>
          <w:tcPr>
            <w:tcW w:w="1418" w:type="dxa"/>
            <w:vAlign w:val="center"/>
          </w:tcPr>
          <w:p w14:paraId="1EFF5628">
            <w:pPr>
              <w:jc w:val="right"/>
              <w:rPr>
                <w:sz w:val="18"/>
                <w:szCs w:val="18"/>
              </w:rPr>
            </w:pPr>
            <w:r>
              <w:rPr>
                <w:sz w:val="18"/>
                <w:szCs w:val="18"/>
              </w:rPr>
              <w:t>92,779,101.53</w:t>
            </w:r>
          </w:p>
        </w:tc>
        <w:tc>
          <w:tcPr>
            <w:tcW w:w="709" w:type="dxa"/>
            <w:vAlign w:val="center"/>
          </w:tcPr>
          <w:p w14:paraId="4498F687">
            <w:pPr>
              <w:jc w:val="right"/>
              <w:rPr>
                <w:sz w:val="18"/>
                <w:szCs w:val="18"/>
              </w:rPr>
            </w:pPr>
          </w:p>
        </w:tc>
        <w:tc>
          <w:tcPr>
            <w:tcW w:w="1417" w:type="dxa"/>
            <w:vAlign w:val="center"/>
          </w:tcPr>
          <w:p w14:paraId="3B366326">
            <w:pPr>
              <w:jc w:val="right"/>
              <w:rPr>
                <w:sz w:val="18"/>
                <w:szCs w:val="18"/>
              </w:rPr>
            </w:pPr>
            <w:r>
              <w:rPr>
                <w:sz w:val="18"/>
                <w:szCs w:val="18"/>
              </w:rPr>
              <w:t>270,275,602.84</w:t>
            </w:r>
          </w:p>
        </w:tc>
        <w:tc>
          <w:tcPr>
            <w:tcW w:w="1559" w:type="dxa"/>
            <w:vAlign w:val="center"/>
          </w:tcPr>
          <w:p w14:paraId="308674EF">
            <w:pPr>
              <w:jc w:val="right"/>
              <w:rPr>
                <w:sz w:val="18"/>
                <w:szCs w:val="18"/>
              </w:rPr>
            </w:pPr>
            <w:r>
              <w:rPr>
                <w:sz w:val="18"/>
                <w:szCs w:val="18"/>
              </w:rPr>
              <w:t>1,548,050,517.09</w:t>
            </w:r>
          </w:p>
        </w:tc>
        <w:tc>
          <w:tcPr>
            <w:tcW w:w="1491" w:type="dxa"/>
            <w:vAlign w:val="center"/>
          </w:tcPr>
          <w:p w14:paraId="3140BD48">
            <w:pPr>
              <w:jc w:val="right"/>
              <w:rPr>
                <w:sz w:val="18"/>
                <w:szCs w:val="18"/>
              </w:rPr>
            </w:pPr>
            <w:r>
              <w:rPr>
                <w:sz w:val="18"/>
                <w:szCs w:val="18"/>
              </w:rPr>
              <w:t>3,772,025,463.53</w:t>
            </w:r>
          </w:p>
        </w:tc>
      </w:tr>
      <w:tr w14:paraId="1F60C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4eea4cc259884a6ab5f2fe018aec3d4e"/>
            <w:id w:val="-455401387"/>
          </w:sdtPr>
          <w:sdtContent>
            <w:tc>
              <w:tcPr>
                <w:tcW w:w="2450" w:type="dxa"/>
                <w:vAlign w:val="center"/>
              </w:tcPr>
              <w:p w14:paraId="6D505BB7">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三、本</w:t>
                </w:r>
                <w:r>
                  <w:rPr>
                    <w:rFonts w:hint="eastAsia"/>
                    <w:color w:val="000000" w:themeColor="text1"/>
                    <w:sz w:val="18"/>
                    <w:szCs w:val="18"/>
                    <w14:textFill>
                      <w14:solidFill>
                        <w14:schemeClr w14:val="tx1"/>
                      </w14:solidFill>
                    </w14:textFill>
                  </w:rPr>
                  <w:t>期</w:t>
                </w:r>
                <w:r>
                  <w:rPr>
                    <w:color w:val="000000" w:themeColor="text1"/>
                    <w:sz w:val="18"/>
                    <w:szCs w:val="18"/>
                    <w14:textFill>
                      <w14:solidFill>
                        <w14:schemeClr w14:val="tx1"/>
                      </w14:solidFill>
                    </w14:textFill>
                  </w:rPr>
                  <w:t>增减变动金额（减少以“</w:t>
                </w: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”号填列）</w:t>
                </w:r>
              </w:p>
            </w:tc>
          </w:sdtContent>
        </w:sdt>
        <w:tc>
          <w:tcPr>
            <w:tcW w:w="1656" w:type="dxa"/>
            <w:tcBorders>
              <w:right w:val="single" w:color="auto" w:sz="4" w:space="0"/>
            </w:tcBorders>
            <w:vAlign w:val="center"/>
          </w:tcPr>
          <w:p w14:paraId="3EDB65E1">
            <w:pPr>
              <w:jc w:val="right"/>
              <w:rPr>
                <w:sz w:val="18"/>
                <w:szCs w:val="18"/>
              </w:rPr>
            </w:pPr>
          </w:p>
        </w:tc>
        <w:tc>
          <w:tcPr>
            <w:tcW w:w="472" w:type="dxa"/>
            <w:tcBorders>
              <w:left w:val="single" w:color="auto" w:sz="4" w:space="0"/>
              <w:right w:val="single" w:color="auto" w:sz="4" w:space="0"/>
            </w:tcBorders>
            <w:vAlign w:val="center"/>
          </w:tcPr>
          <w:p w14:paraId="01E03FE2">
            <w:pPr>
              <w:jc w:val="right"/>
              <w:rPr>
                <w:sz w:val="18"/>
                <w:szCs w:val="18"/>
              </w:rPr>
            </w:pPr>
          </w:p>
        </w:tc>
        <w:tc>
          <w:tcPr>
            <w:tcW w:w="379" w:type="dxa"/>
            <w:tcBorders>
              <w:left w:val="single" w:color="auto" w:sz="4" w:space="0"/>
              <w:right w:val="single" w:color="auto" w:sz="4" w:space="0"/>
            </w:tcBorders>
            <w:vAlign w:val="center"/>
          </w:tcPr>
          <w:p w14:paraId="12FF7E19">
            <w:pPr>
              <w:jc w:val="right"/>
              <w:rPr>
                <w:sz w:val="18"/>
                <w:szCs w:val="18"/>
              </w:rPr>
            </w:pPr>
          </w:p>
        </w:tc>
        <w:tc>
          <w:tcPr>
            <w:tcW w:w="425" w:type="dxa"/>
            <w:tcBorders>
              <w:left w:val="single" w:color="auto" w:sz="4" w:space="0"/>
            </w:tcBorders>
            <w:vAlign w:val="center"/>
          </w:tcPr>
          <w:p w14:paraId="6E953303">
            <w:pPr>
              <w:jc w:val="right"/>
              <w:rPr>
                <w:sz w:val="18"/>
                <w:szCs w:val="18"/>
              </w:rPr>
            </w:pPr>
          </w:p>
        </w:tc>
        <w:tc>
          <w:tcPr>
            <w:tcW w:w="1417" w:type="dxa"/>
            <w:vAlign w:val="center"/>
          </w:tcPr>
          <w:p w14:paraId="6CD2F831">
            <w:pPr>
              <w:jc w:val="right"/>
              <w:rPr>
                <w:sz w:val="18"/>
                <w:szCs w:val="18"/>
              </w:rPr>
            </w:pPr>
          </w:p>
        </w:tc>
        <w:tc>
          <w:tcPr>
            <w:tcW w:w="567" w:type="dxa"/>
            <w:vAlign w:val="center"/>
          </w:tcPr>
          <w:p w14:paraId="7488649C">
            <w:pPr>
              <w:jc w:val="right"/>
              <w:rPr>
                <w:sz w:val="18"/>
                <w:szCs w:val="18"/>
              </w:rPr>
            </w:pPr>
          </w:p>
        </w:tc>
        <w:tc>
          <w:tcPr>
            <w:tcW w:w="1418" w:type="dxa"/>
            <w:vAlign w:val="center"/>
          </w:tcPr>
          <w:p w14:paraId="2F88BBC5">
            <w:pPr>
              <w:jc w:val="right"/>
              <w:rPr>
                <w:sz w:val="18"/>
                <w:szCs w:val="18"/>
              </w:rPr>
            </w:pPr>
          </w:p>
        </w:tc>
        <w:tc>
          <w:tcPr>
            <w:tcW w:w="709" w:type="dxa"/>
            <w:vAlign w:val="center"/>
          </w:tcPr>
          <w:p w14:paraId="2B983B3A">
            <w:pPr>
              <w:jc w:val="right"/>
              <w:rPr>
                <w:sz w:val="18"/>
                <w:szCs w:val="18"/>
              </w:rPr>
            </w:pPr>
          </w:p>
        </w:tc>
        <w:tc>
          <w:tcPr>
            <w:tcW w:w="1417" w:type="dxa"/>
            <w:vAlign w:val="center"/>
          </w:tcPr>
          <w:p w14:paraId="0A24DE90">
            <w:pPr>
              <w:jc w:val="right"/>
              <w:rPr>
                <w:sz w:val="18"/>
                <w:szCs w:val="18"/>
              </w:rPr>
            </w:pPr>
          </w:p>
        </w:tc>
        <w:tc>
          <w:tcPr>
            <w:tcW w:w="1559" w:type="dxa"/>
            <w:vAlign w:val="center"/>
          </w:tcPr>
          <w:p w14:paraId="437B0085">
            <w:pPr>
              <w:jc w:val="right"/>
              <w:rPr>
                <w:sz w:val="18"/>
                <w:szCs w:val="18"/>
              </w:rPr>
            </w:pPr>
            <w:r>
              <w:rPr>
                <w:sz w:val="18"/>
                <w:szCs w:val="18"/>
              </w:rPr>
              <w:t>13,048,818.38</w:t>
            </w:r>
          </w:p>
        </w:tc>
        <w:tc>
          <w:tcPr>
            <w:tcW w:w="1491" w:type="dxa"/>
            <w:vAlign w:val="center"/>
          </w:tcPr>
          <w:p w14:paraId="60CFCFB9">
            <w:pPr>
              <w:jc w:val="right"/>
              <w:rPr>
                <w:sz w:val="18"/>
                <w:szCs w:val="18"/>
              </w:rPr>
            </w:pPr>
            <w:r>
              <w:rPr>
                <w:sz w:val="18"/>
                <w:szCs w:val="18"/>
              </w:rPr>
              <w:t>13,048,818.38</w:t>
            </w:r>
          </w:p>
        </w:tc>
      </w:tr>
      <w:tr w14:paraId="72B42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c2eb317db9474ea9b9513a40ba81d9f7"/>
            <w:id w:val="-1650278543"/>
          </w:sdtPr>
          <w:sdtContent>
            <w:tc>
              <w:tcPr>
                <w:tcW w:w="2450" w:type="dxa"/>
                <w:vAlign w:val="center"/>
              </w:tcPr>
              <w:p w14:paraId="5F5E033C">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（一）综合收益总额</w:t>
                </w:r>
              </w:p>
            </w:tc>
          </w:sdtContent>
        </w:sdt>
        <w:tc>
          <w:tcPr>
            <w:tcW w:w="1656" w:type="dxa"/>
            <w:tcBorders>
              <w:right w:val="single" w:color="auto" w:sz="4" w:space="0"/>
            </w:tcBorders>
            <w:vAlign w:val="center"/>
          </w:tcPr>
          <w:p w14:paraId="34AF08DD">
            <w:pPr>
              <w:jc w:val="right"/>
              <w:rPr>
                <w:sz w:val="18"/>
                <w:szCs w:val="18"/>
              </w:rPr>
            </w:pPr>
          </w:p>
        </w:tc>
        <w:tc>
          <w:tcPr>
            <w:tcW w:w="472" w:type="dxa"/>
            <w:tcBorders>
              <w:left w:val="single" w:color="auto" w:sz="4" w:space="0"/>
              <w:right w:val="single" w:color="auto" w:sz="4" w:space="0"/>
            </w:tcBorders>
            <w:vAlign w:val="center"/>
          </w:tcPr>
          <w:p w14:paraId="39F3C7A0">
            <w:pPr>
              <w:jc w:val="right"/>
              <w:rPr>
                <w:sz w:val="18"/>
                <w:szCs w:val="18"/>
              </w:rPr>
            </w:pPr>
          </w:p>
        </w:tc>
        <w:tc>
          <w:tcPr>
            <w:tcW w:w="379" w:type="dxa"/>
            <w:tcBorders>
              <w:left w:val="single" w:color="auto" w:sz="4" w:space="0"/>
              <w:right w:val="single" w:color="auto" w:sz="4" w:space="0"/>
            </w:tcBorders>
            <w:vAlign w:val="center"/>
          </w:tcPr>
          <w:p w14:paraId="583E0796">
            <w:pPr>
              <w:jc w:val="right"/>
              <w:rPr>
                <w:sz w:val="18"/>
                <w:szCs w:val="18"/>
              </w:rPr>
            </w:pPr>
          </w:p>
        </w:tc>
        <w:tc>
          <w:tcPr>
            <w:tcW w:w="425" w:type="dxa"/>
            <w:tcBorders>
              <w:left w:val="single" w:color="auto" w:sz="4" w:space="0"/>
            </w:tcBorders>
            <w:vAlign w:val="center"/>
          </w:tcPr>
          <w:p w14:paraId="5EB5E3C0">
            <w:pPr>
              <w:jc w:val="right"/>
              <w:rPr>
                <w:sz w:val="18"/>
                <w:szCs w:val="18"/>
              </w:rPr>
            </w:pPr>
          </w:p>
        </w:tc>
        <w:tc>
          <w:tcPr>
            <w:tcW w:w="1417" w:type="dxa"/>
            <w:vAlign w:val="center"/>
          </w:tcPr>
          <w:p w14:paraId="02EF29ED">
            <w:pPr>
              <w:jc w:val="right"/>
              <w:rPr>
                <w:sz w:val="18"/>
                <w:szCs w:val="18"/>
              </w:rPr>
            </w:pPr>
          </w:p>
        </w:tc>
        <w:tc>
          <w:tcPr>
            <w:tcW w:w="567" w:type="dxa"/>
            <w:vAlign w:val="center"/>
          </w:tcPr>
          <w:p w14:paraId="2C280F2A">
            <w:pPr>
              <w:jc w:val="right"/>
              <w:rPr>
                <w:sz w:val="18"/>
                <w:szCs w:val="18"/>
              </w:rPr>
            </w:pPr>
          </w:p>
        </w:tc>
        <w:tc>
          <w:tcPr>
            <w:tcW w:w="1418" w:type="dxa"/>
            <w:vAlign w:val="center"/>
          </w:tcPr>
          <w:p w14:paraId="17DA7C3B">
            <w:pPr>
              <w:jc w:val="right"/>
              <w:rPr>
                <w:sz w:val="18"/>
                <w:szCs w:val="18"/>
              </w:rPr>
            </w:pPr>
          </w:p>
        </w:tc>
        <w:tc>
          <w:tcPr>
            <w:tcW w:w="709" w:type="dxa"/>
            <w:vAlign w:val="center"/>
          </w:tcPr>
          <w:p w14:paraId="33DC8FDE">
            <w:pPr>
              <w:jc w:val="right"/>
              <w:rPr>
                <w:sz w:val="18"/>
                <w:szCs w:val="18"/>
              </w:rPr>
            </w:pPr>
          </w:p>
        </w:tc>
        <w:tc>
          <w:tcPr>
            <w:tcW w:w="1417" w:type="dxa"/>
            <w:vAlign w:val="center"/>
          </w:tcPr>
          <w:p w14:paraId="2F880679">
            <w:pPr>
              <w:jc w:val="right"/>
              <w:rPr>
                <w:sz w:val="18"/>
                <w:szCs w:val="18"/>
              </w:rPr>
            </w:pPr>
          </w:p>
        </w:tc>
        <w:tc>
          <w:tcPr>
            <w:tcW w:w="1559" w:type="dxa"/>
            <w:vAlign w:val="center"/>
          </w:tcPr>
          <w:p w14:paraId="106D2D19">
            <w:pPr>
              <w:jc w:val="right"/>
              <w:rPr>
                <w:sz w:val="18"/>
                <w:szCs w:val="18"/>
              </w:rPr>
            </w:pPr>
            <w:r>
              <w:rPr>
                <w:sz w:val="18"/>
                <w:szCs w:val="18"/>
              </w:rPr>
              <w:t>22,019,323.41</w:t>
            </w:r>
          </w:p>
        </w:tc>
        <w:tc>
          <w:tcPr>
            <w:tcW w:w="1491" w:type="dxa"/>
            <w:vAlign w:val="center"/>
          </w:tcPr>
          <w:p w14:paraId="4767C317">
            <w:pPr>
              <w:jc w:val="right"/>
              <w:rPr>
                <w:sz w:val="18"/>
                <w:szCs w:val="18"/>
              </w:rPr>
            </w:pPr>
            <w:r>
              <w:rPr>
                <w:sz w:val="18"/>
                <w:szCs w:val="18"/>
              </w:rPr>
              <w:t>22,019,323.41</w:t>
            </w:r>
          </w:p>
        </w:tc>
      </w:tr>
      <w:tr w14:paraId="1B920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2c2c42255e12419d81111ac5d28c5859"/>
            <w:id w:val="-1463720672"/>
          </w:sdtPr>
          <w:sdtContent>
            <w:tc>
              <w:tcPr>
                <w:tcW w:w="2450" w:type="dxa"/>
                <w:vAlign w:val="center"/>
              </w:tcPr>
              <w:p w14:paraId="05383583">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二</w:t>
                </w:r>
                <w:r>
                  <w:rPr>
                    <w:color w:val="000000" w:themeColor="text1"/>
                    <w:sz w:val="18"/>
                    <w:szCs w:val="18"/>
                    <w14:textFill>
                      <w14:solidFill>
                        <w14:schemeClr w14:val="tx1"/>
                      </w14:solidFill>
                    </w14:textFill>
                  </w:rPr>
                  <w:t>）所有者投入和减少资本</w:t>
                </w:r>
              </w:p>
            </w:tc>
          </w:sdtContent>
        </w:sdt>
        <w:tc>
          <w:tcPr>
            <w:tcW w:w="1656" w:type="dxa"/>
            <w:tcBorders>
              <w:right w:val="single" w:color="auto" w:sz="4" w:space="0"/>
            </w:tcBorders>
            <w:vAlign w:val="center"/>
          </w:tcPr>
          <w:p w14:paraId="5869867B">
            <w:pPr>
              <w:jc w:val="right"/>
              <w:rPr>
                <w:sz w:val="18"/>
                <w:szCs w:val="18"/>
              </w:rPr>
            </w:pPr>
          </w:p>
        </w:tc>
        <w:tc>
          <w:tcPr>
            <w:tcW w:w="472" w:type="dxa"/>
            <w:tcBorders>
              <w:left w:val="single" w:color="auto" w:sz="4" w:space="0"/>
              <w:right w:val="single" w:color="auto" w:sz="4" w:space="0"/>
            </w:tcBorders>
            <w:vAlign w:val="center"/>
          </w:tcPr>
          <w:p w14:paraId="6358F6BF">
            <w:pPr>
              <w:jc w:val="right"/>
              <w:rPr>
                <w:sz w:val="18"/>
                <w:szCs w:val="18"/>
              </w:rPr>
            </w:pPr>
          </w:p>
        </w:tc>
        <w:tc>
          <w:tcPr>
            <w:tcW w:w="379" w:type="dxa"/>
            <w:tcBorders>
              <w:left w:val="single" w:color="auto" w:sz="4" w:space="0"/>
              <w:right w:val="single" w:color="auto" w:sz="4" w:space="0"/>
            </w:tcBorders>
            <w:vAlign w:val="center"/>
          </w:tcPr>
          <w:p w14:paraId="66FEE3F6">
            <w:pPr>
              <w:jc w:val="right"/>
              <w:rPr>
                <w:sz w:val="18"/>
                <w:szCs w:val="18"/>
              </w:rPr>
            </w:pPr>
          </w:p>
        </w:tc>
        <w:tc>
          <w:tcPr>
            <w:tcW w:w="425" w:type="dxa"/>
            <w:tcBorders>
              <w:left w:val="single" w:color="auto" w:sz="4" w:space="0"/>
            </w:tcBorders>
            <w:vAlign w:val="center"/>
          </w:tcPr>
          <w:p w14:paraId="5B7C47C1">
            <w:pPr>
              <w:jc w:val="right"/>
              <w:rPr>
                <w:sz w:val="18"/>
                <w:szCs w:val="18"/>
              </w:rPr>
            </w:pPr>
          </w:p>
        </w:tc>
        <w:tc>
          <w:tcPr>
            <w:tcW w:w="1417" w:type="dxa"/>
            <w:vAlign w:val="center"/>
          </w:tcPr>
          <w:p w14:paraId="49D9ACD3">
            <w:pPr>
              <w:jc w:val="right"/>
              <w:rPr>
                <w:sz w:val="18"/>
                <w:szCs w:val="18"/>
              </w:rPr>
            </w:pPr>
          </w:p>
        </w:tc>
        <w:tc>
          <w:tcPr>
            <w:tcW w:w="567" w:type="dxa"/>
            <w:vAlign w:val="center"/>
          </w:tcPr>
          <w:p w14:paraId="3EC80234">
            <w:pPr>
              <w:jc w:val="right"/>
              <w:rPr>
                <w:sz w:val="18"/>
                <w:szCs w:val="18"/>
              </w:rPr>
            </w:pPr>
          </w:p>
        </w:tc>
        <w:tc>
          <w:tcPr>
            <w:tcW w:w="1418" w:type="dxa"/>
            <w:vAlign w:val="center"/>
          </w:tcPr>
          <w:p w14:paraId="1A095FC8">
            <w:pPr>
              <w:jc w:val="right"/>
              <w:rPr>
                <w:sz w:val="18"/>
                <w:szCs w:val="18"/>
              </w:rPr>
            </w:pPr>
          </w:p>
        </w:tc>
        <w:tc>
          <w:tcPr>
            <w:tcW w:w="709" w:type="dxa"/>
            <w:vAlign w:val="center"/>
          </w:tcPr>
          <w:p w14:paraId="74AC3BCB">
            <w:pPr>
              <w:jc w:val="right"/>
              <w:rPr>
                <w:sz w:val="18"/>
                <w:szCs w:val="18"/>
              </w:rPr>
            </w:pPr>
          </w:p>
        </w:tc>
        <w:tc>
          <w:tcPr>
            <w:tcW w:w="1417" w:type="dxa"/>
            <w:vAlign w:val="center"/>
          </w:tcPr>
          <w:p w14:paraId="0E7EC72C">
            <w:pPr>
              <w:jc w:val="right"/>
              <w:rPr>
                <w:sz w:val="18"/>
                <w:szCs w:val="18"/>
              </w:rPr>
            </w:pPr>
          </w:p>
        </w:tc>
        <w:tc>
          <w:tcPr>
            <w:tcW w:w="1559" w:type="dxa"/>
            <w:vAlign w:val="center"/>
          </w:tcPr>
          <w:p w14:paraId="30AB902B">
            <w:pPr>
              <w:jc w:val="right"/>
              <w:rPr>
                <w:sz w:val="18"/>
                <w:szCs w:val="18"/>
              </w:rPr>
            </w:pPr>
          </w:p>
        </w:tc>
        <w:tc>
          <w:tcPr>
            <w:tcW w:w="1491" w:type="dxa"/>
            <w:vAlign w:val="center"/>
          </w:tcPr>
          <w:p w14:paraId="40C68967">
            <w:pPr>
              <w:jc w:val="right"/>
              <w:rPr>
                <w:sz w:val="18"/>
                <w:szCs w:val="18"/>
              </w:rPr>
            </w:pPr>
          </w:p>
        </w:tc>
      </w:tr>
      <w:tr w14:paraId="0B212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sdt>
          <w:sdtPr>
            <w:tag w:val="_PLD_ced9c335ab0c4ec8b683bd42730e309b"/>
            <w:id w:val="-705478430"/>
          </w:sdtPr>
          <w:sdtContent>
            <w:tc>
              <w:tcPr>
                <w:tcW w:w="2450" w:type="dxa"/>
                <w:vAlign w:val="center"/>
              </w:tcPr>
              <w:p w14:paraId="4D4B0ADF">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1．所有者投入的普通股</w:t>
                </w:r>
              </w:p>
            </w:tc>
          </w:sdtContent>
        </w:sdt>
        <w:tc>
          <w:tcPr>
            <w:tcW w:w="1656" w:type="dxa"/>
            <w:tcBorders>
              <w:right w:val="single" w:color="auto" w:sz="4" w:space="0"/>
            </w:tcBorders>
            <w:vAlign w:val="center"/>
          </w:tcPr>
          <w:p w14:paraId="52ECF40A">
            <w:pPr>
              <w:jc w:val="right"/>
              <w:rPr>
                <w:sz w:val="18"/>
                <w:szCs w:val="18"/>
              </w:rPr>
            </w:pPr>
          </w:p>
        </w:tc>
        <w:tc>
          <w:tcPr>
            <w:tcW w:w="472" w:type="dxa"/>
            <w:tcBorders>
              <w:left w:val="single" w:color="auto" w:sz="4" w:space="0"/>
              <w:right w:val="single" w:color="auto" w:sz="4" w:space="0"/>
            </w:tcBorders>
            <w:vAlign w:val="center"/>
          </w:tcPr>
          <w:p w14:paraId="675AF41B">
            <w:pPr>
              <w:jc w:val="right"/>
              <w:rPr>
                <w:sz w:val="18"/>
                <w:szCs w:val="18"/>
              </w:rPr>
            </w:pPr>
          </w:p>
        </w:tc>
        <w:tc>
          <w:tcPr>
            <w:tcW w:w="379" w:type="dxa"/>
            <w:tcBorders>
              <w:left w:val="single" w:color="auto" w:sz="4" w:space="0"/>
              <w:right w:val="single" w:color="auto" w:sz="4" w:space="0"/>
            </w:tcBorders>
            <w:vAlign w:val="center"/>
          </w:tcPr>
          <w:p w14:paraId="27538CCC">
            <w:pPr>
              <w:jc w:val="right"/>
              <w:rPr>
                <w:sz w:val="18"/>
                <w:szCs w:val="18"/>
              </w:rPr>
            </w:pPr>
          </w:p>
        </w:tc>
        <w:tc>
          <w:tcPr>
            <w:tcW w:w="425" w:type="dxa"/>
            <w:tcBorders>
              <w:left w:val="single" w:color="auto" w:sz="4" w:space="0"/>
            </w:tcBorders>
            <w:vAlign w:val="center"/>
          </w:tcPr>
          <w:p w14:paraId="4B4D318B">
            <w:pPr>
              <w:jc w:val="right"/>
              <w:rPr>
                <w:sz w:val="18"/>
                <w:szCs w:val="18"/>
              </w:rPr>
            </w:pPr>
          </w:p>
        </w:tc>
        <w:tc>
          <w:tcPr>
            <w:tcW w:w="1417" w:type="dxa"/>
            <w:vAlign w:val="center"/>
          </w:tcPr>
          <w:p w14:paraId="6B728D9E">
            <w:pPr>
              <w:jc w:val="right"/>
              <w:rPr>
                <w:sz w:val="18"/>
                <w:szCs w:val="18"/>
              </w:rPr>
            </w:pPr>
          </w:p>
        </w:tc>
        <w:tc>
          <w:tcPr>
            <w:tcW w:w="567" w:type="dxa"/>
            <w:vAlign w:val="center"/>
          </w:tcPr>
          <w:p w14:paraId="24AFC45C">
            <w:pPr>
              <w:jc w:val="right"/>
              <w:rPr>
                <w:sz w:val="18"/>
                <w:szCs w:val="18"/>
              </w:rPr>
            </w:pPr>
          </w:p>
        </w:tc>
        <w:tc>
          <w:tcPr>
            <w:tcW w:w="1418" w:type="dxa"/>
            <w:vAlign w:val="center"/>
          </w:tcPr>
          <w:p w14:paraId="060CCEDF">
            <w:pPr>
              <w:jc w:val="right"/>
              <w:rPr>
                <w:sz w:val="18"/>
                <w:szCs w:val="18"/>
              </w:rPr>
            </w:pPr>
          </w:p>
        </w:tc>
        <w:tc>
          <w:tcPr>
            <w:tcW w:w="709" w:type="dxa"/>
            <w:vAlign w:val="center"/>
          </w:tcPr>
          <w:p w14:paraId="3469057F">
            <w:pPr>
              <w:jc w:val="right"/>
              <w:rPr>
                <w:sz w:val="18"/>
                <w:szCs w:val="18"/>
              </w:rPr>
            </w:pPr>
          </w:p>
        </w:tc>
        <w:tc>
          <w:tcPr>
            <w:tcW w:w="1417" w:type="dxa"/>
            <w:vAlign w:val="center"/>
          </w:tcPr>
          <w:p w14:paraId="3C04B3BA">
            <w:pPr>
              <w:jc w:val="right"/>
              <w:rPr>
                <w:sz w:val="18"/>
                <w:szCs w:val="18"/>
              </w:rPr>
            </w:pPr>
          </w:p>
        </w:tc>
        <w:tc>
          <w:tcPr>
            <w:tcW w:w="1559" w:type="dxa"/>
            <w:vAlign w:val="center"/>
          </w:tcPr>
          <w:p w14:paraId="1B6FB134">
            <w:pPr>
              <w:jc w:val="right"/>
              <w:rPr>
                <w:sz w:val="18"/>
                <w:szCs w:val="18"/>
              </w:rPr>
            </w:pPr>
          </w:p>
        </w:tc>
        <w:tc>
          <w:tcPr>
            <w:tcW w:w="1491" w:type="dxa"/>
            <w:vAlign w:val="center"/>
          </w:tcPr>
          <w:p w14:paraId="26EDC812">
            <w:pPr>
              <w:jc w:val="right"/>
              <w:rPr>
                <w:sz w:val="18"/>
                <w:szCs w:val="18"/>
              </w:rPr>
            </w:pPr>
          </w:p>
        </w:tc>
      </w:tr>
      <w:tr w14:paraId="388C4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5db7714c048b45cb8fc2f783898126a2"/>
            <w:id w:val="2100522711"/>
          </w:sdtPr>
          <w:sdtContent>
            <w:tc>
              <w:tcPr>
                <w:tcW w:w="2450" w:type="dxa"/>
                <w:vAlign w:val="center"/>
              </w:tcPr>
              <w:p w14:paraId="12B56C7E">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2．其他权益工具持有者投入资本</w:t>
                </w:r>
              </w:p>
            </w:tc>
          </w:sdtContent>
        </w:sdt>
        <w:tc>
          <w:tcPr>
            <w:tcW w:w="1656" w:type="dxa"/>
            <w:tcBorders>
              <w:right w:val="single" w:color="auto" w:sz="4" w:space="0"/>
            </w:tcBorders>
            <w:vAlign w:val="center"/>
          </w:tcPr>
          <w:p w14:paraId="550FDB83">
            <w:pPr>
              <w:jc w:val="right"/>
              <w:rPr>
                <w:sz w:val="18"/>
                <w:szCs w:val="18"/>
              </w:rPr>
            </w:pPr>
          </w:p>
        </w:tc>
        <w:tc>
          <w:tcPr>
            <w:tcW w:w="472" w:type="dxa"/>
            <w:tcBorders>
              <w:left w:val="single" w:color="auto" w:sz="4" w:space="0"/>
              <w:right w:val="single" w:color="auto" w:sz="4" w:space="0"/>
            </w:tcBorders>
            <w:vAlign w:val="center"/>
          </w:tcPr>
          <w:p w14:paraId="5C652434">
            <w:pPr>
              <w:jc w:val="right"/>
              <w:rPr>
                <w:sz w:val="18"/>
                <w:szCs w:val="18"/>
              </w:rPr>
            </w:pPr>
          </w:p>
        </w:tc>
        <w:tc>
          <w:tcPr>
            <w:tcW w:w="379" w:type="dxa"/>
            <w:tcBorders>
              <w:left w:val="single" w:color="auto" w:sz="4" w:space="0"/>
              <w:right w:val="single" w:color="auto" w:sz="4" w:space="0"/>
            </w:tcBorders>
            <w:vAlign w:val="center"/>
          </w:tcPr>
          <w:p w14:paraId="2F2AC325">
            <w:pPr>
              <w:jc w:val="right"/>
              <w:rPr>
                <w:sz w:val="18"/>
                <w:szCs w:val="18"/>
              </w:rPr>
            </w:pPr>
          </w:p>
        </w:tc>
        <w:tc>
          <w:tcPr>
            <w:tcW w:w="425" w:type="dxa"/>
            <w:tcBorders>
              <w:left w:val="single" w:color="auto" w:sz="4" w:space="0"/>
            </w:tcBorders>
            <w:vAlign w:val="center"/>
          </w:tcPr>
          <w:p w14:paraId="168D3DA2">
            <w:pPr>
              <w:jc w:val="right"/>
              <w:rPr>
                <w:sz w:val="18"/>
                <w:szCs w:val="18"/>
              </w:rPr>
            </w:pPr>
          </w:p>
        </w:tc>
        <w:tc>
          <w:tcPr>
            <w:tcW w:w="1417" w:type="dxa"/>
            <w:vAlign w:val="center"/>
          </w:tcPr>
          <w:p w14:paraId="43822580">
            <w:pPr>
              <w:jc w:val="right"/>
              <w:rPr>
                <w:sz w:val="18"/>
                <w:szCs w:val="18"/>
              </w:rPr>
            </w:pPr>
          </w:p>
        </w:tc>
        <w:tc>
          <w:tcPr>
            <w:tcW w:w="567" w:type="dxa"/>
            <w:vAlign w:val="center"/>
          </w:tcPr>
          <w:p w14:paraId="72E57B6F">
            <w:pPr>
              <w:jc w:val="right"/>
              <w:rPr>
                <w:sz w:val="18"/>
                <w:szCs w:val="18"/>
              </w:rPr>
            </w:pPr>
          </w:p>
        </w:tc>
        <w:tc>
          <w:tcPr>
            <w:tcW w:w="1418" w:type="dxa"/>
            <w:vAlign w:val="center"/>
          </w:tcPr>
          <w:p w14:paraId="68BD4CA7">
            <w:pPr>
              <w:jc w:val="right"/>
              <w:rPr>
                <w:sz w:val="18"/>
                <w:szCs w:val="18"/>
              </w:rPr>
            </w:pPr>
          </w:p>
        </w:tc>
        <w:tc>
          <w:tcPr>
            <w:tcW w:w="709" w:type="dxa"/>
            <w:vAlign w:val="center"/>
          </w:tcPr>
          <w:p w14:paraId="4132A245">
            <w:pPr>
              <w:jc w:val="right"/>
              <w:rPr>
                <w:sz w:val="18"/>
                <w:szCs w:val="18"/>
              </w:rPr>
            </w:pPr>
          </w:p>
        </w:tc>
        <w:tc>
          <w:tcPr>
            <w:tcW w:w="1417" w:type="dxa"/>
            <w:vAlign w:val="center"/>
          </w:tcPr>
          <w:p w14:paraId="4E8817B8">
            <w:pPr>
              <w:jc w:val="right"/>
              <w:rPr>
                <w:sz w:val="18"/>
                <w:szCs w:val="18"/>
              </w:rPr>
            </w:pPr>
          </w:p>
        </w:tc>
        <w:tc>
          <w:tcPr>
            <w:tcW w:w="1559" w:type="dxa"/>
            <w:vAlign w:val="center"/>
          </w:tcPr>
          <w:p w14:paraId="5602C1D6">
            <w:pPr>
              <w:jc w:val="right"/>
              <w:rPr>
                <w:sz w:val="18"/>
                <w:szCs w:val="18"/>
              </w:rPr>
            </w:pPr>
          </w:p>
        </w:tc>
        <w:tc>
          <w:tcPr>
            <w:tcW w:w="1491" w:type="dxa"/>
            <w:vAlign w:val="center"/>
          </w:tcPr>
          <w:p w14:paraId="42D32055">
            <w:pPr>
              <w:jc w:val="right"/>
              <w:rPr>
                <w:sz w:val="18"/>
                <w:szCs w:val="18"/>
              </w:rPr>
            </w:pPr>
          </w:p>
        </w:tc>
      </w:tr>
      <w:tr w14:paraId="3EDAC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0c8627dcaed14beabce3c3a65384cf01"/>
            <w:id w:val="-1995482255"/>
          </w:sdtPr>
          <w:sdtContent>
            <w:tc>
              <w:tcPr>
                <w:tcW w:w="2450" w:type="dxa"/>
                <w:vAlign w:val="center"/>
              </w:tcPr>
              <w:p w14:paraId="78386A33">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．股份支付计入所有者权益的金额</w:t>
                </w:r>
              </w:p>
            </w:tc>
          </w:sdtContent>
        </w:sdt>
        <w:tc>
          <w:tcPr>
            <w:tcW w:w="1656" w:type="dxa"/>
            <w:tcBorders>
              <w:right w:val="single" w:color="auto" w:sz="4" w:space="0"/>
            </w:tcBorders>
            <w:vAlign w:val="center"/>
          </w:tcPr>
          <w:p w14:paraId="274F1ECA">
            <w:pPr>
              <w:jc w:val="right"/>
              <w:rPr>
                <w:sz w:val="18"/>
                <w:szCs w:val="18"/>
              </w:rPr>
            </w:pPr>
          </w:p>
        </w:tc>
        <w:tc>
          <w:tcPr>
            <w:tcW w:w="472" w:type="dxa"/>
            <w:tcBorders>
              <w:left w:val="single" w:color="auto" w:sz="4" w:space="0"/>
              <w:right w:val="single" w:color="auto" w:sz="4" w:space="0"/>
            </w:tcBorders>
            <w:vAlign w:val="center"/>
          </w:tcPr>
          <w:p w14:paraId="215CF364">
            <w:pPr>
              <w:jc w:val="right"/>
              <w:rPr>
                <w:sz w:val="18"/>
                <w:szCs w:val="18"/>
              </w:rPr>
            </w:pPr>
          </w:p>
        </w:tc>
        <w:tc>
          <w:tcPr>
            <w:tcW w:w="379" w:type="dxa"/>
            <w:tcBorders>
              <w:left w:val="single" w:color="auto" w:sz="4" w:space="0"/>
              <w:right w:val="single" w:color="auto" w:sz="4" w:space="0"/>
            </w:tcBorders>
            <w:vAlign w:val="center"/>
          </w:tcPr>
          <w:p w14:paraId="05F20C2A">
            <w:pPr>
              <w:jc w:val="right"/>
              <w:rPr>
                <w:sz w:val="18"/>
                <w:szCs w:val="18"/>
              </w:rPr>
            </w:pPr>
          </w:p>
        </w:tc>
        <w:tc>
          <w:tcPr>
            <w:tcW w:w="425" w:type="dxa"/>
            <w:tcBorders>
              <w:left w:val="single" w:color="auto" w:sz="4" w:space="0"/>
            </w:tcBorders>
            <w:vAlign w:val="center"/>
          </w:tcPr>
          <w:p w14:paraId="31C949A7">
            <w:pPr>
              <w:jc w:val="right"/>
              <w:rPr>
                <w:sz w:val="18"/>
                <w:szCs w:val="18"/>
              </w:rPr>
            </w:pPr>
          </w:p>
        </w:tc>
        <w:tc>
          <w:tcPr>
            <w:tcW w:w="1417" w:type="dxa"/>
            <w:vAlign w:val="center"/>
          </w:tcPr>
          <w:p w14:paraId="121B4D75">
            <w:pPr>
              <w:jc w:val="right"/>
              <w:rPr>
                <w:sz w:val="18"/>
                <w:szCs w:val="18"/>
              </w:rPr>
            </w:pPr>
          </w:p>
        </w:tc>
        <w:tc>
          <w:tcPr>
            <w:tcW w:w="567" w:type="dxa"/>
            <w:vAlign w:val="center"/>
          </w:tcPr>
          <w:p w14:paraId="3C77476A">
            <w:pPr>
              <w:jc w:val="right"/>
              <w:rPr>
                <w:sz w:val="18"/>
                <w:szCs w:val="18"/>
              </w:rPr>
            </w:pPr>
          </w:p>
        </w:tc>
        <w:tc>
          <w:tcPr>
            <w:tcW w:w="1418" w:type="dxa"/>
            <w:vAlign w:val="center"/>
          </w:tcPr>
          <w:p w14:paraId="46FB730B">
            <w:pPr>
              <w:jc w:val="right"/>
              <w:rPr>
                <w:sz w:val="18"/>
                <w:szCs w:val="18"/>
              </w:rPr>
            </w:pPr>
          </w:p>
        </w:tc>
        <w:tc>
          <w:tcPr>
            <w:tcW w:w="709" w:type="dxa"/>
            <w:vAlign w:val="center"/>
          </w:tcPr>
          <w:p w14:paraId="3779360D">
            <w:pPr>
              <w:jc w:val="right"/>
              <w:rPr>
                <w:sz w:val="18"/>
                <w:szCs w:val="18"/>
              </w:rPr>
            </w:pPr>
          </w:p>
        </w:tc>
        <w:tc>
          <w:tcPr>
            <w:tcW w:w="1417" w:type="dxa"/>
            <w:vAlign w:val="center"/>
          </w:tcPr>
          <w:p w14:paraId="401B6E62">
            <w:pPr>
              <w:jc w:val="right"/>
              <w:rPr>
                <w:sz w:val="18"/>
                <w:szCs w:val="18"/>
              </w:rPr>
            </w:pPr>
          </w:p>
        </w:tc>
        <w:tc>
          <w:tcPr>
            <w:tcW w:w="1559" w:type="dxa"/>
            <w:vAlign w:val="center"/>
          </w:tcPr>
          <w:p w14:paraId="77668163">
            <w:pPr>
              <w:jc w:val="right"/>
              <w:rPr>
                <w:sz w:val="18"/>
                <w:szCs w:val="18"/>
              </w:rPr>
            </w:pPr>
          </w:p>
        </w:tc>
        <w:tc>
          <w:tcPr>
            <w:tcW w:w="1491" w:type="dxa"/>
            <w:vAlign w:val="center"/>
          </w:tcPr>
          <w:p w14:paraId="327EA05C">
            <w:pPr>
              <w:jc w:val="right"/>
              <w:rPr>
                <w:sz w:val="18"/>
                <w:szCs w:val="18"/>
              </w:rPr>
            </w:pPr>
          </w:p>
        </w:tc>
      </w:tr>
      <w:tr w14:paraId="1B51D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sdt>
          <w:sdtPr>
            <w:tag w:val="_PLD_4815225e85794febad32622528b72229"/>
            <w:id w:val="1651169662"/>
          </w:sdtPr>
          <w:sdtContent>
            <w:tc>
              <w:tcPr>
                <w:tcW w:w="2450" w:type="dxa"/>
                <w:vAlign w:val="center"/>
              </w:tcPr>
              <w:p w14:paraId="6AA12614">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r>
                  <w:rPr>
                    <w:color w:val="000000" w:themeColor="text1"/>
                    <w:sz w:val="18"/>
                    <w:szCs w:val="18"/>
                    <w14:textFill>
                      <w14:solidFill>
                        <w14:schemeClr w14:val="tx1"/>
                      </w14:solidFill>
                    </w14:textFill>
                  </w:rPr>
                  <w:t>．其他</w:t>
                </w:r>
              </w:p>
            </w:tc>
          </w:sdtContent>
        </w:sdt>
        <w:tc>
          <w:tcPr>
            <w:tcW w:w="1656" w:type="dxa"/>
            <w:tcBorders>
              <w:right w:val="single" w:color="auto" w:sz="4" w:space="0"/>
            </w:tcBorders>
            <w:vAlign w:val="center"/>
          </w:tcPr>
          <w:p w14:paraId="433EB08C">
            <w:pPr>
              <w:jc w:val="right"/>
              <w:rPr>
                <w:sz w:val="18"/>
                <w:szCs w:val="18"/>
              </w:rPr>
            </w:pPr>
          </w:p>
        </w:tc>
        <w:tc>
          <w:tcPr>
            <w:tcW w:w="472" w:type="dxa"/>
            <w:tcBorders>
              <w:left w:val="single" w:color="auto" w:sz="4" w:space="0"/>
              <w:right w:val="single" w:color="auto" w:sz="4" w:space="0"/>
            </w:tcBorders>
            <w:vAlign w:val="center"/>
          </w:tcPr>
          <w:p w14:paraId="5707B82F">
            <w:pPr>
              <w:jc w:val="right"/>
              <w:rPr>
                <w:sz w:val="18"/>
                <w:szCs w:val="18"/>
              </w:rPr>
            </w:pPr>
          </w:p>
        </w:tc>
        <w:tc>
          <w:tcPr>
            <w:tcW w:w="379" w:type="dxa"/>
            <w:tcBorders>
              <w:left w:val="single" w:color="auto" w:sz="4" w:space="0"/>
              <w:right w:val="single" w:color="auto" w:sz="4" w:space="0"/>
            </w:tcBorders>
            <w:vAlign w:val="center"/>
          </w:tcPr>
          <w:p w14:paraId="5E31CE4C">
            <w:pPr>
              <w:jc w:val="right"/>
              <w:rPr>
                <w:sz w:val="18"/>
                <w:szCs w:val="18"/>
              </w:rPr>
            </w:pPr>
          </w:p>
        </w:tc>
        <w:tc>
          <w:tcPr>
            <w:tcW w:w="425" w:type="dxa"/>
            <w:tcBorders>
              <w:left w:val="single" w:color="auto" w:sz="4" w:space="0"/>
            </w:tcBorders>
            <w:vAlign w:val="center"/>
          </w:tcPr>
          <w:p w14:paraId="37C410AD">
            <w:pPr>
              <w:jc w:val="right"/>
              <w:rPr>
                <w:sz w:val="18"/>
                <w:szCs w:val="18"/>
              </w:rPr>
            </w:pPr>
          </w:p>
        </w:tc>
        <w:tc>
          <w:tcPr>
            <w:tcW w:w="1417" w:type="dxa"/>
            <w:vAlign w:val="center"/>
          </w:tcPr>
          <w:p w14:paraId="77C0993B">
            <w:pPr>
              <w:jc w:val="right"/>
              <w:rPr>
                <w:sz w:val="18"/>
                <w:szCs w:val="18"/>
              </w:rPr>
            </w:pPr>
          </w:p>
        </w:tc>
        <w:tc>
          <w:tcPr>
            <w:tcW w:w="567" w:type="dxa"/>
            <w:vAlign w:val="center"/>
          </w:tcPr>
          <w:p w14:paraId="32C36B37">
            <w:pPr>
              <w:jc w:val="right"/>
              <w:rPr>
                <w:sz w:val="18"/>
                <w:szCs w:val="18"/>
              </w:rPr>
            </w:pPr>
          </w:p>
        </w:tc>
        <w:tc>
          <w:tcPr>
            <w:tcW w:w="1418" w:type="dxa"/>
            <w:vAlign w:val="center"/>
          </w:tcPr>
          <w:p w14:paraId="0DF4DD59">
            <w:pPr>
              <w:jc w:val="right"/>
              <w:rPr>
                <w:sz w:val="18"/>
                <w:szCs w:val="18"/>
              </w:rPr>
            </w:pPr>
          </w:p>
        </w:tc>
        <w:tc>
          <w:tcPr>
            <w:tcW w:w="709" w:type="dxa"/>
            <w:vAlign w:val="center"/>
          </w:tcPr>
          <w:p w14:paraId="05DC53F0">
            <w:pPr>
              <w:jc w:val="right"/>
              <w:rPr>
                <w:sz w:val="18"/>
                <w:szCs w:val="18"/>
              </w:rPr>
            </w:pPr>
          </w:p>
        </w:tc>
        <w:tc>
          <w:tcPr>
            <w:tcW w:w="1417" w:type="dxa"/>
            <w:vAlign w:val="center"/>
          </w:tcPr>
          <w:p w14:paraId="708CBEEE">
            <w:pPr>
              <w:jc w:val="right"/>
              <w:rPr>
                <w:sz w:val="18"/>
                <w:szCs w:val="18"/>
              </w:rPr>
            </w:pPr>
          </w:p>
        </w:tc>
        <w:tc>
          <w:tcPr>
            <w:tcW w:w="1559" w:type="dxa"/>
            <w:vAlign w:val="center"/>
          </w:tcPr>
          <w:p w14:paraId="628598C2">
            <w:pPr>
              <w:jc w:val="right"/>
              <w:rPr>
                <w:sz w:val="18"/>
                <w:szCs w:val="18"/>
              </w:rPr>
            </w:pPr>
          </w:p>
        </w:tc>
        <w:tc>
          <w:tcPr>
            <w:tcW w:w="1491" w:type="dxa"/>
            <w:vAlign w:val="center"/>
          </w:tcPr>
          <w:p w14:paraId="3A4244AF">
            <w:pPr>
              <w:jc w:val="right"/>
              <w:rPr>
                <w:sz w:val="18"/>
                <w:szCs w:val="18"/>
              </w:rPr>
            </w:pPr>
          </w:p>
        </w:tc>
      </w:tr>
      <w:tr w14:paraId="5D234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1277678c10f343d5a55853e3552c21df"/>
            <w:id w:val="653340003"/>
          </w:sdtPr>
          <w:sdtContent>
            <w:tc>
              <w:tcPr>
                <w:tcW w:w="2450" w:type="dxa"/>
                <w:vAlign w:val="center"/>
              </w:tcPr>
              <w:p w14:paraId="2CD48E3D">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三</w:t>
                </w:r>
                <w:r>
                  <w:rPr>
                    <w:color w:val="000000" w:themeColor="text1"/>
                    <w:sz w:val="18"/>
                    <w:szCs w:val="18"/>
                    <w14:textFill>
                      <w14:solidFill>
                        <w14:schemeClr w14:val="tx1"/>
                      </w14:solidFill>
                    </w14:textFill>
                  </w:rPr>
                  <w:t>）利润分配</w:t>
                </w:r>
              </w:p>
            </w:tc>
          </w:sdtContent>
        </w:sdt>
        <w:tc>
          <w:tcPr>
            <w:tcW w:w="1656" w:type="dxa"/>
            <w:tcBorders>
              <w:right w:val="single" w:color="auto" w:sz="4" w:space="0"/>
            </w:tcBorders>
            <w:vAlign w:val="center"/>
          </w:tcPr>
          <w:p w14:paraId="716190C6">
            <w:pPr>
              <w:jc w:val="right"/>
              <w:rPr>
                <w:sz w:val="18"/>
                <w:szCs w:val="18"/>
              </w:rPr>
            </w:pPr>
          </w:p>
        </w:tc>
        <w:tc>
          <w:tcPr>
            <w:tcW w:w="472" w:type="dxa"/>
            <w:tcBorders>
              <w:left w:val="single" w:color="auto" w:sz="4" w:space="0"/>
              <w:right w:val="single" w:color="auto" w:sz="4" w:space="0"/>
            </w:tcBorders>
            <w:vAlign w:val="center"/>
          </w:tcPr>
          <w:p w14:paraId="46FBFB3C">
            <w:pPr>
              <w:jc w:val="right"/>
              <w:rPr>
                <w:sz w:val="18"/>
                <w:szCs w:val="18"/>
              </w:rPr>
            </w:pPr>
          </w:p>
        </w:tc>
        <w:tc>
          <w:tcPr>
            <w:tcW w:w="379" w:type="dxa"/>
            <w:tcBorders>
              <w:left w:val="single" w:color="auto" w:sz="4" w:space="0"/>
              <w:right w:val="single" w:color="auto" w:sz="4" w:space="0"/>
            </w:tcBorders>
            <w:vAlign w:val="center"/>
          </w:tcPr>
          <w:p w14:paraId="4BE1F7A6">
            <w:pPr>
              <w:jc w:val="right"/>
              <w:rPr>
                <w:sz w:val="18"/>
                <w:szCs w:val="18"/>
              </w:rPr>
            </w:pPr>
          </w:p>
        </w:tc>
        <w:tc>
          <w:tcPr>
            <w:tcW w:w="425" w:type="dxa"/>
            <w:tcBorders>
              <w:left w:val="single" w:color="auto" w:sz="4" w:space="0"/>
            </w:tcBorders>
            <w:vAlign w:val="center"/>
          </w:tcPr>
          <w:p w14:paraId="36E686C1">
            <w:pPr>
              <w:jc w:val="right"/>
              <w:rPr>
                <w:sz w:val="18"/>
                <w:szCs w:val="18"/>
              </w:rPr>
            </w:pPr>
          </w:p>
        </w:tc>
        <w:tc>
          <w:tcPr>
            <w:tcW w:w="1417" w:type="dxa"/>
            <w:vAlign w:val="center"/>
          </w:tcPr>
          <w:p w14:paraId="44CC5FB9">
            <w:pPr>
              <w:jc w:val="right"/>
              <w:rPr>
                <w:sz w:val="18"/>
                <w:szCs w:val="18"/>
              </w:rPr>
            </w:pPr>
          </w:p>
        </w:tc>
        <w:tc>
          <w:tcPr>
            <w:tcW w:w="567" w:type="dxa"/>
            <w:vAlign w:val="center"/>
          </w:tcPr>
          <w:p w14:paraId="6F810C3A">
            <w:pPr>
              <w:jc w:val="right"/>
              <w:rPr>
                <w:sz w:val="18"/>
                <w:szCs w:val="18"/>
              </w:rPr>
            </w:pPr>
          </w:p>
        </w:tc>
        <w:tc>
          <w:tcPr>
            <w:tcW w:w="1418" w:type="dxa"/>
            <w:vAlign w:val="center"/>
          </w:tcPr>
          <w:p w14:paraId="44BF0CF9">
            <w:pPr>
              <w:jc w:val="right"/>
              <w:rPr>
                <w:sz w:val="18"/>
                <w:szCs w:val="18"/>
              </w:rPr>
            </w:pPr>
          </w:p>
        </w:tc>
        <w:tc>
          <w:tcPr>
            <w:tcW w:w="709" w:type="dxa"/>
            <w:vAlign w:val="center"/>
          </w:tcPr>
          <w:p w14:paraId="706188B1">
            <w:pPr>
              <w:jc w:val="right"/>
              <w:rPr>
                <w:sz w:val="18"/>
                <w:szCs w:val="18"/>
              </w:rPr>
            </w:pPr>
          </w:p>
        </w:tc>
        <w:tc>
          <w:tcPr>
            <w:tcW w:w="1417" w:type="dxa"/>
            <w:vAlign w:val="center"/>
          </w:tcPr>
          <w:p w14:paraId="68C5DF24">
            <w:pPr>
              <w:jc w:val="right"/>
              <w:rPr>
                <w:sz w:val="18"/>
                <w:szCs w:val="18"/>
              </w:rPr>
            </w:pPr>
          </w:p>
        </w:tc>
        <w:tc>
          <w:tcPr>
            <w:tcW w:w="1559" w:type="dxa"/>
            <w:vAlign w:val="center"/>
          </w:tcPr>
          <w:p w14:paraId="0A0E5733">
            <w:pPr>
              <w:jc w:val="right"/>
              <w:rPr>
                <w:sz w:val="18"/>
                <w:szCs w:val="18"/>
              </w:rPr>
            </w:pPr>
            <w:r>
              <w:rPr>
                <w:sz w:val="18"/>
                <w:szCs w:val="18"/>
              </w:rPr>
              <w:t>-8,970,505.03</w:t>
            </w:r>
          </w:p>
        </w:tc>
        <w:tc>
          <w:tcPr>
            <w:tcW w:w="1491" w:type="dxa"/>
            <w:vAlign w:val="center"/>
          </w:tcPr>
          <w:p w14:paraId="63340150">
            <w:pPr>
              <w:jc w:val="right"/>
              <w:rPr>
                <w:sz w:val="18"/>
                <w:szCs w:val="18"/>
              </w:rPr>
            </w:pPr>
            <w:r>
              <w:rPr>
                <w:sz w:val="18"/>
                <w:szCs w:val="18"/>
              </w:rPr>
              <w:t>-8,970,505.03</w:t>
            </w:r>
          </w:p>
        </w:tc>
      </w:tr>
      <w:tr w14:paraId="542F8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6be0f6b7609247d98f239c435a57bdf2"/>
            <w:id w:val="1874500784"/>
          </w:sdtPr>
          <w:sdtContent>
            <w:tc>
              <w:tcPr>
                <w:tcW w:w="2450" w:type="dxa"/>
                <w:vAlign w:val="center"/>
              </w:tcPr>
              <w:p w14:paraId="2D4E16C7">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1．提取盈余公积</w:t>
                </w:r>
              </w:p>
            </w:tc>
          </w:sdtContent>
        </w:sdt>
        <w:tc>
          <w:tcPr>
            <w:tcW w:w="1656" w:type="dxa"/>
            <w:tcBorders>
              <w:right w:val="single" w:color="auto" w:sz="4" w:space="0"/>
            </w:tcBorders>
            <w:vAlign w:val="center"/>
          </w:tcPr>
          <w:p w14:paraId="27CC995A">
            <w:pPr>
              <w:jc w:val="right"/>
              <w:rPr>
                <w:sz w:val="18"/>
                <w:szCs w:val="18"/>
              </w:rPr>
            </w:pPr>
          </w:p>
        </w:tc>
        <w:tc>
          <w:tcPr>
            <w:tcW w:w="472" w:type="dxa"/>
            <w:tcBorders>
              <w:left w:val="single" w:color="auto" w:sz="4" w:space="0"/>
              <w:right w:val="single" w:color="auto" w:sz="4" w:space="0"/>
            </w:tcBorders>
            <w:vAlign w:val="center"/>
          </w:tcPr>
          <w:p w14:paraId="6F23C8FD">
            <w:pPr>
              <w:jc w:val="right"/>
              <w:rPr>
                <w:sz w:val="18"/>
                <w:szCs w:val="18"/>
              </w:rPr>
            </w:pPr>
          </w:p>
        </w:tc>
        <w:tc>
          <w:tcPr>
            <w:tcW w:w="379" w:type="dxa"/>
            <w:tcBorders>
              <w:left w:val="single" w:color="auto" w:sz="4" w:space="0"/>
              <w:right w:val="single" w:color="auto" w:sz="4" w:space="0"/>
            </w:tcBorders>
            <w:vAlign w:val="center"/>
          </w:tcPr>
          <w:p w14:paraId="4AE2940F">
            <w:pPr>
              <w:jc w:val="right"/>
              <w:rPr>
                <w:sz w:val="18"/>
                <w:szCs w:val="18"/>
              </w:rPr>
            </w:pPr>
          </w:p>
        </w:tc>
        <w:tc>
          <w:tcPr>
            <w:tcW w:w="425" w:type="dxa"/>
            <w:tcBorders>
              <w:left w:val="single" w:color="auto" w:sz="4" w:space="0"/>
            </w:tcBorders>
            <w:vAlign w:val="center"/>
          </w:tcPr>
          <w:p w14:paraId="7156F0EB">
            <w:pPr>
              <w:jc w:val="right"/>
              <w:rPr>
                <w:sz w:val="18"/>
                <w:szCs w:val="18"/>
              </w:rPr>
            </w:pPr>
          </w:p>
        </w:tc>
        <w:tc>
          <w:tcPr>
            <w:tcW w:w="1417" w:type="dxa"/>
            <w:vAlign w:val="center"/>
          </w:tcPr>
          <w:p w14:paraId="2F654FAC">
            <w:pPr>
              <w:jc w:val="right"/>
              <w:rPr>
                <w:sz w:val="18"/>
                <w:szCs w:val="18"/>
              </w:rPr>
            </w:pPr>
          </w:p>
        </w:tc>
        <w:tc>
          <w:tcPr>
            <w:tcW w:w="567" w:type="dxa"/>
            <w:vAlign w:val="center"/>
          </w:tcPr>
          <w:p w14:paraId="5CAE4D54">
            <w:pPr>
              <w:jc w:val="right"/>
              <w:rPr>
                <w:sz w:val="18"/>
                <w:szCs w:val="18"/>
              </w:rPr>
            </w:pPr>
          </w:p>
        </w:tc>
        <w:tc>
          <w:tcPr>
            <w:tcW w:w="1418" w:type="dxa"/>
            <w:vAlign w:val="center"/>
          </w:tcPr>
          <w:p w14:paraId="25D9732C">
            <w:pPr>
              <w:jc w:val="right"/>
              <w:rPr>
                <w:sz w:val="18"/>
                <w:szCs w:val="18"/>
              </w:rPr>
            </w:pPr>
          </w:p>
        </w:tc>
        <w:tc>
          <w:tcPr>
            <w:tcW w:w="709" w:type="dxa"/>
            <w:vAlign w:val="center"/>
          </w:tcPr>
          <w:p w14:paraId="222428CA">
            <w:pPr>
              <w:jc w:val="right"/>
              <w:rPr>
                <w:sz w:val="18"/>
                <w:szCs w:val="18"/>
              </w:rPr>
            </w:pPr>
          </w:p>
        </w:tc>
        <w:tc>
          <w:tcPr>
            <w:tcW w:w="1417" w:type="dxa"/>
            <w:vAlign w:val="center"/>
          </w:tcPr>
          <w:p w14:paraId="603DA400">
            <w:pPr>
              <w:jc w:val="right"/>
              <w:rPr>
                <w:sz w:val="18"/>
                <w:szCs w:val="18"/>
              </w:rPr>
            </w:pPr>
          </w:p>
        </w:tc>
        <w:tc>
          <w:tcPr>
            <w:tcW w:w="1559" w:type="dxa"/>
            <w:vAlign w:val="center"/>
          </w:tcPr>
          <w:p w14:paraId="37C96CF1">
            <w:pPr>
              <w:jc w:val="right"/>
              <w:rPr>
                <w:sz w:val="18"/>
                <w:szCs w:val="18"/>
              </w:rPr>
            </w:pPr>
          </w:p>
        </w:tc>
        <w:tc>
          <w:tcPr>
            <w:tcW w:w="1491" w:type="dxa"/>
            <w:vAlign w:val="center"/>
          </w:tcPr>
          <w:p w14:paraId="45652454">
            <w:pPr>
              <w:jc w:val="right"/>
              <w:rPr>
                <w:sz w:val="18"/>
                <w:szCs w:val="18"/>
              </w:rPr>
            </w:pPr>
          </w:p>
        </w:tc>
      </w:tr>
      <w:tr w14:paraId="1EE43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b4a66855afc2407cbaf93baeafe0ad7f"/>
            <w:id w:val="2005168458"/>
          </w:sdtPr>
          <w:sdtContent>
            <w:tc>
              <w:tcPr>
                <w:tcW w:w="2450" w:type="dxa"/>
                <w:vAlign w:val="center"/>
              </w:tcPr>
              <w:p w14:paraId="3F8D965E">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．对所有者（或股东）的分配</w:t>
                </w:r>
              </w:p>
            </w:tc>
          </w:sdtContent>
        </w:sdt>
        <w:tc>
          <w:tcPr>
            <w:tcW w:w="1656" w:type="dxa"/>
            <w:tcBorders>
              <w:right w:val="single" w:color="auto" w:sz="4" w:space="0"/>
            </w:tcBorders>
            <w:vAlign w:val="center"/>
          </w:tcPr>
          <w:p w14:paraId="35CE63CC">
            <w:pPr>
              <w:jc w:val="right"/>
              <w:rPr>
                <w:sz w:val="18"/>
                <w:szCs w:val="18"/>
              </w:rPr>
            </w:pPr>
          </w:p>
        </w:tc>
        <w:tc>
          <w:tcPr>
            <w:tcW w:w="472" w:type="dxa"/>
            <w:tcBorders>
              <w:left w:val="single" w:color="auto" w:sz="4" w:space="0"/>
              <w:right w:val="single" w:color="auto" w:sz="4" w:space="0"/>
            </w:tcBorders>
            <w:vAlign w:val="center"/>
          </w:tcPr>
          <w:p w14:paraId="49D7662C">
            <w:pPr>
              <w:jc w:val="right"/>
              <w:rPr>
                <w:sz w:val="18"/>
                <w:szCs w:val="18"/>
              </w:rPr>
            </w:pPr>
          </w:p>
        </w:tc>
        <w:tc>
          <w:tcPr>
            <w:tcW w:w="379" w:type="dxa"/>
            <w:tcBorders>
              <w:left w:val="single" w:color="auto" w:sz="4" w:space="0"/>
              <w:right w:val="single" w:color="auto" w:sz="4" w:space="0"/>
            </w:tcBorders>
            <w:vAlign w:val="center"/>
          </w:tcPr>
          <w:p w14:paraId="67777063">
            <w:pPr>
              <w:jc w:val="right"/>
              <w:rPr>
                <w:sz w:val="18"/>
                <w:szCs w:val="18"/>
              </w:rPr>
            </w:pPr>
          </w:p>
        </w:tc>
        <w:tc>
          <w:tcPr>
            <w:tcW w:w="425" w:type="dxa"/>
            <w:tcBorders>
              <w:left w:val="single" w:color="auto" w:sz="4" w:space="0"/>
            </w:tcBorders>
            <w:vAlign w:val="center"/>
          </w:tcPr>
          <w:p w14:paraId="6C1F6DF7">
            <w:pPr>
              <w:jc w:val="right"/>
              <w:rPr>
                <w:sz w:val="18"/>
                <w:szCs w:val="18"/>
              </w:rPr>
            </w:pPr>
          </w:p>
        </w:tc>
        <w:tc>
          <w:tcPr>
            <w:tcW w:w="1417" w:type="dxa"/>
            <w:vAlign w:val="center"/>
          </w:tcPr>
          <w:p w14:paraId="0CCA7B12">
            <w:pPr>
              <w:jc w:val="right"/>
              <w:rPr>
                <w:sz w:val="18"/>
                <w:szCs w:val="18"/>
              </w:rPr>
            </w:pPr>
          </w:p>
        </w:tc>
        <w:tc>
          <w:tcPr>
            <w:tcW w:w="567" w:type="dxa"/>
            <w:vAlign w:val="center"/>
          </w:tcPr>
          <w:p w14:paraId="4EE00907">
            <w:pPr>
              <w:jc w:val="right"/>
              <w:rPr>
                <w:sz w:val="18"/>
                <w:szCs w:val="18"/>
              </w:rPr>
            </w:pPr>
          </w:p>
        </w:tc>
        <w:tc>
          <w:tcPr>
            <w:tcW w:w="1418" w:type="dxa"/>
            <w:vAlign w:val="center"/>
          </w:tcPr>
          <w:p w14:paraId="03C720D2">
            <w:pPr>
              <w:jc w:val="right"/>
              <w:rPr>
                <w:sz w:val="18"/>
                <w:szCs w:val="18"/>
              </w:rPr>
            </w:pPr>
          </w:p>
        </w:tc>
        <w:tc>
          <w:tcPr>
            <w:tcW w:w="709" w:type="dxa"/>
            <w:vAlign w:val="center"/>
          </w:tcPr>
          <w:p w14:paraId="0942D283">
            <w:pPr>
              <w:jc w:val="right"/>
              <w:rPr>
                <w:sz w:val="18"/>
                <w:szCs w:val="18"/>
              </w:rPr>
            </w:pPr>
          </w:p>
        </w:tc>
        <w:tc>
          <w:tcPr>
            <w:tcW w:w="1417" w:type="dxa"/>
            <w:vAlign w:val="center"/>
          </w:tcPr>
          <w:p w14:paraId="6392A43C">
            <w:pPr>
              <w:jc w:val="right"/>
              <w:rPr>
                <w:sz w:val="18"/>
                <w:szCs w:val="18"/>
              </w:rPr>
            </w:pPr>
          </w:p>
        </w:tc>
        <w:tc>
          <w:tcPr>
            <w:tcW w:w="1559" w:type="dxa"/>
            <w:vAlign w:val="center"/>
          </w:tcPr>
          <w:p w14:paraId="0BB377ED">
            <w:pPr>
              <w:jc w:val="right"/>
              <w:rPr>
                <w:sz w:val="18"/>
                <w:szCs w:val="18"/>
              </w:rPr>
            </w:pPr>
            <w:r>
              <w:rPr>
                <w:sz w:val="18"/>
                <w:szCs w:val="18"/>
              </w:rPr>
              <w:t>-8,970,505.03</w:t>
            </w:r>
          </w:p>
        </w:tc>
        <w:tc>
          <w:tcPr>
            <w:tcW w:w="1491" w:type="dxa"/>
            <w:vAlign w:val="center"/>
          </w:tcPr>
          <w:p w14:paraId="7F0C88AC">
            <w:pPr>
              <w:jc w:val="right"/>
              <w:rPr>
                <w:sz w:val="18"/>
                <w:szCs w:val="18"/>
              </w:rPr>
            </w:pPr>
            <w:r>
              <w:rPr>
                <w:sz w:val="18"/>
                <w:szCs w:val="18"/>
              </w:rPr>
              <w:t>-8,970,505.03</w:t>
            </w:r>
          </w:p>
        </w:tc>
      </w:tr>
      <w:tr w14:paraId="76400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sdt>
          <w:sdtPr>
            <w:tag w:val="_PLD_f35184bd1aa14b32a781b0ed9b526ffe"/>
            <w:id w:val="-2096849354"/>
          </w:sdtPr>
          <w:sdtContent>
            <w:tc>
              <w:tcPr>
                <w:tcW w:w="2450" w:type="dxa"/>
                <w:vAlign w:val="center"/>
              </w:tcPr>
              <w:p w14:paraId="35020F1D">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．其他</w:t>
                </w:r>
              </w:p>
            </w:tc>
          </w:sdtContent>
        </w:sdt>
        <w:tc>
          <w:tcPr>
            <w:tcW w:w="1656" w:type="dxa"/>
            <w:tcBorders>
              <w:right w:val="single" w:color="auto" w:sz="4" w:space="0"/>
            </w:tcBorders>
            <w:vAlign w:val="center"/>
          </w:tcPr>
          <w:p w14:paraId="2B0A9C29">
            <w:pPr>
              <w:jc w:val="right"/>
              <w:rPr>
                <w:sz w:val="18"/>
                <w:szCs w:val="18"/>
              </w:rPr>
            </w:pPr>
          </w:p>
        </w:tc>
        <w:tc>
          <w:tcPr>
            <w:tcW w:w="472" w:type="dxa"/>
            <w:tcBorders>
              <w:left w:val="single" w:color="auto" w:sz="4" w:space="0"/>
              <w:right w:val="single" w:color="auto" w:sz="4" w:space="0"/>
            </w:tcBorders>
            <w:vAlign w:val="center"/>
          </w:tcPr>
          <w:p w14:paraId="51159574">
            <w:pPr>
              <w:jc w:val="right"/>
              <w:rPr>
                <w:sz w:val="18"/>
                <w:szCs w:val="18"/>
              </w:rPr>
            </w:pPr>
          </w:p>
        </w:tc>
        <w:tc>
          <w:tcPr>
            <w:tcW w:w="379" w:type="dxa"/>
            <w:tcBorders>
              <w:left w:val="single" w:color="auto" w:sz="4" w:space="0"/>
              <w:right w:val="single" w:color="auto" w:sz="4" w:space="0"/>
            </w:tcBorders>
            <w:vAlign w:val="center"/>
          </w:tcPr>
          <w:p w14:paraId="441364B3">
            <w:pPr>
              <w:jc w:val="right"/>
              <w:rPr>
                <w:sz w:val="18"/>
                <w:szCs w:val="18"/>
              </w:rPr>
            </w:pPr>
          </w:p>
        </w:tc>
        <w:tc>
          <w:tcPr>
            <w:tcW w:w="425" w:type="dxa"/>
            <w:tcBorders>
              <w:left w:val="single" w:color="auto" w:sz="4" w:space="0"/>
            </w:tcBorders>
            <w:vAlign w:val="center"/>
          </w:tcPr>
          <w:p w14:paraId="370AED89">
            <w:pPr>
              <w:jc w:val="right"/>
              <w:rPr>
                <w:sz w:val="18"/>
                <w:szCs w:val="18"/>
              </w:rPr>
            </w:pPr>
          </w:p>
        </w:tc>
        <w:tc>
          <w:tcPr>
            <w:tcW w:w="1417" w:type="dxa"/>
            <w:vAlign w:val="center"/>
          </w:tcPr>
          <w:p w14:paraId="394777B0">
            <w:pPr>
              <w:jc w:val="right"/>
              <w:rPr>
                <w:sz w:val="18"/>
                <w:szCs w:val="18"/>
              </w:rPr>
            </w:pPr>
          </w:p>
        </w:tc>
        <w:tc>
          <w:tcPr>
            <w:tcW w:w="567" w:type="dxa"/>
            <w:vAlign w:val="center"/>
          </w:tcPr>
          <w:p w14:paraId="05C76964">
            <w:pPr>
              <w:jc w:val="right"/>
              <w:rPr>
                <w:sz w:val="18"/>
                <w:szCs w:val="18"/>
              </w:rPr>
            </w:pPr>
          </w:p>
        </w:tc>
        <w:tc>
          <w:tcPr>
            <w:tcW w:w="1418" w:type="dxa"/>
            <w:vAlign w:val="center"/>
          </w:tcPr>
          <w:p w14:paraId="4E22DB9F">
            <w:pPr>
              <w:jc w:val="right"/>
              <w:rPr>
                <w:sz w:val="18"/>
                <w:szCs w:val="18"/>
              </w:rPr>
            </w:pPr>
          </w:p>
        </w:tc>
        <w:tc>
          <w:tcPr>
            <w:tcW w:w="709" w:type="dxa"/>
            <w:vAlign w:val="center"/>
          </w:tcPr>
          <w:p w14:paraId="2A5048BE">
            <w:pPr>
              <w:jc w:val="right"/>
              <w:rPr>
                <w:sz w:val="18"/>
                <w:szCs w:val="18"/>
              </w:rPr>
            </w:pPr>
          </w:p>
        </w:tc>
        <w:tc>
          <w:tcPr>
            <w:tcW w:w="1417" w:type="dxa"/>
            <w:vAlign w:val="center"/>
          </w:tcPr>
          <w:p w14:paraId="65035CAA">
            <w:pPr>
              <w:jc w:val="right"/>
              <w:rPr>
                <w:sz w:val="18"/>
                <w:szCs w:val="18"/>
              </w:rPr>
            </w:pPr>
          </w:p>
        </w:tc>
        <w:tc>
          <w:tcPr>
            <w:tcW w:w="1559" w:type="dxa"/>
            <w:vAlign w:val="center"/>
          </w:tcPr>
          <w:p w14:paraId="4D06D613">
            <w:pPr>
              <w:jc w:val="right"/>
              <w:rPr>
                <w:sz w:val="18"/>
                <w:szCs w:val="18"/>
              </w:rPr>
            </w:pPr>
          </w:p>
        </w:tc>
        <w:tc>
          <w:tcPr>
            <w:tcW w:w="1491" w:type="dxa"/>
            <w:vAlign w:val="center"/>
          </w:tcPr>
          <w:p w14:paraId="1A4F7B75">
            <w:pPr>
              <w:jc w:val="right"/>
              <w:rPr>
                <w:sz w:val="18"/>
                <w:szCs w:val="18"/>
              </w:rPr>
            </w:pPr>
          </w:p>
        </w:tc>
      </w:tr>
      <w:tr w14:paraId="07F19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sdt>
          <w:sdtPr>
            <w:tag w:val="_PLD_377c539e51b74e8689b49d91a30d6a9f"/>
            <w:id w:val="-239327442"/>
          </w:sdtPr>
          <w:sdtContent>
            <w:tc>
              <w:tcPr>
                <w:tcW w:w="2450" w:type="dxa"/>
                <w:vAlign w:val="center"/>
              </w:tcPr>
              <w:p w14:paraId="11877E6C">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四</w:t>
                </w:r>
                <w:r>
                  <w:rPr>
                    <w:color w:val="000000" w:themeColor="text1"/>
                    <w:sz w:val="18"/>
                    <w:szCs w:val="18"/>
                    <w14:textFill>
                      <w14:solidFill>
                        <w14:schemeClr w14:val="tx1"/>
                      </w14:solidFill>
                    </w14:textFill>
                  </w:rPr>
                  <w:t>）所有者权益内部结转</w:t>
                </w:r>
              </w:p>
            </w:tc>
          </w:sdtContent>
        </w:sdt>
        <w:tc>
          <w:tcPr>
            <w:tcW w:w="1656" w:type="dxa"/>
            <w:tcBorders>
              <w:right w:val="single" w:color="auto" w:sz="4" w:space="0"/>
            </w:tcBorders>
            <w:vAlign w:val="center"/>
          </w:tcPr>
          <w:p w14:paraId="1609AC4F">
            <w:pPr>
              <w:jc w:val="right"/>
              <w:rPr>
                <w:sz w:val="18"/>
                <w:szCs w:val="18"/>
              </w:rPr>
            </w:pPr>
          </w:p>
        </w:tc>
        <w:tc>
          <w:tcPr>
            <w:tcW w:w="472" w:type="dxa"/>
            <w:tcBorders>
              <w:left w:val="single" w:color="auto" w:sz="4" w:space="0"/>
              <w:right w:val="single" w:color="auto" w:sz="4" w:space="0"/>
            </w:tcBorders>
            <w:vAlign w:val="center"/>
          </w:tcPr>
          <w:p w14:paraId="0C241996">
            <w:pPr>
              <w:jc w:val="right"/>
              <w:rPr>
                <w:sz w:val="18"/>
                <w:szCs w:val="18"/>
              </w:rPr>
            </w:pPr>
          </w:p>
        </w:tc>
        <w:tc>
          <w:tcPr>
            <w:tcW w:w="379" w:type="dxa"/>
            <w:tcBorders>
              <w:left w:val="single" w:color="auto" w:sz="4" w:space="0"/>
              <w:right w:val="single" w:color="auto" w:sz="4" w:space="0"/>
            </w:tcBorders>
            <w:vAlign w:val="center"/>
          </w:tcPr>
          <w:p w14:paraId="5FF63C86">
            <w:pPr>
              <w:jc w:val="right"/>
              <w:rPr>
                <w:sz w:val="18"/>
                <w:szCs w:val="18"/>
              </w:rPr>
            </w:pPr>
          </w:p>
        </w:tc>
        <w:tc>
          <w:tcPr>
            <w:tcW w:w="425" w:type="dxa"/>
            <w:tcBorders>
              <w:left w:val="single" w:color="auto" w:sz="4" w:space="0"/>
            </w:tcBorders>
            <w:vAlign w:val="center"/>
          </w:tcPr>
          <w:p w14:paraId="047CC0E4">
            <w:pPr>
              <w:jc w:val="right"/>
              <w:rPr>
                <w:sz w:val="18"/>
                <w:szCs w:val="18"/>
              </w:rPr>
            </w:pPr>
          </w:p>
        </w:tc>
        <w:tc>
          <w:tcPr>
            <w:tcW w:w="1417" w:type="dxa"/>
            <w:vAlign w:val="center"/>
          </w:tcPr>
          <w:p w14:paraId="4100A6FF">
            <w:pPr>
              <w:jc w:val="right"/>
              <w:rPr>
                <w:sz w:val="18"/>
                <w:szCs w:val="18"/>
              </w:rPr>
            </w:pPr>
          </w:p>
        </w:tc>
        <w:tc>
          <w:tcPr>
            <w:tcW w:w="567" w:type="dxa"/>
            <w:vAlign w:val="center"/>
          </w:tcPr>
          <w:p w14:paraId="51135901">
            <w:pPr>
              <w:jc w:val="right"/>
              <w:rPr>
                <w:sz w:val="18"/>
                <w:szCs w:val="18"/>
              </w:rPr>
            </w:pPr>
          </w:p>
        </w:tc>
        <w:tc>
          <w:tcPr>
            <w:tcW w:w="1418" w:type="dxa"/>
            <w:vAlign w:val="center"/>
          </w:tcPr>
          <w:p w14:paraId="6E4A696E">
            <w:pPr>
              <w:jc w:val="right"/>
              <w:rPr>
                <w:sz w:val="18"/>
                <w:szCs w:val="18"/>
              </w:rPr>
            </w:pPr>
          </w:p>
        </w:tc>
        <w:tc>
          <w:tcPr>
            <w:tcW w:w="709" w:type="dxa"/>
            <w:vAlign w:val="center"/>
          </w:tcPr>
          <w:p w14:paraId="37BB9AA5">
            <w:pPr>
              <w:jc w:val="right"/>
              <w:rPr>
                <w:sz w:val="18"/>
                <w:szCs w:val="18"/>
              </w:rPr>
            </w:pPr>
          </w:p>
        </w:tc>
        <w:tc>
          <w:tcPr>
            <w:tcW w:w="1417" w:type="dxa"/>
            <w:vAlign w:val="center"/>
          </w:tcPr>
          <w:p w14:paraId="3328852F">
            <w:pPr>
              <w:jc w:val="right"/>
              <w:rPr>
                <w:sz w:val="18"/>
                <w:szCs w:val="18"/>
              </w:rPr>
            </w:pPr>
          </w:p>
        </w:tc>
        <w:tc>
          <w:tcPr>
            <w:tcW w:w="1559" w:type="dxa"/>
            <w:vAlign w:val="center"/>
          </w:tcPr>
          <w:p w14:paraId="348A1C5D">
            <w:pPr>
              <w:jc w:val="right"/>
              <w:rPr>
                <w:sz w:val="18"/>
                <w:szCs w:val="18"/>
              </w:rPr>
            </w:pPr>
          </w:p>
        </w:tc>
        <w:tc>
          <w:tcPr>
            <w:tcW w:w="1491" w:type="dxa"/>
            <w:vAlign w:val="center"/>
          </w:tcPr>
          <w:p w14:paraId="316EEFC8">
            <w:pPr>
              <w:jc w:val="right"/>
              <w:rPr>
                <w:sz w:val="18"/>
                <w:szCs w:val="18"/>
              </w:rPr>
            </w:pPr>
          </w:p>
        </w:tc>
      </w:tr>
      <w:tr w14:paraId="313D3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sdt>
          <w:sdtPr>
            <w:tag w:val="_PLD_9d82304ad85542d89ad56bdebdedd7c5"/>
            <w:id w:val="1856297374"/>
          </w:sdtPr>
          <w:sdtContent>
            <w:tc>
              <w:tcPr>
                <w:tcW w:w="2450" w:type="dxa"/>
                <w:vAlign w:val="center"/>
              </w:tcPr>
              <w:p w14:paraId="5A364407">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1．资本公积转增资本（或股本）</w:t>
                </w:r>
              </w:p>
            </w:tc>
          </w:sdtContent>
        </w:sdt>
        <w:tc>
          <w:tcPr>
            <w:tcW w:w="1656" w:type="dxa"/>
            <w:tcBorders>
              <w:right w:val="single" w:color="auto" w:sz="4" w:space="0"/>
            </w:tcBorders>
            <w:vAlign w:val="center"/>
          </w:tcPr>
          <w:p w14:paraId="6EDC97E8">
            <w:pPr>
              <w:jc w:val="right"/>
              <w:rPr>
                <w:sz w:val="18"/>
                <w:szCs w:val="18"/>
              </w:rPr>
            </w:pPr>
          </w:p>
        </w:tc>
        <w:tc>
          <w:tcPr>
            <w:tcW w:w="472" w:type="dxa"/>
            <w:tcBorders>
              <w:left w:val="single" w:color="auto" w:sz="4" w:space="0"/>
              <w:right w:val="single" w:color="auto" w:sz="4" w:space="0"/>
            </w:tcBorders>
            <w:vAlign w:val="center"/>
          </w:tcPr>
          <w:p w14:paraId="1FBC978B">
            <w:pPr>
              <w:jc w:val="right"/>
              <w:rPr>
                <w:sz w:val="18"/>
                <w:szCs w:val="18"/>
              </w:rPr>
            </w:pPr>
          </w:p>
        </w:tc>
        <w:tc>
          <w:tcPr>
            <w:tcW w:w="379" w:type="dxa"/>
            <w:tcBorders>
              <w:left w:val="single" w:color="auto" w:sz="4" w:space="0"/>
              <w:right w:val="single" w:color="auto" w:sz="4" w:space="0"/>
            </w:tcBorders>
            <w:vAlign w:val="center"/>
          </w:tcPr>
          <w:p w14:paraId="210E7781">
            <w:pPr>
              <w:jc w:val="right"/>
              <w:rPr>
                <w:sz w:val="18"/>
                <w:szCs w:val="18"/>
              </w:rPr>
            </w:pPr>
          </w:p>
        </w:tc>
        <w:tc>
          <w:tcPr>
            <w:tcW w:w="425" w:type="dxa"/>
            <w:tcBorders>
              <w:left w:val="single" w:color="auto" w:sz="4" w:space="0"/>
            </w:tcBorders>
            <w:vAlign w:val="center"/>
          </w:tcPr>
          <w:p w14:paraId="430B58B2">
            <w:pPr>
              <w:jc w:val="right"/>
              <w:rPr>
                <w:sz w:val="18"/>
                <w:szCs w:val="18"/>
              </w:rPr>
            </w:pPr>
          </w:p>
        </w:tc>
        <w:tc>
          <w:tcPr>
            <w:tcW w:w="1417" w:type="dxa"/>
            <w:vAlign w:val="center"/>
          </w:tcPr>
          <w:p w14:paraId="25566D6C">
            <w:pPr>
              <w:jc w:val="right"/>
              <w:rPr>
                <w:sz w:val="18"/>
                <w:szCs w:val="18"/>
              </w:rPr>
            </w:pPr>
          </w:p>
        </w:tc>
        <w:tc>
          <w:tcPr>
            <w:tcW w:w="567" w:type="dxa"/>
            <w:vAlign w:val="center"/>
          </w:tcPr>
          <w:p w14:paraId="7FB08A05">
            <w:pPr>
              <w:jc w:val="right"/>
              <w:rPr>
                <w:sz w:val="18"/>
                <w:szCs w:val="18"/>
              </w:rPr>
            </w:pPr>
          </w:p>
        </w:tc>
        <w:tc>
          <w:tcPr>
            <w:tcW w:w="1418" w:type="dxa"/>
            <w:vAlign w:val="center"/>
          </w:tcPr>
          <w:p w14:paraId="32ABCE17">
            <w:pPr>
              <w:jc w:val="right"/>
              <w:rPr>
                <w:sz w:val="18"/>
                <w:szCs w:val="18"/>
              </w:rPr>
            </w:pPr>
          </w:p>
        </w:tc>
        <w:tc>
          <w:tcPr>
            <w:tcW w:w="709" w:type="dxa"/>
            <w:vAlign w:val="center"/>
          </w:tcPr>
          <w:p w14:paraId="040E0DF8">
            <w:pPr>
              <w:jc w:val="right"/>
              <w:rPr>
                <w:sz w:val="18"/>
                <w:szCs w:val="18"/>
              </w:rPr>
            </w:pPr>
          </w:p>
        </w:tc>
        <w:tc>
          <w:tcPr>
            <w:tcW w:w="1417" w:type="dxa"/>
            <w:vAlign w:val="center"/>
          </w:tcPr>
          <w:p w14:paraId="2A3A8CC1">
            <w:pPr>
              <w:jc w:val="right"/>
              <w:rPr>
                <w:sz w:val="18"/>
                <w:szCs w:val="18"/>
              </w:rPr>
            </w:pPr>
          </w:p>
        </w:tc>
        <w:tc>
          <w:tcPr>
            <w:tcW w:w="1559" w:type="dxa"/>
            <w:vAlign w:val="center"/>
          </w:tcPr>
          <w:p w14:paraId="2336A1A8">
            <w:pPr>
              <w:jc w:val="right"/>
              <w:rPr>
                <w:sz w:val="18"/>
                <w:szCs w:val="18"/>
              </w:rPr>
            </w:pPr>
          </w:p>
        </w:tc>
        <w:tc>
          <w:tcPr>
            <w:tcW w:w="1491" w:type="dxa"/>
            <w:vAlign w:val="center"/>
          </w:tcPr>
          <w:p w14:paraId="01E45FD5">
            <w:pPr>
              <w:jc w:val="right"/>
              <w:rPr>
                <w:sz w:val="18"/>
                <w:szCs w:val="18"/>
              </w:rPr>
            </w:pPr>
          </w:p>
        </w:tc>
      </w:tr>
      <w:tr w14:paraId="44143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sdt>
          <w:sdtPr>
            <w:tag w:val="_PLD_ba5c81951f1c4ff0a188b55532ed96a5"/>
            <w:id w:val="-262837728"/>
          </w:sdtPr>
          <w:sdtContent>
            <w:tc>
              <w:tcPr>
                <w:tcW w:w="2450" w:type="dxa"/>
                <w:vAlign w:val="center"/>
              </w:tcPr>
              <w:p w14:paraId="13AFC48F">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2．盈余公积转增资本（或股本）</w:t>
                </w:r>
              </w:p>
            </w:tc>
          </w:sdtContent>
        </w:sdt>
        <w:tc>
          <w:tcPr>
            <w:tcW w:w="1656" w:type="dxa"/>
            <w:tcBorders>
              <w:right w:val="single" w:color="auto" w:sz="4" w:space="0"/>
            </w:tcBorders>
            <w:vAlign w:val="center"/>
          </w:tcPr>
          <w:p w14:paraId="59146C6D">
            <w:pPr>
              <w:jc w:val="right"/>
              <w:rPr>
                <w:sz w:val="18"/>
                <w:szCs w:val="18"/>
              </w:rPr>
            </w:pPr>
          </w:p>
        </w:tc>
        <w:tc>
          <w:tcPr>
            <w:tcW w:w="472" w:type="dxa"/>
            <w:tcBorders>
              <w:left w:val="single" w:color="auto" w:sz="4" w:space="0"/>
              <w:right w:val="single" w:color="auto" w:sz="4" w:space="0"/>
            </w:tcBorders>
            <w:vAlign w:val="center"/>
          </w:tcPr>
          <w:p w14:paraId="7F908090">
            <w:pPr>
              <w:jc w:val="right"/>
              <w:rPr>
                <w:sz w:val="18"/>
                <w:szCs w:val="18"/>
              </w:rPr>
            </w:pPr>
          </w:p>
        </w:tc>
        <w:tc>
          <w:tcPr>
            <w:tcW w:w="379" w:type="dxa"/>
            <w:tcBorders>
              <w:left w:val="single" w:color="auto" w:sz="4" w:space="0"/>
              <w:right w:val="single" w:color="auto" w:sz="4" w:space="0"/>
            </w:tcBorders>
            <w:vAlign w:val="center"/>
          </w:tcPr>
          <w:p w14:paraId="65A114E3">
            <w:pPr>
              <w:jc w:val="right"/>
              <w:rPr>
                <w:sz w:val="18"/>
                <w:szCs w:val="18"/>
              </w:rPr>
            </w:pPr>
          </w:p>
        </w:tc>
        <w:tc>
          <w:tcPr>
            <w:tcW w:w="425" w:type="dxa"/>
            <w:tcBorders>
              <w:left w:val="single" w:color="auto" w:sz="4" w:space="0"/>
            </w:tcBorders>
            <w:vAlign w:val="center"/>
          </w:tcPr>
          <w:p w14:paraId="6FAB3CFA">
            <w:pPr>
              <w:jc w:val="right"/>
              <w:rPr>
                <w:sz w:val="18"/>
                <w:szCs w:val="18"/>
              </w:rPr>
            </w:pPr>
          </w:p>
        </w:tc>
        <w:tc>
          <w:tcPr>
            <w:tcW w:w="1417" w:type="dxa"/>
            <w:vAlign w:val="center"/>
          </w:tcPr>
          <w:p w14:paraId="174F2DF8">
            <w:pPr>
              <w:jc w:val="right"/>
              <w:rPr>
                <w:sz w:val="18"/>
                <w:szCs w:val="18"/>
              </w:rPr>
            </w:pPr>
          </w:p>
        </w:tc>
        <w:tc>
          <w:tcPr>
            <w:tcW w:w="567" w:type="dxa"/>
            <w:vAlign w:val="center"/>
          </w:tcPr>
          <w:p w14:paraId="53A35357">
            <w:pPr>
              <w:jc w:val="right"/>
              <w:rPr>
                <w:sz w:val="18"/>
                <w:szCs w:val="18"/>
              </w:rPr>
            </w:pPr>
          </w:p>
        </w:tc>
        <w:tc>
          <w:tcPr>
            <w:tcW w:w="1418" w:type="dxa"/>
            <w:vAlign w:val="center"/>
          </w:tcPr>
          <w:p w14:paraId="3BC11F0D">
            <w:pPr>
              <w:jc w:val="right"/>
              <w:rPr>
                <w:sz w:val="18"/>
                <w:szCs w:val="18"/>
              </w:rPr>
            </w:pPr>
          </w:p>
        </w:tc>
        <w:tc>
          <w:tcPr>
            <w:tcW w:w="709" w:type="dxa"/>
            <w:vAlign w:val="center"/>
          </w:tcPr>
          <w:p w14:paraId="7AD10585">
            <w:pPr>
              <w:jc w:val="right"/>
              <w:rPr>
                <w:sz w:val="18"/>
                <w:szCs w:val="18"/>
              </w:rPr>
            </w:pPr>
          </w:p>
        </w:tc>
        <w:tc>
          <w:tcPr>
            <w:tcW w:w="1417" w:type="dxa"/>
            <w:vAlign w:val="center"/>
          </w:tcPr>
          <w:p w14:paraId="3FCDAA50">
            <w:pPr>
              <w:jc w:val="right"/>
              <w:rPr>
                <w:sz w:val="18"/>
                <w:szCs w:val="18"/>
              </w:rPr>
            </w:pPr>
          </w:p>
        </w:tc>
        <w:tc>
          <w:tcPr>
            <w:tcW w:w="1559" w:type="dxa"/>
            <w:vAlign w:val="center"/>
          </w:tcPr>
          <w:p w14:paraId="500BA796">
            <w:pPr>
              <w:jc w:val="right"/>
              <w:rPr>
                <w:sz w:val="18"/>
                <w:szCs w:val="18"/>
              </w:rPr>
            </w:pPr>
          </w:p>
        </w:tc>
        <w:tc>
          <w:tcPr>
            <w:tcW w:w="1491" w:type="dxa"/>
            <w:vAlign w:val="center"/>
          </w:tcPr>
          <w:p w14:paraId="6A290E3D">
            <w:pPr>
              <w:jc w:val="right"/>
              <w:rPr>
                <w:sz w:val="18"/>
                <w:szCs w:val="18"/>
              </w:rPr>
            </w:pPr>
          </w:p>
        </w:tc>
      </w:tr>
      <w:tr w14:paraId="633CF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sdt>
          <w:sdtPr>
            <w:tag w:val="_PLD_81b068c4cdf2482a9438450e52e9b3b4"/>
            <w:id w:val="-1200541929"/>
          </w:sdtPr>
          <w:sdtContent>
            <w:tc>
              <w:tcPr>
                <w:tcW w:w="2450" w:type="dxa"/>
                <w:vAlign w:val="center"/>
              </w:tcPr>
              <w:p w14:paraId="56AE17DA">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3．盈余公积弥补亏损</w:t>
                </w:r>
              </w:p>
            </w:tc>
          </w:sdtContent>
        </w:sdt>
        <w:tc>
          <w:tcPr>
            <w:tcW w:w="1656" w:type="dxa"/>
            <w:tcBorders>
              <w:right w:val="single" w:color="auto" w:sz="4" w:space="0"/>
            </w:tcBorders>
            <w:vAlign w:val="center"/>
          </w:tcPr>
          <w:p w14:paraId="6FD5F89C">
            <w:pPr>
              <w:jc w:val="right"/>
              <w:rPr>
                <w:sz w:val="18"/>
                <w:szCs w:val="18"/>
              </w:rPr>
            </w:pPr>
          </w:p>
        </w:tc>
        <w:tc>
          <w:tcPr>
            <w:tcW w:w="472" w:type="dxa"/>
            <w:tcBorders>
              <w:left w:val="single" w:color="auto" w:sz="4" w:space="0"/>
              <w:right w:val="single" w:color="auto" w:sz="4" w:space="0"/>
            </w:tcBorders>
            <w:vAlign w:val="center"/>
          </w:tcPr>
          <w:p w14:paraId="7EAF6085">
            <w:pPr>
              <w:jc w:val="right"/>
              <w:rPr>
                <w:sz w:val="18"/>
                <w:szCs w:val="18"/>
              </w:rPr>
            </w:pPr>
          </w:p>
        </w:tc>
        <w:tc>
          <w:tcPr>
            <w:tcW w:w="379" w:type="dxa"/>
            <w:tcBorders>
              <w:left w:val="single" w:color="auto" w:sz="4" w:space="0"/>
              <w:right w:val="single" w:color="auto" w:sz="4" w:space="0"/>
            </w:tcBorders>
            <w:vAlign w:val="center"/>
          </w:tcPr>
          <w:p w14:paraId="2916C53B">
            <w:pPr>
              <w:jc w:val="right"/>
              <w:rPr>
                <w:sz w:val="18"/>
                <w:szCs w:val="18"/>
              </w:rPr>
            </w:pPr>
          </w:p>
        </w:tc>
        <w:tc>
          <w:tcPr>
            <w:tcW w:w="425" w:type="dxa"/>
            <w:tcBorders>
              <w:left w:val="single" w:color="auto" w:sz="4" w:space="0"/>
            </w:tcBorders>
            <w:vAlign w:val="center"/>
          </w:tcPr>
          <w:p w14:paraId="69992619">
            <w:pPr>
              <w:jc w:val="right"/>
              <w:rPr>
                <w:sz w:val="18"/>
                <w:szCs w:val="18"/>
              </w:rPr>
            </w:pPr>
          </w:p>
        </w:tc>
        <w:tc>
          <w:tcPr>
            <w:tcW w:w="1417" w:type="dxa"/>
            <w:vAlign w:val="center"/>
          </w:tcPr>
          <w:p w14:paraId="335779BB">
            <w:pPr>
              <w:jc w:val="right"/>
              <w:rPr>
                <w:sz w:val="18"/>
                <w:szCs w:val="18"/>
              </w:rPr>
            </w:pPr>
          </w:p>
        </w:tc>
        <w:tc>
          <w:tcPr>
            <w:tcW w:w="567" w:type="dxa"/>
            <w:vAlign w:val="center"/>
          </w:tcPr>
          <w:p w14:paraId="3DE5BCF2">
            <w:pPr>
              <w:jc w:val="right"/>
              <w:rPr>
                <w:sz w:val="18"/>
                <w:szCs w:val="18"/>
              </w:rPr>
            </w:pPr>
          </w:p>
        </w:tc>
        <w:tc>
          <w:tcPr>
            <w:tcW w:w="1418" w:type="dxa"/>
            <w:vAlign w:val="center"/>
          </w:tcPr>
          <w:p w14:paraId="318E6ABA">
            <w:pPr>
              <w:jc w:val="right"/>
              <w:rPr>
                <w:sz w:val="18"/>
                <w:szCs w:val="18"/>
              </w:rPr>
            </w:pPr>
          </w:p>
        </w:tc>
        <w:tc>
          <w:tcPr>
            <w:tcW w:w="709" w:type="dxa"/>
            <w:vAlign w:val="center"/>
          </w:tcPr>
          <w:p w14:paraId="3FA1411B">
            <w:pPr>
              <w:jc w:val="right"/>
              <w:rPr>
                <w:sz w:val="18"/>
                <w:szCs w:val="18"/>
              </w:rPr>
            </w:pPr>
          </w:p>
        </w:tc>
        <w:tc>
          <w:tcPr>
            <w:tcW w:w="1417" w:type="dxa"/>
            <w:vAlign w:val="center"/>
          </w:tcPr>
          <w:p w14:paraId="284B72FD">
            <w:pPr>
              <w:jc w:val="right"/>
              <w:rPr>
                <w:sz w:val="18"/>
                <w:szCs w:val="18"/>
              </w:rPr>
            </w:pPr>
          </w:p>
        </w:tc>
        <w:tc>
          <w:tcPr>
            <w:tcW w:w="1559" w:type="dxa"/>
            <w:vAlign w:val="center"/>
          </w:tcPr>
          <w:p w14:paraId="71872701">
            <w:pPr>
              <w:jc w:val="right"/>
              <w:rPr>
                <w:sz w:val="18"/>
                <w:szCs w:val="18"/>
              </w:rPr>
            </w:pPr>
          </w:p>
        </w:tc>
        <w:tc>
          <w:tcPr>
            <w:tcW w:w="1491" w:type="dxa"/>
            <w:vAlign w:val="center"/>
          </w:tcPr>
          <w:p w14:paraId="68F03C0F">
            <w:pPr>
              <w:jc w:val="right"/>
              <w:rPr>
                <w:sz w:val="18"/>
                <w:szCs w:val="18"/>
              </w:rPr>
            </w:pPr>
          </w:p>
        </w:tc>
      </w:tr>
      <w:tr w14:paraId="5588B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2450" w:type="dxa"/>
            <w:vAlign w:val="center"/>
          </w:tcPr>
          <w:sdt>
            <w:sdtPr>
              <w:tag w:val="_PLD_0e7647effaeb42219d706b118465bdec"/>
              <w:id w:val="-717362952"/>
            </w:sdtPr>
            <w:sdtContent>
              <w:p w14:paraId="35FAEE1A">
                <w:pPr>
                  <w:rPr>
                    <w:color w:val="000000" w:themeColor="text1"/>
                    <w14:textFill>
                      <w14:solidFill>
                        <w14:schemeClr w14:val="tx1"/>
                      </w14:solidFill>
                    </w14:textFill>
                  </w:rPr>
                </w:pPr>
                <w:r>
                  <w:rPr>
                    <w:color w:val="000000" w:themeColor="text1"/>
                    <w:sz w:val="18"/>
                    <w:szCs w:val="18"/>
                    <w14:textFill>
                      <w14:solidFill>
                        <w14:schemeClr w14:val="tx1"/>
                      </w14:solidFill>
                    </w14:textFill>
                  </w:rPr>
                  <w:t>4．设定受益计划变动额结转留存收益</w:t>
                </w:r>
              </w:p>
            </w:sdtContent>
          </w:sdt>
        </w:tc>
        <w:tc>
          <w:tcPr>
            <w:tcW w:w="1656" w:type="dxa"/>
            <w:tcBorders>
              <w:right w:val="single" w:color="auto" w:sz="4" w:space="0"/>
            </w:tcBorders>
            <w:vAlign w:val="center"/>
          </w:tcPr>
          <w:p w14:paraId="768D313C">
            <w:pPr>
              <w:jc w:val="right"/>
              <w:rPr>
                <w:sz w:val="18"/>
                <w:szCs w:val="18"/>
              </w:rPr>
            </w:pPr>
          </w:p>
        </w:tc>
        <w:tc>
          <w:tcPr>
            <w:tcW w:w="472" w:type="dxa"/>
            <w:tcBorders>
              <w:left w:val="single" w:color="auto" w:sz="4" w:space="0"/>
              <w:right w:val="single" w:color="auto" w:sz="4" w:space="0"/>
            </w:tcBorders>
            <w:vAlign w:val="center"/>
          </w:tcPr>
          <w:p w14:paraId="21A6CA2D">
            <w:pPr>
              <w:jc w:val="right"/>
              <w:rPr>
                <w:sz w:val="18"/>
                <w:szCs w:val="18"/>
              </w:rPr>
            </w:pPr>
          </w:p>
        </w:tc>
        <w:tc>
          <w:tcPr>
            <w:tcW w:w="379" w:type="dxa"/>
            <w:tcBorders>
              <w:left w:val="single" w:color="auto" w:sz="4" w:space="0"/>
              <w:right w:val="single" w:color="auto" w:sz="4" w:space="0"/>
            </w:tcBorders>
            <w:vAlign w:val="center"/>
          </w:tcPr>
          <w:p w14:paraId="16A6F219">
            <w:pPr>
              <w:jc w:val="right"/>
              <w:rPr>
                <w:sz w:val="18"/>
                <w:szCs w:val="18"/>
              </w:rPr>
            </w:pPr>
          </w:p>
        </w:tc>
        <w:tc>
          <w:tcPr>
            <w:tcW w:w="425" w:type="dxa"/>
            <w:tcBorders>
              <w:left w:val="single" w:color="auto" w:sz="4" w:space="0"/>
            </w:tcBorders>
            <w:vAlign w:val="center"/>
          </w:tcPr>
          <w:p w14:paraId="1DA26314">
            <w:pPr>
              <w:jc w:val="right"/>
              <w:rPr>
                <w:sz w:val="18"/>
                <w:szCs w:val="18"/>
              </w:rPr>
            </w:pPr>
          </w:p>
        </w:tc>
        <w:tc>
          <w:tcPr>
            <w:tcW w:w="1417" w:type="dxa"/>
            <w:vAlign w:val="center"/>
          </w:tcPr>
          <w:p w14:paraId="79BFC05E">
            <w:pPr>
              <w:jc w:val="right"/>
              <w:rPr>
                <w:sz w:val="18"/>
                <w:szCs w:val="18"/>
              </w:rPr>
            </w:pPr>
          </w:p>
        </w:tc>
        <w:tc>
          <w:tcPr>
            <w:tcW w:w="567" w:type="dxa"/>
            <w:vAlign w:val="center"/>
          </w:tcPr>
          <w:p w14:paraId="4C43C8A3">
            <w:pPr>
              <w:jc w:val="right"/>
              <w:rPr>
                <w:sz w:val="18"/>
                <w:szCs w:val="18"/>
              </w:rPr>
            </w:pPr>
          </w:p>
        </w:tc>
        <w:tc>
          <w:tcPr>
            <w:tcW w:w="1418" w:type="dxa"/>
            <w:vAlign w:val="center"/>
          </w:tcPr>
          <w:p w14:paraId="5F750408">
            <w:pPr>
              <w:jc w:val="right"/>
              <w:rPr>
                <w:sz w:val="18"/>
                <w:szCs w:val="18"/>
              </w:rPr>
            </w:pPr>
          </w:p>
        </w:tc>
        <w:tc>
          <w:tcPr>
            <w:tcW w:w="709" w:type="dxa"/>
            <w:vAlign w:val="center"/>
          </w:tcPr>
          <w:p w14:paraId="2728998C">
            <w:pPr>
              <w:jc w:val="right"/>
              <w:rPr>
                <w:sz w:val="18"/>
                <w:szCs w:val="18"/>
              </w:rPr>
            </w:pPr>
          </w:p>
        </w:tc>
        <w:tc>
          <w:tcPr>
            <w:tcW w:w="1417" w:type="dxa"/>
            <w:vAlign w:val="center"/>
          </w:tcPr>
          <w:p w14:paraId="5B976640">
            <w:pPr>
              <w:jc w:val="right"/>
              <w:rPr>
                <w:sz w:val="18"/>
                <w:szCs w:val="18"/>
              </w:rPr>
            </w:pPr>
          </w:p>
        </w:tc>
        <w:tc>
          <w:tcPr>
            <w:tcW w:w="1559" w:type="dxa"/>
            <w:vAlign w:val="center"/>
          </w:tcPr>
          <w:p w14:paraId="5A3A8FA6">
            <w:pPr>
              <w:jc w:val="right"/>
              <w:rPr>
                <w:sz w:val="18"/>
                <w:szCs w:val="18"/>
              </w:rPr>
            </w:pPr>
          </w:p>
        </w:tc>
        <w:tc>
          <w:tcPr>
            <w:tcW w:w="1491" w:type="dxa"/>
            <w:vAlign w:val="center"/>
          </w:tcPr>
          <w:p w14:paraId="13A5AA73">
            <w:pPr>
              <w:jc w:val="right"/>
              <w:rPr>
                <w:sz w:val="18"/>
                <w:szCs w:val="18"/>
              </w:rPr>
            </w:pPr>
          </w:p>
        </w:tc>
      </w:tr>
      <w:tr w14:paraId="1F55A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2450" w:type="dxa"/>
            <w:vAlign w:val="center"/>
          </w:tcPr>
          <w:sdt>
            <w:sdtPr>
              <w:tag w:val="_PLD_1c8ba4a0bb224c1d891e628390545199"/>
              <w:id w:val="-765079284"/>
            </w:sdtPr>
            <w:sdtContent>
              <w:p w14:paraId="7971EBDC">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5．其他综合收益结转留存收益</w:t>
                </w:r>
              </w:p>
            </w:sdtContent>
          </w:sdt>
        </w:tc>
        <w:tc>
          <w:tcPr>
            <w:tcW w:w="1656" w:type="dxa"/>
            <w:tcBorders>
              <w:right w:val="single" w:color="auto" w:sz="4" w:space="0"/>
            </w:tcBorders>
            <w:vAlign w:val="center"/>
          </w:tcPr>
          <w:p w14:paraId="22723E06">
            <w:pPr>
              <w:jc w:val="right"/>
              <w:rPr>
                <w:sz w:val="18"/>
                <w:szCs w:val="18"/>
              </w:rPr>
            </w:pPr>
          </w:p>
        </w:tc>
        <w:tc>
          <w:tcPr>
            <w:tcW w:w="472" w:type="dxa"/>
            <w:tcBorders>
              <w:left w:val="single" w:color="auto" w:sz="4" w:space="0"/>
              <w:right w:val="single" w:color="auto" w:sz="4" w:space="0"/>
            </w:tcBorders>
            <w:vAlign w:val="center"/>
          </w:tcPr>
          <w:p w14:paraId="13C243A0">
            <w:pPr>
              <w:jc w:val="right"/>
              <w:rPr>
                <w:sz w:val="18"/>
                <w:szCs w:val="18"/>
              </w:rPr>
            </w:pPr>
          </w:p>
        </w:tc>
        <w:tc>
          <w:tcPr>
            <w:tcW w:w="379" w:type="dxa"/>
            <w:tcBorders>
              <w:left w:val="single" w:color="auto" w:sz="4" w:space="0"/>
              <w:right w:val="single" w:color="auto" w:sz="4" w:space="0"/>
            </w:tcBorders>
            <w:vAlign w:val="center"/>
          </w:tcPr>
          <w:p w14:paraId="1EA903A1">
            <w:pPr>
              <w:jc w:val="right"/>
              <w:rPr>
                <w:sz w:val="18"/>
                <w:szCs w:val="18"/>
              </w:rPr>
            </w:pPr>
          </w:p>
        </w:tc>
        <w:tc>
          <w:tcPr>
            <w:tcW w:w="425" w:type="dxa"/>
            <w:tcBorders>
              <w:left w:val="single" w:color="auto" w:sz="4" w:space="0"/>
            </w:tcBorders>
            <w:vAlign w:val="center"/>
          </w:tcPr>
          <w:p w14:paraId="54FCFB4C">
            <w:pPr>
              <w:jc w:val="right"/>
              <w:rPr>
                <w:sz w:val="18"/>
                <w:szCs w:val="18"/>
              </w:rPr>
            </w:pPr>
          </w:p>
        </w:tc>
        <w:tc>
          <w:tcPr>
            <w:tcW w:w="1417" w:type="dxa"/>
            <w:vAlign w:val="center"/>
          </w:tcPr>
          <w:p w14:paraId="08417B37">
            <w:pPr>
              <w:jc w:val="right"/>
              <w:rPr>
                <w:sz w:val="18"/>
                <w:szCs w:val="18"/>
              </w:rPr>
            </w:pPr>
          </w:p>
        </w:tc>
        <w:tc>
          <w:tcPr>
            <w:tcW w:w="567" w:type="dxa"/>
            <w:vAlign w:val="center"/>
          </w:tcPr>
          <w:p w14:paraId="53208FF9">
            <w:pPr>
              <w:jc w:val="right"/>
              <w:rPr>
                <w:sz w:val="18"/>
                <w:szCs w:val="18"/>
              </w:rPr>
            </w:pPr>
          </w:p>
        </w:tc>
        <w:tc>
          <w:tcPr>
            <w:tcW w:w="1418" w:type="dxa"/>
            <w:vAlign w:val="center"/>
          </w:tcPr>
          <w:p w14:paraId="234016A1">
            <w:pPr>
              <w:jc w:val="right"/>
              <w:rPr>
                <w:sz w:val="18"/>
                <w:szCs w:val="18"/>
              </w:rPr>
            </w:pPr>
          </w:p>
        </w:tc>
        <w:tc>
          <w:tcPr>
            <w:tcW w:w="709" w:type="dxa"/>
            <w:vAlign w:val="center"/>
          </w:tcPr>
          <w:p w14:paraId="6CB0E9CA">
            <w:pPr>
              <w:jc w:val="right"/>
              <w:rPr>
                <w:sz w:val="18"/>
                <w:szCs w:val="18"/>
              </w:rPr>
            </w:pPr>
          </w:p>
        </w:tc>
        <w:tc>
          <w:tcPr>
            <w:tcW w:w="1417" w:type="dxa"/>
            <w:vAlign w:val="center"/>
          </w:tcPr>
          <w:p w14:paraId="5A05D947">
            <w:pPr>
              <w:jc w:val="right"/>
              <w:rPr>
                <w:sz w:val="18"/>
                <w:szCs w:val="18"/>
              </w:rPr>
            </w:pPr>
          </w:p>
        </w:tc>
        <w:tc>
          <w:tcPr>
            <w:tcW w:w="1559" w:type="dxa"/>
            <w:vAlign w:val="center"/>
          </w:tcPr>
          <w:p w14:paraId="2D6D4C0A">
            <w:pPr>
              <w:jc w:val="right"/>
              <w:rPr>
                <w:sz w:val="18"/>
                <w:szCs w:val="18"/>
              </w:rPr>
            </w:pPr>
          </w:p>
        </w:tc>
        <w:tc>
          <w:tcPr>
            <w:tcW w:w="1491" w:type="dxa"/>
            <w:vAlign w:val="center"/>
          </w:tcPr>
          <w:p w14:paraId="550AEDE7">
            <w:pPr>
              <w:jc w:val="right"/>
              <w:rPr>
                <w:sz w:val="18"/>
                <w:szCs w:val="18"/>
              </w:rPr>
            </w:pPr>
          </w:p>
        </w:tc>
      </w:tr>
      <w:tr w14:paraId="4AF07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2450" w:type="dxa"/>
            <w:vAlign w:val="center"/>
          </w:tcPr>
          <w:sdt>
            <w:sdtPr>
              <w:tag w:val="_PLD_69d4adb536bf498a8a9d97dda9d31e75"/>
              <w:id w:val="506327546"/>
            </w:sdtPr>
            <w:sdtContent>
              <w:p w14:paraId="3328D6EC">
                <w:pPr>
                  <w:rPr>
                    <w:color w:val="000000" w:themeColor="text1"/>
                    <w14:textFill>
                      <w14:solidFill>
                        <w14:schemeClr w14:val="tx1"/>
                      </w14:solidFill>
                    </w14:textFill>
                  </w:rPr>
                </w:pPr>
                <w:r>
                  <w:rPr>
                    <w:color w:val="000000" w:themeColor="text1"/>
                    <w:sz w:val="18"/>
                    <w:szCs w:val="18"/>
                    <w14:textFill>
                      <w14:solidFill>
                        <w14:schemeClr w14:val="tx1"/>
                      </w14:solidFill>
                    </w14:textFill>
                  </w:rPr>
                  <w:t>6．其他</w:t>
                </w:r>
              </w:p>
            </w:sdtContent>
          </w:sdt>
        </w:tc>
        <w:tc>
          <w:tcPr>
            <w:tcW w:w="1656" w:type="dxa"/>
            <w:tcBorders>
              <w:right w:val="single" w:color="auto" w:sz="4" w:space="0"/>
            </w:tcBorders>
            <w:vAlign w:val="center"/>
          </w:tcPr>
          <w:p w14:paraId="40C9EA7C">
            <w:pPr>
              <w:jc w:val="right"/>
              <w:rPr>
                <w:sz w:val="18"/>
                <w:szCs w:val="18"/>
              </w:rPr>
            </w:pPr>
          </w:p>
        </w:tc>
        <w:tc>
          <w:tcPr>
            <w:tcW w:w="472" w:type="dxa"/>
            <w:tcBorders>
              <w:left w:val="single" w:color="auto" w:sz="4" w:space="0"/>
              <w:right w:val="single" w:color="auto" w:sz="4" w:space="0"/>
            </w:tcBorders>
            <w:vAlign w:val="center"/>
          </w:tcPr>
          <w:p w14:paraId="1D356D38">
            <w:pPr>
              <w:jc w:val="right"/>
              <w:rPr>
                <w:sz w:val="18"/>
                <w:szCs w:val="18"/>
              </w:rPr>
            </w:pPr>
          </w:p>
        </w:tc>
        <w:tc>
          <w:tcPr>
            <w:tcW w:w="379" w:type="dxa"/>
            <w:tcBorders>
              <w:left w:val="single" w:color="auto" w:sz="4" w:space="0"/>
              <w:right w:val="single" w:color="auto" w:sz="4" w:space="0"/>
            </w:tcBorders>
            <w:vAlign w:val="center"/>
          </w:tcPr>
          <w:p w14:paraId="25ABAC7A">
            <w:pPr>
              <w:jc w:val="right"/>
              <w:rPr>
                <w:sz w:val="18"/>
                <w:szCs w:val="18"/>
              </w:rPr>
            </w:pPr>
          </w:p>
        </w:tc>
        <w:tc>
          <w:tcPr>
            <w:tcW w:w="425" w:type="dxa"/>
            <w:tcBorders>
              <w:left w:val="single" w:color="auto" w:sz="4" w:space="0"/>
            </w:tcBorders>
            <w:vAlign w:val="center"/>
          </w:tcPr>
          <w:p w14:paraId="46048176">
            <w:pPr>
              <w:jc w:val="right"/>
              <w:rPr>
                <w:sz w:val="18"/>
                <w:szCs w:val="18"/>
              </w:rPr>
            </w:pPr>
          </w:p>
        </w:tc>
        <w:tc>
          <w:tcPr>
            <w:tcW w:w="1417" w:type="dxa"/>
            <w:vAlign w:val="center"/>
          </w:tcPr>
          <w:p w14:paraId="35E76E19">
            <w:pPr>
              <w:jc w:val="right"/>
              <w:rPr>
                <w:sz w:val="18"/>
                <w:szCs w:val="18"/>
              </w:rPr>
            </w:pPr>
          </w:p>
        </w:tc>
        <w:tc>
          <w:tcPr>
            <w:tcW w:w="567" w:type="dxa"/>
            <w:vAlign w:val="center"/>
          </w:tcPr>
          <w:p w14:paraId="0A7793F2">
            <w:pPr>
              <w:jc w:val="right"/>
              <w:rPr>
                <w:sz w:val="18"/>
                <w:szCs w:val="18"/>
              </w:rPr>
            </w:pPr>
          </w:p>
        </w:tc>
        <w:tc>
          <w:tcPr>
            <w:tcW w:w="1418" w:type="dxa"/>
            <w:vAlign w:val="center"/>
          </w:tcPr>
          <w:p w14:paraId="28735CBE">
            <w:pPr>
              <w:jc w:val="right"/>
              <w:rPr>
                <w:sz w:val="18"/>
                <w:szCs w:val="18"/>
              </w:rPr>
            </w:pPr>
          </w:p>
        </w:tc>
        <w:tc>
          <w:tcPr>
            <w:tcW w:w="709" w:type="dxa"/>
            <w:vAlign w:val="center"/>
          </w:tcPr>
          <w:p w14:paraId="6CB9B6D8">
            <w:pPr>
              <w:jc w:val="right"/>
              <w:rPr>
                <w:sz w:val="18"/>
                <w:szCs w:val="18"/>
              </w:rPr>
            </w:pPr>
          </w:p>
        </w:tc>
        <w:tc>
          <w:tcPr>
            <w:tcW w:w="1417" w:type="dxa"/>
            <w:vAlign w:val="center"/>
          </w:tcPr>
          <w:p w14:paraId="2BA863CC">
            <w:pPr>
              <w:jc w:val="right"/>
              <w:rPr>
                <w:sz w:val="18"/>
                <w:szCs w:val="18"/>
              </w:rPr>
            </w:pPr>
          </w:p>
        </w:tc>
        <w:tc>
          <w:tcPr>
            <w:tcW w:w="1559" w:type="dxa"/>
            <w:vAlign w:val="center"/>
          </w:tcPr>
          <w:p w14:paraId="76094F2A">
            <w:pPr>
              <w:jc w:val="right"/>
              <w:rPr>
                <w:sz w:val="18"/>
                <w:szCs w:val="18"/>
              </w:rPr>
            </w:pPr>
          </w:p>
        </w:tc>
        <w:tc>
          <w:tcPr>
            <w:tcW w:w="1491" w:type="dxa"/>
            <w:vAlign w:val="center"/>
          </w:tcPr>
          <w:p w14:paraId="5E2EF817">
            <w:pPr>
              <w:jc w:val="right"/>
              <w:rPr>
                <w:sz w:val="18"/>
                <w:szCs w:val="18"/>
              </w:rPr>
            </w:pPr>
          </w:p>
        </w:tc>
      </w:tr>
      <w:tr w14:paraId="7762E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sdt>
          <w:sdtPr>
            <w:tag w:val="_PLD_2ae06251c01740e284196240776af550"/>
            <w:id w:val="1769267310"/>
          </w:sdtPr>
          <w:sdtContent>
            <w:tc>
              <w:tcPr>
                <w:tcW w:w="2450" w:type="dxa"/>
                <w:vAlign w:val="center"/>
              </w:tcPr>
              <w:p w14:paraId="05460C90">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（五）专项储备</w:t>
                </w:r>
              </w:p>
            </w:tc>
          </w:sdtContent>
        </w:sdt>
        <w:tc>
          <w:tcPr>
            <w:tcW w:w="1656" w:type="dxa"/>
            <w:tcBorders>
              <w:right w:val="single" w:color="auto" w:sz="4" w:space="0"/>
            </w:tcBorders>
            <w:vAlign w:val="center"/>
          </w:tcPr>
          <w:p w14:paraId="6B5C9673">
            <w:pPr>
              <w:jc w:val="right"/>
              <w:rPr>
                <w:sz w:val="18"/>
                <w:szCs w:val="18"/>
              </w:rPr>
            </w:pPr>
          </w:p>
        </w:tc>
        <w:tc>
          <w:tcPr>
            <w:tcW w:w="472" w:type="dxa"/>
            <w:tcBorders>
              <w:left w:val="single" w:color="auto" w:sz="4" w:space="0"/>
              <w:right w:val="single" w:color="auto" w:sz="4" w:space="0"/>
            </w:tcBorders>
            <w:vAlign w:val="center"/>
          </w:tcPr>
          <w:p w14:paraId="5A04A513">
            <w:pPr>
              <w:jc w:val="right"/>
              <w:rPr>
                <w:sz w:val="18"/>
                <w:szCs w:val="18"/>
              </w:rPr>
            </w:pPr>
          </w:p>
        </w:tc>
        <w:tc>
          <w:tcPr>
            <w:tcW w:w="379" w:type="dxa"/>
            <w:tcBorders>
              <w:left w:val="single" w:color="auto" w:sz="4" w:space="0"/>
              <w:right w:val="single" w:color="auto" w:sz="4" w:space="0"/>
            </w:tcBorders>
            <w:vAlign w:val="center"/>
          </w:tcPr>
          <w:p w14:paraId="7F3DA7EF">
            <w:pPr>
              <w:jc w:val="right"/>
              <w:rPr>
                <w:sz w:val="18"/>
                <w:szCs w:val="18"/>
              </w:rPr>
            </w:pPr>
          </w:p>
        </w:tc>
        <w:tc>
          <w:tcPr>
            <w:tcW w:w="425" w:type="dxa"/>
            <w:tcBorders>
              <w:left w:val="single" w:color="auto" w:sz="4" w:space="0"/>
            </w:tcBorders>
            <w:vAlign w:val="center"/>
          </w:tcPr>
          <w:p w14:paraId="7B607A73">
            <w:pPr>
              <w:jc w:val="right"/>
              <w:rPr>
                <w:sz w:val="18"/>
                <w:szCs w:val="18"/>
              </w:rPr>
            </w:pPr>
          </w:p>
        </w:tc>
        <w:tc>
          <w:tcPr>
            <w:tcW w:w="1417" w:type="dxa"/>
            <w:vAlign w:val="center"/>
          </w:tcPr>
          <w:p w14:paraId="3F468D15">
            <w:pPr>
              <w:jc w:val="right"/>
              <w:rPr>
                <w:sz w:val="18"/>
                <w:szCs w:val="18"/>
              </w:rPr>
            </w:pPr>
          </w:p>
        </w:tc>
        <w:tc>
          <w:tcPr>
            <w:tcW w:w="567" w:type="dxa"/>
            <w:vAlign w:val="center"/>
          </w:tcPr>
          <w:p w14:paraId="109F297C">
            <w:pPr>
              <w:jc w:val="right"/>
              <w:rPr>
                <w:sz w:val="18"/>
                <w:szCs w:val="18"/>
              </w:rPr>
            </w:pPr>
          </w:p>
        </w:tc>
        <w:tc>
          <w:tcPr>
            <w:tcW w:w="1418" w:type="dxa"/>
            <w:vAlign w:val="center"/>
          </w:tcPr>
          <w:p w14:paraId="45073F21">
            <w:pPr>
              <w:jc w:val="right"/>
              <w:rPr>
                <w:sz w:val="18"/>
                <w:szCs w:val="18"/>
              </w:rPr>
            </w:pPr>
          </w:p>
        </w:tc>
        <w:tc>
          <w:tcPr>
            <w:tcW w:w="709" w:type="dxa"/>
            <w:vAlign w:val="center"/>
          </w:tcPr>
          <w:p w14:paraId="420DC0F6">
            <w:pPr>
              <w:jc w:val="right"/>
              <w:rPr>
                <w:sz w:val="18"/>
                <w:szCs w:val="18"/>
              </w:rPr>
            </w:pPr>
          </w:p>
        </w:tc>
        <w:tc>
          <w:tcPr>
            <w:tcW w:w="1417" w:type="dxa"/>
            <w:vAlign w:val="center"/>
          </w:tcPr>
          <w:p w14:paraId="24B06D65">
            <w:pPr>
              <w:jc w:val="right"/>
              <w:rPr>
                <w:sz w:val="18"/>
                <w:szCs w:val="18"/>
              </w:rPr>
            </w:pPr>
          </w:p>
        </w:tc>
        <w:tc>
          <w:tcPr>
            <w:tcW w:w="1559" w:type="dxa"/>
            <w:vAlign w:val="center"/>
          </w:tcPr>
          <w:p w14:paraId="1F616EDF">
            <w:pPr>
              <w:jc w:val="right"/>
              <w:rPr>
                <w:sz w:val="18"/>
                <w:szCs w:val="18"/>
              </w:rPr>
            </w:pPr>
          </w:p>
        </w:tc>
        <w:tc>
          <w:tcPr>
            <w:tcW w:w="1491" w:type="dxa"/>
            <w:vAlign w:val="center"/>
          </w:tcPr>
          <w:p w14:paraId="77E716CF">
            <w:pPr>
              <w:jc w:val="right"/>
              <w:rPr>
                <w:sz w:val="18"/>
                <w:szCs w:val="18"/>
              </w:rPr>
            </w:pPr>
          </w:p>
        </w:tc>
      </w:tr>
      <w:tr w14:paraId="4FA39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sdt>
          <w:sdtPr>
            <w:tag w:val="_PLD_6c9c274129814a4ea45296335d45791b"/>
            <w:id w:val="1256482194"/>
          </w:sdtPr>
          <w:sdtContent>
            <w:tc>
              <w:tcPr>
                <w:tcW w:w="2450" w:type="dxa"/>
                <w:vAlign w:val="center"/>
              </w:tcPr>
              <w:p w14:paraId="292DBEB5">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1．本期提取</w:t>
                </w:r>
              </w:p>
            </w:tc>
          </w:sdtContent>
        </w:sdt>
        <w:tc>
          <w:tcPr>
            <w:tcW w:w="1656" w:type="dxa"/>
            <w:tcBorders>
              <w:right w:val="single" w:color="auto" w:sz="4" w:space="0"/>
            </w:tcBorders>
            <w:vAlign w:val="center"/>
          </w:tcPr>
          <w:p w14:paraId="5AF9E046">
            <w:pPr>
              <w:jc w:val="right"/>
              <w:rPr>
                <w:sz w:val="18"/>
                <w:szCs w:val="18"/>
              </w:rPr>
            </w:pPr>
          </w:p>
        </w:tc>
        <w:tc>
          <w:tcPr>
            <w:tcW w:w="472" w:type="dxa"/>
            <w:tcBorders>
              <w:left w:val="single" w:color="auto" w:sz="4" w:space="0"/>
              <w:right w:val="single" w:color="auto" w:sz="4" w:space="0"/>
            </w:tcBorders>
            <w:vAlign w:val="center"/>
          </w:tcPr>
          <w:p w14:paraId="3F1DB1F3">
            <w:pPr>
              <w:jc w:val="right"/>
              <w:rPr>
                <w:sz w:val="18"/>
                <w:szCs w:val="18"/>
              </w:rPr>
            </w:pPr>
          </w:p>
        </w:tc>
        <w:tc>
          <w:tcPr>
            <w:tcW w:w="379" w:type="dxa"/>
            <w:tcBorders>
              <w:left w:val="single" w:color="auto" w:sz="4" w:space="0"/>
              <w:right w:val="single" w:color="auto" w:sz="4" w:space="0"/>
            </w:tcBorders>
            <w:vAlign w:val="center"/>
          </w:tcPr>
          <w:p w14:paraId="71408CEB">
            <w:pPr>
              <w:jc w:val="right"/>
              <w:rPr>
                <w:sz w:val="18"/>
                <w:szCs w:val="18"/>
              </w:rPr>
            </w:pPr>
          </w:p>
        </w:tc>
        <w:tc>
          <w:tcPr>
            <w:tcW w:w="425" w:type="dxa"/>
            <w:tcBorders>
              <w:left w:val="single" w:color="auto" w:sz="4" w:space="0"/>
            </w:tcBorders>
            <w:vAlign w:val="center"/>
          </w:tcPr>
          <w:p w14:paraId="546B04D0">
            <w:pPr>
              <w:jc w:val="right"/>
              <w:rPr>
                <w:sz w:val="18"/>
                <w:szCs w:val="18"/>
              </w:rPr>
            </w:pPr>
          </w:p>
        </w:tc>
        <w:tc>
          <w:tcPr>
            <w:tcW w:w="1417" w:type="dxa"/>
            <w:vAlign w:val="center"/>
          </w:tcPr>
          <w:p w14:paraId="28A479B4">
            <w:pPr>
              <w:jc w:val="right"/>
              <w:rPr>
                <w:sz w:val="18"/>
                <w:szCs w:val="18"/>
              </w:rPr>
            </w:pPr>
          </w:p>
        </w:tc>
        <w:tc>
          <w:tcPr>
            <w:tcW w:w="567" w:type="dxa"/>
            <w:vAlign w:val="center"/>
          </w:tcPr>
          <w:p w14:paraId="48DDB593">
            <w:pPr>
              <w:jc w:val="right"/>
              <w:rPr>
                <w:sz w:val="18"/>
                <w:szCs w:val="18"/>
              </w:rPr>
            </w:pPr>
          </w:p>
        </w:tc>
        <w:tc>
          <w:tcPr>
            <w:tcW w:w="1418" w:type="dxa"/>
            <w:vAlign w:val="center"/>
          </w:tcPr>
          <w:p w14:paraId="7C8B914E">
            <w:pPr>
              <w:jc w:val="right"/>
              <w:rPr>
                <w:sz w:val="18"/>
                <w:szCs w:val="18"/>
              </w:rPr>
            </w:pPr>
          </w:p>
        </w:tc>
        <w:tc>
          <w:tcPr>
            <w:tcW w:w="709" w:type="dxa"/>
            <w:vAlign w:val="center"/>
          </w:tcPr>
          <w:p w14:paraId="1152536D">
            <w:pPr>
              <w:jc w:val="right"/>
              <w:rPr>
                <w:sz w:val="18"/>
                <w:szCs w:val="18"/>
              </w:rPr>
            </w:pPr>
          </w:p>
        </w:tc>
        <w:tc>
          <w:tcPr>
            <w:tcW w:w="1417" w:type="dxa"/>
            <w:vAlign w:val="center"/>
          </w:tcPr>
          <w:p w14:paraId="1E573A44">
            <w:pPr>
              <w:jc w:val="right"/>
              <w:rPr>
                <w:sz w:val="18"/>
                <w:szCs w:val="18"/>
              </w:rPr>
            </w:pPr>
          </w:p>
        </w:tc>
        <w:tc>
          <w:tcPr>
            <w:tcW w:w="1559" w:type="dxa"/>
            <w:vAlign w:val="center"/>
          </w:tcPr>
          <w:p w14:paraId="136308FD">
            <w:pPr>
              <w:jc w:val="right"/>
              <w:rPr>
                <w:sz w:val="18"/>
                <w:szCs w:val="18"/>
              </w:rPr>
            </w:pPr>
          </w:p>
        </w:tc>
        <w:tc>
          <w:tcPr>
            <w:tcW w:w="1491" w:type="dxa"/>
            <w:vAlign w:val="center"/>
          </w:tcPr>
          <w:p w14:paraId="595C93EC">
            <w:pPr>
              <w:jc w:val="right"/>
              <w:rPr>
                <w:sz w:val="18"/>
                <w:szCs w:val="18"/>
              </w:rPr>
            </w:pPr>
          </w:p>
        </w:tc>
      </w:tr>
      <w:tr w14:paraId="49ADF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sdt>
          <w:sdtPr>
            <w:tag w:val="_PLD_14398e4dd6ed4c74869a974323e2137e"/>
            <w:id w:val="-204493359"/>
          </w:sdtPr>
          <w:sdtContent>
            <w:tc>
              <w:tcPr>
                <w:tcW w:w="2450" w:type="dxa"/>
                <w:vAlign w:val="center"/>
              </w:tcPr>
              <w:p w14:paraId="532C9D64">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2．本期使用</w:t>
                </w:r>
              </w:p>
            </w:tc>
          </w:sdtContent>
        </w:sdt>
        <w:tc>
          <w:tcPr>
            <w:tcW w:w="1656" w:type="dxa"/>
            <w:tcBorders>
              <w:right w:val="single" w:color="auto" w:sz="4" w:space="0"/>
            </w:tcBorders>
            <w:vAlign w:val="center"/>
          </w:tcPr>
          <w:p w14:paraId="719EF5DE">
            <w:pPr>
              <w:jc w:val="right"/>
              <w:rPr>
                <w:sz w:val="18"/>
                <w:szCs w:val="18"/>
              </w:rPr>
            </w:pPr>
          </w:p>
        </w:tc>
        <w:tc>
          <w:tcPr>
            <w:tcW w:w="472" w:type="dxa"/>
            <w:tcBorders>
              <w:left w:val="single" w:color="auto" w:sz="4" w:space="0"/>
              <w:right w:val="single" w:color="auto" w:sz="4" w:space="0"/>
            </w:tcBorders>
            <w:vAlign w:val="center"/>
          </w:tcPr>
          <w:p w14:paraId="7A4B3F1B">
            <w:pPr>
              <w:jc w:val="right"/>
              <w:rPr>
                <w:sz w:val="18"/>
                <w:szCs w:val="18"/>
              </w:rPr>
            </w:pPr>
          </w:p>
        </w:tc>
        <w:tc>
          <w:tcPr>
            <w:tcW w:w="379" w:type="dxa"/>
            <w:tcBorders>
              <w:left w:val="single" w:color="auto" w:sz="4" w:space="0"/>
              <w:right w:val="single" w:color="auto" w:sz="4" w:space="0"/>
            </w:tcBorders>
            <w:vAlign w:val="center"/>
          </w:tcPr>
          <w:p w14:paraId="33C0D995">
            <w:pPr>
              <w:jc w:val="right"/>
              <w:rPr>
                <w:sz w:val="18"/>
                <w:szCs w:val="18"/>
              </w:rPr>
            </w:pPr>
          </w:p>
        </w:tc>
        <w:tc>
          <w:tcPr>
            <w:tcW w:w="425" w:type="dxa"/>
            <w:tcBorders>
              <w:left w:val="single" w:color="auto" w:sz="4" w:space="0"/>
            </w:tcBorders>
            <w:vAlign w:val="center"/>
          </w:tcPr>
          <w:p w14:paraId="0867FCD4">
            <w:pPr>
              <w:jc w:val="right"/>
              <w:rPr>
                <w:sz w:val="18"/>
                <w:szCs w:val="18"/>
              </w:rPr>
            </w:pPr>
          </w:p>
        </w:tc>
        <w:tc>
          <w:tcPr>
            <w:tcW w:w="1417" w:type="dxa"/>
            <w:vAlign w:val="center"/>
          </w:tcPr>
          <w:p w14:paraId="185B0060">
            <w:pPr>
              <w:jc w:val="right"/>
              <w:rPr>
                <w:sz w:val="18"/>
                <w:szCs w:val="18"/>
              </w:rPr>
            </w:pPr>
          </w:p>
        </w:tc>
        <w:tc>
          <w:tcPr>
            <w:tcW w:w="567" w:type="dxa"/>
            <w:vAlign w:val="center"/>
          </w:tcPr>
          <w:p w14:paraId="762A0E8E">
            <w:pPr>
              <w:jc w:val="right"/>
              <w:rPr>
                <w:sz w:val="18"/>
                <w:szCs w:val="18"/>
              </w:rPr>
            </w:pPr>
          </w:p>
        </w:tc>
        <w:tc>
          <w:tcPr>
            <w:tcW w:w="1418" w:type="dxa"/>
            <w:vAlign w:val="center"/>
          </w:tcPr>
          <w:p w14:paraId="467D59D1">
            <w:pPr>
              <w:jc w:val="right"/>
              <w:rPr>
                <w:sz w:val="18"/>
                <w:szCs w:val="18"/>
              </w:rPr>
            </w:pPr>
          </w:p>
        </w:tc>
        <w:tc>
          <w:tcPr>
            <w:tcW w:w="709" w:type="dxa"/>
            <w:vAlign w:val="center"/>
          </w:tcPr>
          <w:p w14:paraId="51EB870F">
            <w:pPr>
              <w:jc w:val="right"/>
              <w:rPr>
                <w:sz w:val="18"/>
                <w:szCs w:val="18"/>
              </w:rPr>
            </w:pPr>
          </w:p>
        </w:tc>
        <w:tc>
          <w:tcPr>
            <w:tcW w:w="1417" w:type="dxa"/>
            <w:vAlign w:val="center"/>
          </w:tcPr>
          <w:p w14:paraId="53A92603">
            <w:pPr>
              <w:jc w:val="right"/>
              <w:rPr>
                <w:sz w:val="18"/>
                <w:szCs w:val="18"/>
              </w:rPr>
            </w:pPr>
          </w:p>
        </w:tc>
        <w:tc>
          <w:tcPr>
            <w:tcW w:w="1559" w:type="dxa"/>
            <w:vAlign w:val="center"/>
          </w:tcPr>
          <w:p w14:paraId="1B241995">
            <w:pPr>
              <w:jc w:val="right"/>
              <w:rPr>
                <w:sz w:val="18"/>
                <w:szCs w:val="18"/>
              </w:rPr>
            </w:pPr>
          </w:p>
        </w:tc>
        <w:tc>
          <w:tcPr>
            <w:tcW w:w="1491" w:type="dxa"/>
            <w:vAlign w:val="center"/>
          </w:tcPr>
          <w:p w14:paraId="52F63076">
            <w:pPr>
              <w:jc w:val="right"/>
              <w:rPr>
                <w:sz w:val="18"/>
                <w:szCs w:val="18"/>
              </w:rPr>
            </w:pPr>
          </w:p>
        </w:tc>
      </w:tr>
      <w:tr w14:paraId="458BF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sdt>
          <w:sdtPr>
            <w:tag w:val="_PLD_224fa1ebe84a4d40b88b89a97997e311"/>
            <w:id w:val="-1627001684"/>
          </w:sdtPr>
          <w:sdtContent>
            <w:tc>
              <w:tcPr>
                <w:tcW w:w="2450" w:type="dxa"/>
                <w:vAlign w:val="center"/>
              </w:tcPr>
              <w:p w14:paraId="31B80E9A">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（六）其他</w:t>
                </w:r>
              </w:p>
            </w:tc>
          </w:sdtContent>
        </w:sdt>
        <w:tc>
          <w:tcPr>
            <w:tcW w:w="1656" w:type="dxa"/>
            <w:tcBorders>
              <w:right w:val="single" w:color="auto" w:sz="4" w:space="0"/>
            </w:tcBorders>
            <w:vAlign w:val="center"/>
          </w:tcPr>
          <w:p w14:paraId="7D14E85B">
            <w:pPr>
              <w:jc w:val="right"/>
              <w:rPr>
                <w:sz w:val="18"/>
                <w:szCs w:val="18"/>
              </w:rPr>
            </w:pPr>
          </w:p>
        </w:tc>
        <w:tc>
          <w:tcPr>
            <w:tcW w:w="472" w:type="dxa"/>
            <w:tcBorders>
              <w:left w:val="single" w:color="auto" w:sz="4" w:space="0"/>
              <w:right w:val="single" w:color="auto" w:sz="4" w:space="0"/>
            </w:tcBorders>
            <w:vAlign w:val="center"/>
          </w:tcPr>
          <w:p w14:paraId="2622F707">
            <w:pPr>
              <w:jc w:val="right"/>
              <w:rPr>
                <w:sz w:val="18"/>
                <w:szCs w:val="18"/>
              </w:rPr>
            </w:pPr>
          </w:p>
        </w:tc>
        <w:tc>
          <w:tcPr>
            <w:tcW w:w="379" w:type="dxa"/>
            <w:tcBorders>
              <w:left w:val="single" w:color="auto" w:sz="4" w:space="0"/>
              <w:right w:val="single" w:color="auto" w:sz="4" w:space="0"/>
            </w:tcBorders>
            <w:vAlign w:val="center"/>
          </w:tcPr>
          <w:p w14:paraId="266B86B6">
            <w:pPr>
              <w:jc w:val="right"/>
              <w:rPr>
                <w:sz w:val="18"/>
                <w:szCs w:val="18"/>
              </w:rPr>
            </w:pPr>
          </w:p>
        </w:tc>
        <w:tc>
          <w:tcPr>
            <w:tcW w:w="425" w:type="dxa"/>
            <w:tcBorders>
              <w:left w:val="single" w:color="auto" w:sz="4" w:space="0"/>
            </w:tcBorders>
            <w:vAlign w:val="center"/>
          </w:tcPr>
          <w:p w14:paraId="061BAC51">
            <w:pPr>
              <w:jc w:val="right"/>
              <w:rPr>
                <w:sz w:val="18"/>
                <w:szCs w:val="18"/>
              </w:rPr>
            </w:pPr>
          </w:p>
        </w:tc>
        <w:tc>
          <w:tcPr>
            <w:tcW w:w="1417" w:type="dxa"/>
            <w:vAlign w:val="center"/>
          </w:tcPr>
          <w:p w14:paraId="6EAE5BBE">
            <w:pPr>
              <w:jc w:val="right"/>
              <w:rPr>
                <w:sz w:val="18"/>
                <w:szCs w:val="18"/>
              </w:rPr>
            </w:pPr>
          </w:p>
        </w:tc>
        <w:tc>
          <w:tcPr>
            <w:tcW w:w="567" w:type="dxa"/>
            <w:vAlign w:val="center"/>
          </w:tcPr>
          <w:p w14:paraId="32026A55">
            <w:pPr>
              <w:jc w:val="right"/>
              <w:rPr>
                <w:sz w:val="18"/>
                <w:szCs w:val="18"/>
              </w:rPr>
            </w:pPr>
          </w:p>
        </w:tc>
        <w:tc>
          <w:tcPr>
            <w:tcW w:w="1418" w:type="dxa"/>
            <w:vAlign w:val="center"/>
          </w:tcPr>
          <w:p w14:paraId="21B5FE58">
            <w:pPr>
              <w:jc w:val="right"/>
              <w:rPr>
                <w:sz w:val="18"/>
                <w:szCs w:val="18"/>
              </w:rPr>
            </w:pPr>
          </w:p>
        </w:tc>
        <w:tc>
          <w:tcPr>
            <w:tcW w:w="709" w:type="dxa"/>
            <w:vAlign w:val="center"/>
          </w:tcPr>
          <w:p w14:paraId="5DEB4A09">
            <w:pPr>
              <w:jc w:val="right"/>
              <w:rPr>
                <w:sz w:val="18"/>
                <w:szCs w:val="18"/>
              </w:rPr>
            </w:pPr>
          </w:p>
        </w:tc>
        <w:tc>
          <w:tcPr>
            <w:tcW w:w="1417" w:type="dxa"/>
            <w:vAlign w:val="center"/>
          </w:tcPr>
          <w:p w14:paraId="268433D5">
            <w:pPr>
              <w:jc w:val="right"/>
              <w:rPr>
                <w:sz w:val="18"/>
                <w:szCs w:val="18"/>
              </w:rPr>
            </w:pPr>
          </w:p>
        </w:tc>
        <w:tc>
          <w:tcPr>
            <w:tcW w:w="1559" w:type="dxa"/>
            <w:vAlign w:val="center"/>
          </w:tcPr>
          <w:p w14:paraId="38C52FD2">
            <w:pPr>
              <w:jc w:val="right"/>
              <w:rPr>
                <w:sz w:val="18"/>
                <w:szCs w:val="18"/>
              </w:rPr>
            </w:pPr>
          </w:p>
        </w:tc>
        <w:tc>
          <w:tcPr>
            <w:tcW w:w="1491" w:type="dxa"/>
            <w:vAlign w:val="center"/>
          </w:tcPr>
          <w:p w14:paraId="7FC86307">
            <w:pPr>
              <w:jc w:val="right"/>
              <w:rPr>
                <w:sz w:val="18"/>
                <w:szCs w:val="18"/>
              </w:rPr>
            </w:pPr>
          </w:p>
        </w:tc>
      </w:tr>
      <w:tr w14:paraId="475E2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sdt>
          <w:sdtPr>
            <w:tag w:val="_PLD_fe962ef732004aec94edafee7e0bef94"/>
            <w:id w:val="-6603675"/>
          </w:sdtPr>
          <w:sdtContent>
            <w:tc>
              <w:tcPr>
                <w:tcW w:w="2450" w:type="dxa"/>
                <w:vAlign w:val="center"/>
              </w:tcPr>
              <w:p w14:paraId="25C0BBFF">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四、本期期末余额</w:t>
                </w:r>
              </w:p>
            </w:tc>
          </w:sdtContent>
        </w:sdt>
        <w:tc>
          <w:tcPr>
            <w:tcW w:w="1656" w:type="dxa"/>
            <w:tcBorders>
              <w:right w:val="single" w:color="auto" w:sz="4" w:space="0"/>
            </w:tcBorders>
            <w:vAlign w:val="center"/>
          </w:tcPr>
          <w:p w14:paraId="6DF8F74E">
            <w:pPr>
              <w:jc w:val="right"/>
              <w:rPr>
                <w:sz w:val="18"/>
                <w:szCs w:val="18"/>
              </w:rPr>
            </w:pPr>
            <w:r>
              <w:rPr>
                <w:rFonts w:cs="Times New Roman"/>
                <w:color w:val="000000"/>
                <w:sz w:val="18"/>
                <w:szCs w:val="18"/>
              </w:rPr>
              <w:t>1,460,994,304.00</w:t>
            </w:r>
          </w:p>
        </w:tc>
        <w:tc>
          <w:tcPr>
            <w:tcW w:w="472" w:type="dxa"/>
            <w:tcBorders>
              <w:left w:val="single" w:color="auto" w:sz="4" w:space="0"/>
              <w:right w:val="single" w:color="auto" w:sz="4" w:space="0"/>
            </w:tcBorders>
            <w:vAlign w:val="center"/>
          </w:tcPr>
          <w:p w14:paraId="03346B18">
            <w:pPr>
              <w:jc w:val="right"/>
              <w:rPr>
                <w:sz w:val="18"/>
                <w:szCs w:val="18"/>
              </w:rPr>
            </w:pPr>
            <w:r>
              <w:rPr>
                <w:rFonts w:cs="Times New Roman"/>
                <w:color w:val="000000"/>
                <w:sz w:val="18"/>
                <w:szCs w:val="18"/>
              </w:rPr>
              <w:t>　</w:t>
            </w:r>
          </w:p>
        </w:tc>
        <w:tc>
          <w:tcPr>
            <w:tcW w:w="379" w:type="dxa"/>
            <w:tcBorders>
              <w:left w:val="single" w:color="auto" w:sz="4" w:space="0"/>
              <w:right w:val="single" w:color="auto" w:sz="4" w:space="0"/>
            </w:tcBorders>
            <w:vAlign w:val="center"/>
          </w:tcPr>
          <w:p w14:paraId="0CFD1FA9">
            <w:pPr>
              <w:jc w:val="right"/>
              <w:rPr>
                <w:sz w:val="18"/>
                <w:szCs w:val="18"/>
              </w:rPr>
            </w:pPr>
            <w:r>
              <w:rPr>
                <w:rFonts w:cs="Times New Roman"/>
                <w:color w:val="000000"/>
                <w:sz w:val="18"/>
                <w:szCs w:val="18"/>
              </w:rPr>
              <w:t>　</w:t>
            </w:r>
          </w:p>
        </w:tc>
        <w:tc>
          <w:tcPr>
            <w:tcW w:w="425" w:type="dxa"/>
            <w:tcBorders>
              <w:left w:val="single" w:color="auto" w:sz="4" w:space="0"/>
            </w:tcBorders>
            <w:vAlign w:val="center"/>
          </w:tcPr>
          <w:p w14:paraId="65B442C1">
            <w:pPr>
              <w:jc w:val="right"/>
              <w:rPr>
                <w:sz w:val="18"/>
                <w:szCs w:val="18"/>
              </w:rPr>
            </w:pPr>
            <w:r>
              <w:rPr>
                <w:rFonts w:cs="Times New Roman"/>
                <w:color w:val="000000"/>
                <w:sz w:val="18"/>
                <w:szCs w:val="18"/>
              </w:rPr>
              <w:t>　</w:t>
            </w:r>
          </w:p>
        </w:tc>
        <w:tc>
          <w:tcPr>
            <w:tcW w:w="1417" w:type="dxa"/>
            <w:vAlign w:val="center"/>
          </w:tcPr>
          <w:p w14:paraId="4F71C4F6">
            <w:pPr>
              <w:jc w:val="right"/>
              <w:rPr>
                <w:sz w:val="18"/>
                <w:szCs w:val="18"/>
              </w:rPr>
            </w:pPr>
            <w:r>
              <w:rPr>
                <w:rFonts w:cs="Times New Roman"/>
                <w:color w:val="000000"/>
                <w:sz w:val="18"/>
                <w:szCs w:val="18"/>
              </w:rPr>
              <w:t>399,925,938.07</w:t>
            </w:r>
          </w:p>
        </w:tc>
        <w:tc>
          <w:tcPr>
            <w:tcW w:w="567" w:type="dxa"/>
            <w:vAlign w:val="center"/>
          </w:tcPr>
          <w:p w14:paraId="5A9E00A2">
            <w:pPr>
              <w:jc w:val="right"/>
              <w:rPr>
                <w:sz w:val="18"/>
                <w:szCs w:val="18"/>
              </w:rPr>
            </w:pPr>
            <w:r>
              <w:rPr>
                <w:rFonts w:cs="Times New Roman"/>
                <w:color w:val="000000"/>
                <w:sz w:val="18"/>
                <w:szCs w:val="18"/>
              </w:rPr>
              <w:t>　</w:t>
            </w:r>
          </w:p>
        </w:tc>
        <w:tc>
          <w:tcPr>
            <w:tcW w:w="1418" w:type="dxa"/>
            <w:vAlign w:val="center"/>
          </w:tcPr>
          <w:p w14:paraId="7A8B3CEF">
            <w:pPr>
              <w:jc w:val="right"/>
              <w:rPr>
                <w:sz w:val="18"/>
                <w:szCs w:val="18"/>
              </w:rPr>
            </w:pPr>
            <w:r>
              <w:rPr>
                <w:rFonts w:cs="Times New Roman"/>
                <w:color w:val="000000"/>
                <w:sz w:val="18"/>
                <w:szCs w:val="18"/>
              </w:rPr>
              <w:t>92,779,101.53</w:t>
            </w:r>
          </w:p>
        </w:tc>
        <w:tc>
          <w:tcPr>
            <w:tcW w:w="709" w:type="dxa"/>
            <w:vAlign w:val="center"/>
          </w:tcPr>
          <w:p w14:paraId="4AADA737">
            <w:pPr>
              <w:jc w:val="right"/>
              <w:rPr>
                <w:sz w:val="18"/>
                <w:szCs w:val="18"/>
              </w:rPr>
            </w:pPr>
            <w:r>
              <w:rPr>
                <w:rFonts w:cs="Times New Roman"/>
                <w:color w:val="000000"/>
                <w:sz w:val="18"/>
                <w:szCs w:val="18"/>
              </w:rPr>
              <w:t>　</w:t>
            </w:r>
          </w:p>
        </w:tc>
        <w:tc>
          <w:tcPr>
            <w:tcW w:w="1417" w:type="dxa"/>
            <w:vAlign w:val="center"/>
          </w:tcPr>
          <w:p w14:paraId="02F4D5B5">
            <w:pPr>
              <w:jc w:val="right"/>
              <w:rPr>
                <w:sz w:val="18"/>
                <w:szCs w:val="18"/>
              </w:rPr>
            </w:pPr>
            <w:r>
              <w:rPr>
                <w:rFonts w:cs="Times New Roman"/>
                <w:color w:val="000000"/>
                <w:sz w:val="18"/>
                <w:szCs w:val="18"/>
              </w:rPr>
              <w:t>270,275,602.84</w:t>
            </w:r>
          </w:p>
        </w:tc>
        <w:tc>
          <w:tcPr>
            <w:tcW w:w="1559" w:type="dxa"/>
            <w:vAlign w:val="center"/>
          </w:tcPr>
          <w:p w14:paraId="05B72360">
            <w:pPr>
              <w:jc w:val="right"/>
              <w:rPr>
                <w:sz w:val="18"/>
                <w:szCs w:val="18"/>
              </w:rPr>
            </w:pPr>
            <w:r>
              <w:rPr>
                <w:rFonts w:cs="Times New Roman"/>
                <w:color w:val="000000"/>
                <w:sz w:val="18"/>
                <w:szCs w:val="18"/>
              </w:rPr>
              <w:t>1,561,099,335.47</w:t>
            </w:r>
          </w:p>
        </w:tc>
        <w:tc>
          <w:tcPr>
            <w:tcW w:w="1491" w:type="dxa"/>
            <w:vAlign w:val="center"/>
          </w:tcPr>
          <w:p w14:paraId="5DD4CA34">
            <w:pPr>
              <w:jc w:val="right"/>
              <w:rPr>
                <w:sz w:val="18"/>
                <w:szCs w:val="18"/>
              </w:rPr>
            </w:pPr>
            <w:r>
              <w:rPr>
                <w:rFonts w:cs="Times New Roman"/>
                <w:color w:val="000000"/>
                <w:sz w:val="18"/>
                <w:szCs w:val="18"/>
              </w:rPr>
              <w:t>3,785,074,281.91</w:t>
            </w:r>
          </w:p>
        </w:tc>
      </w:tr>
    </w:tbl>
    <w:p w14:paraId="018FF76B">
      <w:pPr>
        <w:rPr>
          <w:color w:val="000000" w:themeColor="text1"/>
          <w14:textFill>
            <w14:solidFill>
              <w14:schemeClr w14:val="tx1"/>
            </w14:solidFill>
          </w14:textFill>
        </w:rPr>
      </w:pPr>
    </w:p>
    <w:p w14:paraId="0B138117">
      <w:pPr>
        <w:rPr>
          <w:color w:val="000000" w:themeColor="text1"/>
          <w14:textFill>
            <w14:solidFill>
              <w14:schemeClr w14:val="tx1"/>
            </w14:solidFill>
          </w14:textFill>
        </w:rPr>
      </w:pPr>
    </w:p>
    <w:tbl>
      <w:tblPr>
        <w:tblStyle w:val="37"/>
        <w:tblW w:w="15735" w:type="dxa"/>
        <w:tblInd w:w="-57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27"/>
        <w:gridCol w:w="1920"/>
        <w:gridCol w:w="915"/>
        <w:gridCol w:w="992"/>
        <w:gridCol w:w="709"/>
        <w:gridCol w:w="1559"/>
        <w:gridCol w:w="1144"/>
        <w:gridCol w:w="1407"/>
        <w:gridCol w:w="426"/>
        <w:gridCol w:w="1417"/>
        <w:gridCol w:w="1559"/>
        <w:gridCol w:w="1560"/>
      </w:tblGrid>
      <w:tr w14:paraId="7BA10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2127" w:type="dxa"/>
            <w:vMerge w:val="restart"/>
            <w:vAlign w:val="center"/>
          </w:tcPr>
          <w:sdt>
            <w:sdtPr>
              <w:tag w:val="_PLD_312727f4b56147c2b646c0fb68a4b58b"/>
              <w:id w:val="1300421206"/>
            </w:sdtPr>
            <w:sdtContent>
              <w:p w14:paraId="064C1232">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项目</w:t>
                </w:r>
              </w:p>
            </w:sdtContent>
          </w:sdt>
        </w:tc>
        <w:tc>
          <w:tcPr>
            <w:tcW w:w="13608" w:type="dxa"/>
            <w:gridSpan w:val="11"/>
            <w:vAlign w:val="center"/>
          </w:tcPr>
          <w:p w14:paraId="2F62C80B">
            <w:pPr>
              <w:adjustRightInd w:val="0"/>
              <w:snapToGrid w:val="0"/>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 xml:space="preserve"> </w:t>
            </w:r>
            <w:sdt>
              <w:sdtPr>
                <w:tag w:val="_PLD_35246b22171846ac8ef46c5dfa1d1663"/>
                <w:id w:val="1918284510"/>
              </w:sdtPr>
              <w:sdtContent>
                <w:r>
                  <w:rPr>
                    <w:rFonts w:hint="eastAsia"/>
                    <w:color w:val="000000" w:themeColor="text1"/>
                    <w:sz w:val="18"/>
                    <w14:textFill>
                      <w14:solidFill>
                        <w14:schemeClr w14:val="tx1"/>
                      </w14:solidFill>
                    </w14:textFill>
                  </w:rPr>
                  <w:t>2025年半年度</w:t>
                </w:r>
              </w:sdtContent>
            </w:sdt>
          </w:p>
        </w:tc>
      </w:tr>
      <w:tr w14:paraId="18CC8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5" w:hRule="atLeast"/>
        </w:trPr>
        <w:tc>
          <w:tcPr>
            <w:tcW w:w="2127" w:type="dxa"/>
            <w:vMerge w:val="continue"/>
            <w:vAlign w:val="center"/>
          </w:tcPr>
          <w:p w14:paraId="6CC3698B">
            <w:pPr>
              <w:adjustRightInd w:val="0"/>
              <w:snapToGrid w:val="0"/>
              <w:rPr>
                <w:color w:val="000000" w:themeColor="text1"/>
                <w:sz w:val="18"/>
                <w:szCs w:val="18"/>
                <w14:textFill>
                  <w14:solidFill>
                    <w14:schemeClr w14:val="tx1"/>
                  </w14:solidFill>
                </w14:textFill>
              </w:rPr>
            </w:pPr>
          </w:p>
        </w:tc>
        <w:sdt>
          <w:sdtPr>
            <w:tag w:val="_PLD_5da9900c5a9e46a085487ea972f44796"/>
            <w:id w:val="1068926882"/>
          </w:sdtPr>
          <w:sdtContent>
            <w:tc>
              <w:tcPr>
                <w:tcW w:w="1920" w:type="dxa"/>
                <w:vMerge w:val="restart"/>
                <w:tcBorders>
                  <w:right w:val="single" w:color="auto" w:sz="4" w:space="0"/>
                </w:tcBorders>
                <w:vAlign w:val="center"/>
              </w:tcPr>
              <w:p w14:paraId="1FB4DF7A">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实收资本</w:t>
                </w:r>
                <w:r>
                  <w:rPr>
                    <w:color w:val="000000" w:themeColor="text1"/>
                    <w:sz w:val="18"/>
                    <w:szCs w:val="18"/>
                    <w14:textFill>
                      <w14:solidFill>
                        <w14:schemeClr w14:val="tx1"/>
                      </w14:solidFill>
                    </w14:textFill>
                  </w:rPr>
                  <w:t xml:space="preserve"> (或股本)</w:t>
                </w:r>
              </w:p>
            </w:tc>
          </w:sdtContent>
        </w:sdt>
        <w:sdt>
          <w:sdtPr>
            <w:tag w:val="_PLD_fc0bce3be00144ff950606755a048a76"/>
            <w:id w:val="-1153141933"/>
          </w:sdtPr>
          <w:sdtContent>
            <w:tc>
              <w:tcPr>
                <w:tcW w:w="2616" w:type="dxa"/>
                <w:gridSpan w:val="3"/>
                <w:tcBorders>
                  <w:left w:val="single" w:color="auto" w:sz="4" w:space="0"/>
                  <w:bottom w:val="single" w:color="auto" w:sz="4" w:space="0"/>
                </w:tcBorders>
                <w:vAlign w:val="center"/>
              </w:tcPr>
              <w:p w14:paraId="78EE0709">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其他权益工具</w:t>
                </w:r>
              </w:p>
            </w:tc>
          </w:sdtContent>
        </w:sdt>
        <w:sdt>
          <w:sdtPr>
            <w:tag w:val="_PLD_b31d07f97db344b1b180738b22a76467"/>
            <w:id w:val="2137513497"/>
          </w:sdtPr>
          <w:sdtContent>
            <w:tc>
              <w:tcPr>
                <w:tcW w:w="1559" w:type="dxa"/>
                <w:vMerge w:val="restart"/>
                <w:vAlign w:val="center"/>
              </w:tcPr>
              <w:p w14:paraId="5E90DB8E">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资本公积</w:t>
                </w:r>
              </w:p>
            </w:tc>
          </w:sdtContent>
        </w:sdt>
        <w:sdt>
          <w:sdtPr>
            <w:tag w:val="_PLD_244676dcaf4245bd9119f474a4e885f9"/>
            <w:id w:val="-1028176686"/>
          </w:sdtPr>
          <w:sdtContent>
            <w:tc>
              <w:tcPr>
                <w:tcW w:w="1144" w:type="dxa"/>
                <w:vMerge w:val="restart"/>
                <w:vAlign w:val="center"/>
              </w:tcPr>
              <w:p w14:paraId="7643B704">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减：库存股</w:t>
                </w:r>
              </w:p>
            </w:tc>
          </w:sdtContent>
        </w:sdt>
        <w:sdt>
          <w:sdtPr>
            <w:tag w:val="_PLD_01eab1b775574165b2820a19e72d2ad0"/>
            <w:id w:val="2032983761"/>
          </w:sdtPr>
          <w:sdtContent>
            <w:tc>
              <w:tcPr>
                <w:tcW w:w="1407" w:type="dxa"/>
                <w:vMerge w:val="restart"/>
                <w:vAlign w:val="center"/>
              </w:tcPr>
              <w:p w14:paraId="1ED10BE4">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其他综合收益</w:t>
                </w:r>
              </w:p>
            </w:tc>
          </w:sdtContent>
        </w:sdt>
        <w:sdt>
          <w:sdtPr>
            <w:tag w:val="_PLD_13f17e2c8a7a404da876af1bac2ae6d1"/>
            <w:id w:val="1559515243"/>
          </w:sdtPr>
          <w:sdtContent>
            <w:tc>
              <w:tcPr>
                <w:tcW w:w="426" w:type="dxa"/>
                <w:vMerge w:val="restart"/>
                <w:vAlign w:val="center"/>
              </w:tcPr>
              <w:p w14:paraId="54C1F1FC">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专项储备</w:t>
                </w:r>
              </w:p>
            </w:tc>
          </w:sdtContent>
        </w:sdt>
        <w:sdt>
          <w:sdtPr>
            <w:tag w:val="_PLD_9578f3812cf04a34965a5bdc9ee82115"/>
            <w:id w:val="2135053992"/>
          </w:sdtPr>
          <w:sdtContent>
            <w:tc>
              <w:tcPr>
                <w:tcW w:w="1417" w:type="dxa"/>
                <w:vMerge w:val="restart"/>
                <w:vAlign w:val="center"/>
              </w:tcPr>
              <w:p w14:paraId="2F6D2751">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盈余公积</w:t>
                </w:r>
              </w:p>
            </w:tc>
          </w:sdtContent>
        </w:sdt>
        <w:sdt>
          <w:sdtPr>
            <w:tag w:val="_PLD_5d835cd98ccc4304aec553a0b6a56628"/>
            <w:id w:val="-757126351"/>
          </w:sdtPr>
          <w:sdtContent>
            <w:tc>
              <w:tcPr>
                <w:tcW w:w="1559" w:type="dxa"/>
                <w:vMerge w:val="restart"/>
                <w:vAlign w:val="center"/>
              </w:tcPr>
              <w:p w14:paraId="098A0EF1">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未分配利润</w:t>
                </w:r>
              </w:p>
            </w:tc>
          </w:sdtContent>
        </w:sdt>
        <w:sdt>
          <w:sdtPr>
            <w:tag w:val="_PLD_1cbb8af374a54430ad1f29ed83c69cd0"/>
            <w:id w:val="1393243211"/>
          </w:sdtPr>
          <w:sdtContent>
            <w:tc>
              <w:tcPr>
                <w:tcW w:w="1560" w:type="dxa"/>
                <w:vMerge w:val="restart"/>
                <w:vAlign w:val="center"/>
              </w:tcPr>
              <w:p w14:paraId="106BF617">
                <w:pPr>
                  <w:adjustRightInd w:val="0"/>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所有者权益合计</w:t>
                </w:r>
              </w:p>
            </w:tc>
          </w:sdtContent>
        </w:sdt>
      </w:tr>
      <w:tr w14:paraId="2DC7D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trPr>
        <w:tc>
          <w:tcPr>
            <w:tcW w:w="2127" w:type="dxa"/>
            <w:vMerge w:val="continue"/>
            <w:vAlign w:val="center"/>
          </w:tcPr>
          <w:p w14:paraId="7A9F4064">
            <w:pPr>
              <w:adjustRightInd w:val="0"/>
              <w:snapToGrid w:val="0"/>
              <w:rPr>
                <w:color w:val="000000" w:themeColor="text1"/>
                <w:sz w:val="18"/>
                <w:szCs w:val="18"/>
                <w14:textFill>
                  <w14:solidFill>
                    <w14:schemeClr w14:val="tx1"/>
                  </w14:solidFill>
                </w14:textFill>
              </w:rPr>
            </w:pPr>
          </w:p>
        </w:tc>
        <w:tc>
          <w:tcPr>
            <w:tcW w:w="1920" w:type="dxa"/>
            <w:vMerge w:val="continue"/>
            <w:tcBorders>
              <w:right w:val="single" w:color="auto" w:sz="4" w:space="0"/>
            </w:tcBorders>
            <w:vAlign w:val="center"/>
          </w:tcPr>
          <w:p w14:paraId="4A762F7E">
            <w:pPr>
              <w:adjustRightInd w:val="0"/>
              <w:snapToGrid w:val="0"/>
              <w:jc w:val="center"/>
              <w:rPr>
                <w:color w:val="000000" w:themeColor="text1"/>
                <w:sz w:val="18"/>
                <w:szCs w:val="18"/>
                <w14:textFill>
                  <w14:solidFill>
                    <w14:schemeClr w14:val="tx1"/>
                  </w14:solidFill>
                </w14:textFill>
              </w:rPr>
            </w:pPr>
          </w:p>
        </w:tc>
        <w:sdt>
          <w:sdtPr>
            <w:tag w:val="_PLD_dcc9ba0f815c4a99a7c4c9fe219d232e"/>
            <w:id w:val="1879904166"/>
          </w:sdtPr>
          <w:sdtContent>
            <w:tc>
              <w:tcPr>
                <w:tcW w:w="915" w:type="dxa"/>
                <w:tcBorders>
                  <w:top w:val="single" w:color="auto" w:sz="4" w:space="0"/>
                  <w:left w:val="single" w:color="auto" w:sz="4" w:space="0"/>
                  <w:right w:val="single" w:color="auto" w:sz="4" w:space="0"/>
                </w:tcBorders>
                <w:vAlign w:val="center"/>
              </w:tcPr>
              <w:p w14:paraId="3308D5A8">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优先股</w:t>
                </w:r>
              </w:p>
            </w:tc>
          </w:sdtContent>
        </w:sdt>
        <w:sdt>
          <w:sdtPr>
            <w:tag w:val="_PLD_42f56a6e995041a8b03e0979c7b2350c"/>
            <w:id w:val="-1787112766"/>
          </w:sdtPr>
          <w:sdtContent>
            <w:tc>
              <w:tcPr>
                <w:tcW w:w="992" w:type="dxa"/>
                <w:tcBorders>
                  <w:top w:val="single" w:color="auto" w:sz="4" w:space="0"/>
                  <w:left w:val="single" w:color="auto" w:sz="4" w:space="0"/>
                  <w:right w:val="single" w:color="auto" w:sz="4" w:space="0"/>
                </w:tcBorders>
                <w:vAlign w:val="center"/>
              </w:tcPr>
              <w:p w14:paraId="74F9628C">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永续债</w:t>
                </w:r>
              </w:p>
            </w:tc>
          </w:sdtContent>
        </w:sdt>
        <w:sdt>
          <w:sdtPr>
            <w:tag w:val="_PLD_30aa853463c54004a69a2235554ee8fd"/>
            <w:id w:val="-1294900794"/>
          </w:sdtPr>
          <w:sdtContent>
            <w:tc>
              <w:tcPr>
                <w:tcW w:w="709" w:type="dxa"/>
                <w:tcBorders>
                  <w:top w:val="single" w:color="auto" w:sz="4" w:space="0"/>
                  <w:left w:val="single" w:color="auto" w:sz="4" w:space="0"/>
                </w:tcBorders>
                <w:vAlign w:val="center"/>
              </w:tcPr>
              <w:p w14:paraId="1E4690DE">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w:t>
                </w:r>
              </w:p>
            </w:tc>
          </w:sdtContent>
        </w:sdt>
        <w:tc>
          <w:tcPr>
            <w:tcW w:w="1559" w:type="dxa"/>
            <w:vMerge w:val="continue"/>
            <w:vAlign w:val="center"/>
          </w:tcPr>
          <w:p w14:paraId="14305FCE">
            <w:pPr>
              <w:adjustRightInd w:val="0"/>
              <w:snapToGrid w:val="0"/>
              <w:jc w:val="center"/>
              <w:rPr>
                <w:color w:val="000000" w:themeColor="text1"/>
                <w:sz w:val="18"/>
                <w:szCs w:val="18"/>
                <w14:textFill>
                  <w14:solidFill>
                    <w14:schemeClr w14:val="tx1"/>
                  </w14:solidFill>
                </w14:textFill>
              </w:rPr>
            </w:pPr>
          </w:p>
        </w:tc>
        <w:tc>
          <w:tcPr>
            <w:tcW w:w="1144" w:type="dxa"/>
            <w:vMerge w:val="continue"/>
            <w:vAlign w:val="center"/>
          </w:tcPr>
          <w:p w14:paraId="1ED81C6F">
            <w:pPr>
              <w:adjustRightInd w:val="0"/>
              <w:snapToGrid w:val="0"/>
              <w:jc w:val="center"/>
              <w:rPr>
                <w:color w:val="000000" w:themeColor="text1"/>
                <w:sz w:val="18"/>
                <w:szCs w:val="18"/>
                <w14:textFill>
                  <w14:solidFill>
                    <w14:schemeClr w14:val="tx1"/>
                  </w14:solidFill>
                </w14:textFill>
              </w:rPr>
            </w:pPr>
          </w:p>
        </w:tc>
        <w:tc>
          <w:tcPr>
            <w:tcW w:w="1407" w:type="dxa"/>
            <w:vMerge w:val="continue"/>
            <w:vAlign w:val="center"/>
          </w:tcPr>
          <w:p w14:paraId="63C78372">
            <w:pPr>
              <w:jc w:val="center"/>
              <w:rPr>
                <w:color w:val="000000" w:themeColor="text1"/>
                <w:sz w:val="18"/>
                <w:szCs w:val="18"/>
                <w14:textFill>
                  <w14:solidFill>
                    <w14:schemeClr w14:val="tx1"/>
                  </w14:solidFill>
                </w14:textFill>
              </w:rPr>
            </w:pPr>
          </w:p>
        </w:tc>
        <w:tc>
          <w:tcPr>
            <w:tcW w:w="426" w:type="dxa"/>
            <w:vMerge w:val="continue"/>
            <w:vAlign w:val="center"/>
          </w:tcPr>
          <w:p w14:paraId="780AA44C">
            <w:pPr>
              <w:adjustRightInd w:val="0"/>
              <w:snapToGrid w:val="0"/>
              <w:jc w:val="center"/>
              <w:rPr>
                <w:color w:val="000000" w:themeColor="text1"/>
                <w:sz w:val="18"/>
                <w:szCs w:val="18"/>
                <w14:textFill>
                  <w14:solidFill>
                    <w14:schemeClr w14:val="tx1"/>
                  </w14:solidFill>
                </w14:textFill>
              </w:rPr>
            </w:pPr>
          </w:p>
        </w:tc>
        <w:tc>
          <w:tcPr>
            <w:tcW w:w="1417" w:type="dxa"/>
            <w:vMerge w:val="continue"/>
            <w:vAlign w:val="center"/>
          </w:tcPr>
          <w:p w14:paraId="4B4DE96D">
            <w:pPr>
              <w:adjustRightInd w:val="0"/>
              <w:snapToGrid w:val="0"/>
              <w:jc w:val="center"/>
              <w:rPr>
                <w:color w:val="000000" w:themeColor="text1"/>
                <w:sz w:val="18"/>
                <w:szCs w:val="18"/>
                <w14:textFill>
                  <w14:solidFill>
                    <w14:schemeClr w14:val="tx1"/>
                  </w14:solidFill>
                </w14:textFill>
              </w:rPr>
            </w:pPr>
          </w:p>
        </w:tc>
        <w:tc>
          <w:tcPr>
            <w:tcW w:w="1559" w:type="dxa"/>
            <w:vMerge w:val="continue"/>
            <w:vAlign w:val="center"/>
          </w:tcPr>
          <w:p w14:paraId="0700D125">
            <w:pPr>
              <w:adjustRightInd w:val="0"/>
              <w:snapToGrid w:val="0"/>
              <w:jc w:val="center"/>
              <w:rPr>
                <w:color w:val="000000" w:themeColor="text1"/>
                <w:sz w:val="18"/>
                <w:szCs w:val="18"/>
                <w14:textFill>
                  <w14:solidFill>
                    <w14:schemeClr w14:val="tx1"/>
                  </w14:solidFill>
                </w14:textFill>
              </w:rPr>
            </w:pPr>
          </w:p>
        </w:tc>
        <w:tc>
          <w:tcPr>
            <w:tcW w:w="1560" w:type="dxa"/>
            <w:vMerge w:val="continue"/>
            <w:vAlign w:val="center"/>
          </w:tcPr>
          <w:p w14:paraId="4564240D">
            <w:pPr>
              <w:adjustRightInd w:val="0"/>
              <w:snapToGrid w:val="0"/>
              <w:jc w:val="center"/>
              <w:rPr>
                <w:color w:val="000000" w:themeColor="text1"/>
                <w:sz w:val="18"/>
                <w:szCs w:val="18"/>
                <w14:textFill>
                  <w14:solidFill>
                    <w14:schemeClr w14:val="tx1"/>
                  </w14:solidFill>
                </w14:textFill>
              </w:rPr>
            </w:pPr>
          </w:p>
        </w:tc>
      </w:tr>
      <w:tr w14:paraId="08C9F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b00b327c7ecc4ad1bfafd8f9c1a6ce86"/>
            <w:id w:val="1285308313"/>
          </w:sdtPr>
          <w:sdtContent>
            <w:tc>
              <w:tcPr>
                <w:tcW w:w="2127" w:type="dxa"/>
                <w:vAlign w:val="center"/>
              </w:tcPr>
              <w:p w14:paraId="665B18DD">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一、上年</w:t>
                </w:r>
                <w:r>
                  <w:rPr>
                    <w:rFonts w:hint="eastAsia"/>
                    <w:color w:val="000000" w:themeColor="text1"/>
                    <w:sz w:val="18"/>
                    <w:szCs w:val="18"/>
                    <w14:textFill>
                      <w14:solidFill>
                        <w14:schemeClr w14:val="tx1"/>
                      </w14:solidFill>
                    </w14:textFill>
                  </w:rPr>
                  <w:t>期</w:t>
                </w:r>
                <w:r>
                  <w:rPr>
                    <w:color w:val="000000" w:themeColor="text1"/>
                    <w:sz w:val="18"/>
                    <w:szCs w:val="18"/>
                    <w14:textFill>
                      <w14:solidFill>
                        <w14:schemeClr w14:val="tx1"/>
                      </w14:solidFill>
                    </w14:textFill>
                  </w:rPr>
                  <w:t>末余额</w:t>
                </w:r>
              </w:p>
            </w:tc>
          </w:sdtContent>
        </w:sdt>
        <w:tc>
          <w:tcPr>
            <w:tcW w:w="1920" w:type="dxa"/>
            <w:tcBorders>
              <w:right w:val="single" w:color="auto" w:sz="4" w:space="0"/>
            </w:tcBorders>
            <w:vAlign w:val="center"/>
          </w:tcPr>
          <w:p w14:paraId="4FD5C9E6">
            <w:pPr>
              <w:jc w:val="right"/>
              <w:rPr>
                <w:sz w:val="18"/>
                <w:szCs w:val="18"/>
              </w:rPr>
            </w:pPr>
            <w:r>
              <w:rPr>
                <w:sz w:val="18"/>
                <w:szCs w:val="18"/>
              </w:rPr>
              <w:t>1,460,994,304.00</w:t>
            </w:r>
          </w:p>
        </w:tc>
        <w:tc>
          <w:tcPr>
            <w:tcW w:w="915" w:type="dxa"/>
            <w:tcBorders>
              <w:left w:val="single" w:color="auto" w:sz="4" w:space="0"/>
              <w:right w:val="single" w:color="auto" w:sz="4" w:space="0"/>
            </w:tcBorders>
            <w:vAlign w:val="center"/>
          </w:tcPr>
          <w:p w14:paraId="57AF60CF">
            <w:pPr>
              <w:jc w:val="right"/>
              <w:rPr>
                <w:sz w:val="18"/>
                <w:szCs w:val="18"/>
              </w:rPr>
            </w:pPr>
          </w:p>
        </w:tc>
        <w:tc>
          <w:tcPr>
            <w:tcW w:w="992" w:type="dxa"/>
            <w:tcBorders>
              <w:left w:val="single" w:color="auto" w:sz="4" w:space="0"/>
              <w:right w:val="single" w:color="auto" w:sz="4" w:space="0"/>
            </w:tcBorders>
            <w:vAlign w:val="center"/>
          </w:tcPr>
          <w:p w14:paraId="7E21C062">
            <w:pPr>
              <w:jc w:val="right"/>
              <w:rPr>
                <w:sz w:val="18"/>
                <w:szCs w:val="18"/>
              </w:rPr>
            </w:pPr>
          </w:p>
        </w:tc>
        <w:tc>
          <w:tcPr>
            <w:tcW w:w="709" w:type="dxa"/>
            <w:tcBorders>
              <w:left w:val="single" w:color="auto" w:sz="4" w:space="0"/>
              <w:right w:val="single" w:color="auto" w:sz="4" w:space="0"/>
            </w:tcBorders>
            <w:vAlign w:val="center"/>
          </w:tcPr>
          <w:p w14:paraId="6FDE71F9">
            <w:pPr>
              <w:jc w:val="right"/>
              <w:rPr>
                <w:sz w:val="18"/>
                <w:szCs w:val="18"/>
              </w:rPr>
            </w:pPr>
          </w:p>
        </w:tc>
        <w:tc>
          <w:tcPr>
            <w:tcW w:w="1559" w:type="dxa"/>
            <w:tcBorders>
              <w:left w:val="single" w:color="auto" w:sz="4" w:space="0"/>
            </w:tcBorders>
            <w:vAlign w:val="center"/>
          </w:tcPr>
          <w:p w14:paraId="43C75FC2">
            <w:pPr>
              <w:jc w:val="right"/>
              <w:rPr>
                <w:sz w:val="18"/>
                <w:szCs w:val="18"/>
              </w:rPr>
            </w:pPr>
            <w:r>
              <w:rPr>
                <w:sz w:val="18"/>
                <w:szCs w:val="18"/>
              </w:rPr>
              <w:t>399,925,938.07</w:t>
            </w:r>
          </w:p>
        </w:tc>
        <w:tc>
          <w:tcPr>
            <w:tcW w:w="1144" w:type="dxa"/>
            <w:vAlign w:val="center"/>
          </w:tcPr>
          <w:p w14:paraId="52B16A85">
            <w:pPr>
              <w:jc w:val="right"/>
              <w:rPr>
                <w:sz w:val="18"/>
                <w:szCs w:val="18"/>
              </w:rPr>
            </w:pPr>
          </w:p>
        </w:tc>
        <w:tc>
          <w:tcPr>
            <w:tcW w:w="1407" w:type="dxa"/>
            <w:vAlign w:val="center"/>
          </w:tcPr>
          <w:p w14:paraId="7B50505F">
            <w:pPr>
              <w:jc w:val="right"/>
              <w:rPr>
                <w:sz w:val="18"/>
                <w:szCs w:val="18"/>
              </w:rPr>
            </w:pPr>
            <w:r>
              <w:rPr>
                <w:sz w:val="18"/>
                <w:szCs w:val="18"/>
              </w:rPr>
              <w:t>97,731,844.14</w:t>
            </w:r>
          </w:p>
        </w:tc>
        <w:tc>
          <w:tcPr>
            <w:tcW w:w="426" w:type="dxa"/>
            <w:vAlign w:val="center"/>
          </w:tcPr>
          <w:p w14:paraId="53284778">
            <w:pPr>
              <w:jc w:val="right"/>
              <w:rPr>
                <w:sz w:val="18"/>
                <w:szCs w:val="18"/>
              </w:rPr>
            </w:pPr>
          </w:p>
        </w:tc>
        <w:tc>
          <w:tcPr>
            <w:tcW w:w="1417" w:type="dxa"/>
            <w:vAlign w:val="center"/>
          </w:tcPr>
          <w:p w14:paraId="4B4AA348">
            <w:pPr>
              <w:jc w:val="right"/>
              <w:rPr>
                <w:sz w:val="18"/>
                <w:szCs w:val="18"/>
              </w:rPr>
            </w:pPr>
            <w:r>
              <w:rPr>
                <w:sz w:val="18"/>
                <w:szCs w:val="18"/>
              </w:rPr>
              <w:t>259,044,621.68</w:t>
            </w:r>
          </w:p>
        </w:tc>
        <w:tc>
          <w:tcPr>
            <w:tcW w:w="1559" w:type="dxa"/>
            <w:vAlign w:val="center"/>
          </w:tcPr>
          <w:p w14:paraId="0966CF16">
            <w:pPr>
              <w:jc w:val="right"/>
              <w:rPr>
                <w:sz w:val="18"/>
                <w:szCs w:val="18"/>
              </w:rPr>
            </w:pPr>
            <w:r>
              <w:rPr>
                <w:sz w:val="18"/>
                <w:szCs w:val="18"/>
              </w:rPr>
              <w:t>1,460,003,755.88</w:t>
            </w:r>
          </w:p>
        </w:tc>
        <w:tc>
          <w:tcPr>
            <w:tcW w:w="1560" w:type="dxa"/>
            <w:vAlign w:val="center"/>
          </w:tcPr>
          <w:p w14:paraId="48232EDF">
            <w:pPr>
              <w:jc w:val="right"/>
              <w:rPr>
                <w:sz w:val="18"/>
                <w:szCs w:val="18"/>
              </w:rPr>
            </w:pPr>
            <w:r>
              <w:rPr>
                <w:sz w:val="18"/>
                <w:szCs w:val="18"/>
              </w:rPr>
              <w:t>3,677,700,463.77</w:t>
            </w:r>
          </w:p>
        </w:tc>
      </w:tr>
      <w:tr w14:paraId="7BE0B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87ad1d45ba9b40488fdf5165b8168def"/>
            <w:id w:val="746305313"/>
          </w:sdtPr>
          <w:sdtContent>
            <w:tc>
              <w:tcPr>
                <w:tcW w:w="2127" w:type="dxa"/>
                <w:vAlign w:val="center"/>
              </w:tcPr>
              <w:p w14:paraId="480DEA57">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加：会计政策变更</w:t>
                </w:r>
              </w:p>
            </w:tc>
          </w:sdtContent>
        </w:sdt>
        <w:tc>
          <w:tcPr>
            <w:tcW w:w="1920" w:type="dxa"/>
            <w:tcBorders>
              <w:right w:val="single" w:color="auto" w:sz="4" w:space="0"/>
            </w:tcBorders>
            <w:vAlign w:val="center"/>
          </w:tcPr>
          <w:p w14:paraId="58E3EE36">
            <w:pPr>
              <w:jc w:val="right"/>
              <w:rPr>
                <w:sz w:val="18"/>
                <w:szCs w:val="18"/>
              </w:rPr>
            </w:pPr>
          </w:p>
        </w:tc>
        <w:tc>
          <w:tcPr>
            <w:tcW w:w="915" w:type="dxa"/>
            <w:tcBorders>
              <w:left w:val="single" w:color="auto" w:sz="4" w:space="0"/>
              <w:right w:val="single" w:color="auto" w:sz="4" w:space="0"/>
            </w:tcBorders>
            <w:vAlign w:val="center"/>
          </w:tcPr>
          <w:p w14:paraId="3B3668F5">
            <w:pPr>
              <w:jc w:val="right"/>
              <w:rPr>
                <w:sz w:val="18"/>
                <w:szCs w:val="18"/>
              </w:rPr>
            </w:pPr>
          </w:p>
        </w:tc>
        <w:tc>
          <w:tcPr>
            <w:tcW w:w="992" w:type="dxa"/>
            <w:tcBorders>
              <w:left w:val="single" w:color="auto" w:sz="4" w:space="0"/>
              <w:right w:val="single" w:color="auto" w:sz="4" w:space="0"/>
            </w:tcBorders>
            <w:vAlign w:val="center"/>
          </w:tcPr>
          <w:p w14:paraId="31654297">
            <w:pPr>
              <w:jc w:val="right"/>
              <w:rPr>
                <w:sz w:val="18"/>
                <w:szCs w:val="18"/>
              </w:rPr>
            </w:pPr>
          </w:p>
        </w:tc>
        <w:tc>
          <w:tcPr>
            <w:tcW w:w="709" w:type="dxa"/>
            <w:tcBorders>
              <w:left w:val="single" w:color="auto" w:sz="4" w:space="0"/>
              <w:right w:val="single" w:color="auto" w:sz="4" w:space="0"/>
            </w:tcBorders>
            <w:vAlign w:val="center"/>
          </w:tcPr>
          <w:p w14:paraId="14B86E8E">
            <w:pPr>
              <w:jc w:val="right"/>
              <w:rPr>
                <w:sz w:val="18"/>
                <w:szCs w:val="18"/>
              </w:rPr>
            </w:pPr>
          </w:p>
        </w:tc>
        <w:tc>
          <w:tcPr>
            <w:tcW w:w="1559" w:type="dxa"/>
            <w:tcBorders>
              <w:left w:val="single" w:color="auto" w:sz="4" w:space="0"/>
            </w:tcBorders>
            <w:vAlign w:val="center"/>
          </w:tcPr>
          <w:p w14:paraId="0275ECF2">
            <w:pPr>
              <w:jc w:val="right"/>
              <w:rPr>
                <w:sz w:val="18"/>
                <w:szCs w:val="18"/>
              </w:rPr>
            </w:pPr>
          </w:p>
        </w:tc>
        <w:tc>
          <w:tcPr>
            <w:tcW w:w="1144" w:type="dxa"/>
            <w:vAlign w:val="center"/>
          </w:tcPr>
          <w:p w14:paraId="010FAB9A">
            <w:pPr>
              <w:jc w:val="right"/>
              <w:rPr>
                <w:sz w:val="18"/>
                <w:szCs w:val="18"/>
              </w:rPr>
            </w:pPr>
          </w:p>
        </w:tc>
        <w:tc>
          <w:tcPr>
            <w:tcW w:w="1407" w:type="dxa"/>
            <w:vAlign w:val="center"/>
          </w:tcPr>
          <w:p w14:paraId="5136E274">
            <w:pPr>
              <w:jc w:val="right"/>
              <w:rPr>
                <w:sz w:val="18"/>
                <w:szCs w:val="18"/>
              </w:rPr>
            </w:pPr>
          </w:p>
        </w:tc>
        <w:tc>
          <w:tcPr>
            <w:tcW w:w="426" w:type="dxa"/>
            <w:vAlign w:val="center"/>
          </w:tcPr>
          <w:p w14:paraId="419A4CC2">
            <w:pPr>
              <w:jc w:val="right"/>
              <w:rPr>
                <w:sz w:val="18"/>
                <w:szCs w:val="18"/>
              </w:rPr>
            </w:pPr>
          </w:p>
        </w:tc>
        <w:tc>
          <w:tcPr>
            <w:tcW w:w="1417" w:type="dxa"/>
            <w:vAlign w:val="center"/>
          </w:tcPr>
          <w:p w14:paraId="577F864B">
            <w:pPr>
              <w:jc w:val="right"/>
              <w:rPr>
                <w:sz w:val="18"/>
                <w:szCs w:val="18"/>
              </w:rPr>
            </w:pPr>
          </w:p>
        </w:tc>
        <w:tc>
          <w:tcPr>
            <w:tcW w:w="1559" w:type="dxa"/>
            <w:vAlign w:val="center"/>
          </w:tcPr>
          <w:p w14:paraId="524FC097">
            <w:pPr>
              <w:jc w:val="right"/>
              <w:rPr>
                <w:sz w:val="18"/>
                <w:szCs w:val="18"/>
              </w:rPr>
            </w:pPr>
          </w:p>
        </w:tc>
        <w:tc>
          <w:tcPr>
            <w:tcW w:w="1560" w:type="dxa"/>
            <w:vAlign w:val="center"/>
          </w:tcPr>
          <w:p w14:paraId="589C366C">
            <w:pPr>
              <w:jc w:val="right"/>
              <w:rPr>
                <w:sz w:val="18"/>
                <w:szCs w:val="18"/>
              </w:rPr>
            </w:pPr>
          </w:p>
        </w:tc>
      </w:tr>
      <w:tr w14:paraId="710B8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494f8b7216f946d9a09f6954da6ee226"/>
            <w:id w:val="-760985314"/>
          </w:sdtPr>
          <w:sdtContent>
            <w:tc>
              <w:tcPr>
                <w:tcW w:w="2127" w:type="dxa"/>
                <w:vAlign w:val="center"/>
              </w:tcPr>
              <w:p w14:paraId="76F478DC">
                <w:pPr>
                  <w:ind w:firstLine="420" w:firstLineChars="20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前期差错更正</w:t>
                </w:r>
              </w:p>
            </w:tc>
          </w:sdtContent>
        </w:sdt>
        <w:tc>
          <w:tcPr>
            <w:tcW w:w="1920" w:type="dxa"/>
            <w:tcBorders>
              <w:right w:val="single" w:color="auto" w:sz="4" w:space="0"/>
            </w:tcBorders>
            <w:vAlign w:val="center"/>
          </w:tcPr>
          <w:p w14:paraId="1BCD9586">
            <w:pPr>
              <w:jc w:val="right"/>
              <w:rPr>
                <w:sz w:val="18"/>
                <w:szCs w:val="18"/>
              </w:rPr>
            </w:pPr>
          </w:p>
        </w:tc>
        <w:tc>
          <w:tcPr>
            <w:tcW w:w="915" w:type="dxa"/>
            <w:tcBorders>
              <w:left w:val="single" w:color="auto" w:sz="4" w:space="0"/>
              <w:right w:val="single" w:color="auto" w:sz="4" w:space="0"/>
            </w:tcBorders>
            <w:vAlign w:val="center"/>
          </w:tcPr>
          <w:p w14:paraId="38EDE410">
            <w:pPr>
              <w:jc w:val="right"/>
              <w:rPr>
                <w:sz w:val="18"/>
                <w:szCs w:val="18"/>
              </w:rPr>
            </w:pPr>
          </w:p>
        </w:tc>
        <w:tc>
          <w:tcPr>
            <w:tcW w:w="992" w:type="dxa"/>
            <w:tcBorders>
              <w:left w:val="single" w:color="auto" w:sz="4" w:space="0"/>
              <w:right w:val="single" w:color="auto" w:sz="4" w:space="0"/>
            </w:tcBorders>
            <w:vAlign w:val="center"/>
          </w:tcPr>
          <w:p w14:paraId="1952FE00">
            <w:pPr>
              <w:jc w:val="right"/>
              <w:rPr>
                <w:sz w:val="18"/>
                <w:szCs w:val="18"/>
              </w:rPr>
            </w:pPr>
          </w:p>
        </w:tc>
        <w:tc>
          <w:tcPr>
            <w:tcW w:w="709" w:type="dxa"/>
            <w:tcBorders>
              <w:left w:val="single" w:color="auto" w:sz="4" w:space="0"/>
              <w:right w:val="single" w:color="auto" w:sz="4" w:space="0"/>
            </w:tcBorders>
            <w:vAlign w:val="center"/>
          </w:tcPr>
          <w:p w14:paraId="1FE704B8">
            <w:pPr>
              <w:jc w:val="right"/>
              <w:rPr>
                <w:sz w:val="18"/>
                <w:szCs w:val="18"/>
              </w:rPr>
            </w:pPr>
          </w:p>
        </w:tc>
        <w:tc>
          <w:tcPr>
            <w:tcW w:w="1559" w:type="dxa"/>
            <w:tcBorders>
              <w:left w:val="single" w:color="auto" w:sz="4" w:space="0"/>
            </w:tcBorders>
            <w:vAlign w:val="center"/>
          </w:tcPr>
          <w:p w14:paraId="7CACBB97">
            <w:pPr>
              <w:jc w:val="right"/>
              <w:rPr>
                <w:sz w:val="18"/>
                <w:szCs w:val="18"/>
              </w:rPr>
            </w:pPr>
          </w:p>
        </w:tc>
        <w:tc>
          <w:tcPr>
            <w:tcW w:w="1144" w:type="dxa"/>
            <w:vAlign w:val="center"/>
          </w:tcPr>
          <w:p w14:paraId="09A58B44">
            <w:pPr>
              <w:jc w:val="right"/>
              <w:rPr>
                <w:sz w:val="18"/>
                <w:szCs w:val="18"/>
              </w:rPr>
            </w:pPr>
          </w:p>
        </w:tc>
        <w:tc>
          <w:tcPr>
            <w:tcW w:w="1407" w:type="dxa"/>
            <w:vAlign w:val="center"/>
          </w:tcPr>
          <w:p w14:paraId="2EDC6979">
            <w:pPr>
              <w:jc w:val="right"/>
              <w:rPr>
                <w:sz w:val="18"/>
                <w:szCs w:val="18"/>
              </w:rPr>
            </w:pPr>
          </w:p>
        </w:tc>
        <w:tc>
          <w:tcPr>
            <w:tcW w:w="426" w:type="dxa"/>
            <w:vAlign w:val="center"/>
          </w:tcPr>
          <w:p w14:paraId="58C72285">
            <w:pPr>
              <w:jc w:val="right"/>
              <w:rPr>
                <w:sz w:val="18"/>
                <w:szCs w:val="18"/>
              </w:rPr>
            </w:pPr>
          </w:p>
        </w:tc>
        <w:tc>
          <w:tcPr>
            <w:tcW w:w="1417" w:type="dxa"/>
            <w:vAlign w:val="center"/>
          </w:tcPr>
          <w:p w14:paraId="6A8420CE">
            <w:pPr>
              <w:jc w:val="right"/>
              <w:rPr>
                <w:sz w:val="18"/>
                <w:szCs w:val="18"/>
              </w:rPr>
            </w:pPr>
          </w:p>
        </w:tc>
        <w:tc>
          <w:tcPr>
            <w:tcW w:w="1559" w:type="dxa"/>
            <w:vAlign w:val="center"/>
          </w:tcPr>
          <w:p w14:paraId="69EB6C87">
            <w:pPr>
              <w:jc w:val="right"/>
              <w:rPr>
                <w:sz w:val="18"/>
                <w:szCs w:val="18"/>
              </w:rPr>
            </w:pPr>
          </w:p>
        </w:tc>
        <w:tc>
          <w:tcPr>
            <w:tcW w:w="1560" w:type="dxa"/>
            <w:vAlign w:val="center"/>
          </w:tcPr>
          <w:p w14:paraId="07AF7440">
            <w:pPr>
              <w:jc w:val="right"/>
              <w:rPr>
                <w:sz w:val="18"/>
                <w:szCs w:val="18"/>
              </w:rPr>
            </w:pPr>
          </w:p>
        </w:tc>
      </w:tr>
      <w:tr w14:paraId="2F1C3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cdd9f72b38894c3eb70b005a61432c29"/>
            <w:id w:val="1314459711"/>
          </w:sdtPr>
          <w:sdtContent>
            <w:tc>
              <w:tcPr>
                <w:tcW w:w="2127" w:type="dxa"/>
                <w:vAlign w:val="center"/>
              </w:tcPr>
              <w:p w14:paraId="61A324B6">
                <w:pPr>
                  <w:ind w:firstLine="42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w:t>
                </w:r>
              </w:p>
            </w:tc>
          </w:sdtContent>
        </w:sdt>
        <w:tc>
          <w:tcPr>
            <w:tcW w:w="1920" w:type="dxa"/>
            <w:tcBorders>
              <w:right w:val="single" w:color="auto" w:sz="4" w:space="0"/>
            </w:tcBorders>
            <w:vAlign w:val="center"/>
          </w:tcPr>
          <w:p w14:paraId="4AC43FCB">
            <w:pPr>
              <w:jc w:val="right"/>
              <w:rPr>
                <w:sz w:val="18"/>
                <w:szCs w:val="18"/>
              </w:rPr>
            </w:pPr>
          </w:p>
        </w:tc>
        <w:tc>
          <w:tcPr>
            <w:tcW w:w="915" w:type="dxa"/>
            <w:tcBorders>
              <w:left w:val="single" w:color="auto" w:sz="4" w:space="0"/>
              <w:right w:val="single" w:color="auto" w:sz="4" w:space="0"/>
            </w:tcBorders>
            <w:vAlign w:val="center"/>
          </w:tcPr>
          <w:p w14:paraId="65D03B3E">
            <w:pPr>
              <w:jc w:val="right"/>
              <w:rPr>
                <w:sz w:val="18"/>
                <w:szCs w:val="18"/>
              </w:rPr>
            </w:pPr>
          </w:p>
        </w:tc>
        <w:tc>
          <w:tcPr>
            <w:tcW w:w="992" w:type="dxa"/>
            <w:tcBorders>
              <w:left w:val="single" w:color="auto" w:sz="4" w:space="0"/>
              <w:right w:val="single" w:color="auto" w:sz="4" w:space="0"/>
            </w:tcBorders>
            <w:vAlign w:val="center"/>
          </w:tcPr>
          <w:p w14:paraId="007D93F7">
            <w:pPr>
              <w:jc w:val="right"/>
              <w:rPr>
                <w:sz w:val="18"/>
                <w:szCs w:val="18"/>
              </w:rPr>
            </w:pPr>
          </w:p>
        </w:tc>
        <w:tc>
          <w:tcPr>
            <w:tcW w:w="709" w:type="dxa"/>
            <w:tcBorders>
              <w:left w:val="single" w:color="auto" w:sz="4" w:space="0"/>
              <w:right w:val="single" w:color="auto" w:sz="4" w:space="0"/>
            </w:tcBorders>
            <w:vAlign w:val="center"/>
          </w:tcPr>
          <w:p w14:paraId="6CA2276C">
            <w:pPr>
              <w:jc w:val="right"/>
              <w:rPr>
                <w:sz w:val="18"/>
                <w:szCs w:val="18"/>
              </w:rPr>
            </w:pPr>
          </w:p>
        </w:tc>
        <w:tc>
          <w:tcPr>
            <w:tcW w:w="1559" w:type="dxa"/>
            <w:tcBorders>
              <w:left w:val="single" w:color="auto" w:sz="4" w:space="0"/>
            </w:tcBorders>
            <w:vAlign w:val="center"/>
          </w:tcPr>
          <w:p w14:paraId="23CF3906">
            <w:pPr>
              <w:jc w:val="right"/>
              <w:rPr>
                <w:sz w:val="18"/>
                <w:szCs w:val="18"/>
              </w:rPr>
            </w:pPr>
          </w:p>
        </w:tc>
        <w:tc>
          <w:tcPr>
            <w:tcW w:w="1144" w:type="dxa"/>
            <w:vAlign w:val="center"/>
          </w:tcPr>
          <w:p w14:paraId="5FCB51A7">
            <w:pPr>
              <w:jc w:val="right"/>
              <w:rPr>
                <w:sz w:val="18"/>
                <w:szCs w:val="18"/>
              </w:rPr>
            </w:pPr>
          </w:p>
        </w:tc>
        <w:tc>
          <w:tcPr>
            <w:tcW w:w="1407" w:type="dxa"/>
            <w:vAlign w:val="center"/>
          </w:tcPr>
          <w:p w14:paraId="16084F88">
            <w:pPr>
              <w:jc w:val="right"/>
              <w:rPr>
                <w:sz w:val="18"/>
                <w:szCs w:val="18"/>
              </w:rPr>
            </w:pPr>
          </w:p>
        </w:tc>
        <w:tc>
          <w:tcPr>
            <w:tcW w:w="426" w:type="dxa"/>
            <w:vAlign w:val="center"/>
          </w:tcPr>
          <w:p w14:paraId="57DFE268">
            <w:pPr>
              <w:jc w:val="right"/>
              <w:rPr>
                <w:sz w:val="18"/>
                <w:szCs w:val="18"/>
              </w:rPr>
            </w:pPr>
          </w:p>
        </w:tc>
        <w:tc>
          <w:tcPr>
            <w:tcW w:w="1417" w:type="dxa"/>
            <w:vAlign w:val="center"/>
          </w:tcPr>
          <w:p w14:paraId="42FD8CFE">
            <w:pPr>
              <w:jc w:val="right"/>
              <w:rPr>
                <w:sz w:val="18"/>
                <w:szCs w:val="18"/>
              </w:rPr>
            </w:pPr>
          </w:p>
        </w:tc>
        <w:tc>
          <w:tcPr>
            <w:tcW w:w="1559" w:type="dxa"/>
            <w:vAlign w:val="center"/>
          </w:tcPr>
          <w:p w14:paraId="1416C49E">
            <w:pPr>
              <w:jc w:val="right"/>
              <w:rPr>
                <w:sz w:val="18"/>
                <w:szCs w:val="18"/>
              </w:rPr>
            </w:pPr>
          </w:p>
        </w:tc>
        <w:tc>
          <w:tcPr>
            <w:tcW w:w="1560" w:type="dxa"/>
            <w:vAlign w:val="center"/>
          </w:tcPr>
          <w:p w14:paraId="48819ACB">
            <w:pPr>
              <w:jc w:val="right"/>
              <w:rPr>
                <w:sz w:val="18"/>
                <w:szCs w:val="18"/>
              </w:rPr>
            </w:pPr>
          </w:p>
        </w:tc>
      </w:tr>
      <w:tr w14:paraId="2ED33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8593e1735c664981bacefcb1a0cab245"/>
            <w:id w:val="2128197272"/>
          </w:sdtPr>
          <w:sdtContent>
            <w:tc>
              <w:tcPr>
                <w:tcW w:w="2127" w:type="dxa"/>
                <w:vAlign w:val="center"/>
              </w:tcPr>
              <w:p w14:paraId="69567E1C">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二、本年</w:t>
                </w:r>
                <w:r>
                  <w:rPr>
                    <w:rFonts w:hint="eastAsia"/>
                    <w:color w:val="000000" w:themeColor="text1"/>
                    <w:sz w:val="18"/>
                    <w:szCs w:val="18"/>
                    <w14:textFill>
                      <w14:solidFill>
                        <w14:schemeClr w14:val="tx1"/>
                      </w14:solidFill>
                    </w14:textFill>
                  </w:rPr>
                  <w:t>期</w:t>
                </w:r>
                <w:r>
                  <w:rPr>
                    <w:color w:val="000000" w:themeColor="text1"/>
                    <w:sz w:val="18"/>
                    <w:szCs w:val="18"/>
                    <w14:textFill>
                      <w14:solidFill>
                        <w14:schemeClr w14:val="tx1"/>
                      </w14:solidFill>
                    </w14:textFill>
                  </w:rPr>
                  <w:t>初余额</w:t>
                </w:r>
              </w:p>
            </w:tc>
          </w:sdtContent>
        </w:sdt>
        <w:tc>
          <w:tcPr>
            <w:tcW w:w="1920" w:type="dxa"/>
            <w:tcBorders>
              <w:right w:val="single" w:color="auto" w:sz="4" w:space="0"/>
            </w:tcBorders>
            <w:vAlign w:val="center"/>
          </w:tcPr>
          <w:p w14:paraId="3630E3FF">
            <w:pPr>
              <w:jc w:val="right"/>
              <w:rPr>
                <w:sz w:val="18"/>
                <w:szCs w:val="18"/>
              </w:rPr>
            </w:pPr>
            <w:r>
              <w:rPr>
                <w:sz w:val="18"/>
                <w:szCs w:val="18"/>
              </w:rPr>
              <w:t>1,460,994,304.00</w:t>
            </w:r>
          </w:p>
        </w:tc>
        <w:tc>
          <w:tcPr>
            <w:tcW w:w="915" w:type="dxa"/>
            <w:tcBorders>
              <w:left w:val="single" w:color="auto" w:sz="4" w:space="0"/>
              <w:right w:val="single" w:color="auto" w:sz="4" w:space="0"/>
            </w:tcBorders>
            <w:vAlign w:val="center"/>
          </w:tcPr>
          <w:p w14:paraId="0CA76FBA">
            <w:pPr>
              <w:jc w:val="right"/>
              <w:rPr>
                <w:sz w:val="18"/>
                <w:szCs w:val="18"/>
              </w:rPr>
            </w:pPr>
          </w:p>
        </w:tc>
        <w:tc>
          <w:tcPr>
            <w:tcW w:w="992" w:type="dxa"/>
            <w:tcBorders>
              <w:left w:val="single" w:color="auto" w:sz="4" w:space="0"/>
              <w:right w:val="single" w:color="auto" w:sz="4" w:space="0"/>
            </w:tcBorders>
            <w:vAlign w:val="center"/>
          </w:tcPr>
          <w:p w14:paraId="0E75EDFE">
            <w:pPr>
              <w:jc w:val="right"/>
              <w:rPr>
                <w:sz w:val="18"/>
                <w:szCs w:val="18"/>
              </w:rPr>
            </w:pPr>
          </w:p>
        </w:tc>
        <w:tc>
          <w:tcPr>
            <w:tcW w:w="709" w:type="dxa"/>
            <w:tcBorders>
              <w:left w:val="single" w:color="auto" w:sz="4" w:space="0"/>
              <w:right w:val="single" w:color="auto" w:sz="4" w:space="0"/>
            </w:tcBorders>
            <w:vAlign w:val="center"/>
          </w:tcPr>
          <w:p w14:paraId="5D37DE52">
            <w:pPr>
              <w:jc w:val="right"/>
              <w:rPr>
                <w:sz w:val="18"/>
                <w:szCs w:val="18"/>
              </w:rPr>
            </w:pPr>
          </w:p>
        </w:tc>
        <w:tc>
          <w:tcPr>
            <w:tcW w:w="1559" w:type="dxa"/>
            <w:tcBorders>
              <w:left w:val="single" w:color="auto" w:sz="4" w:space="0"/>
            </w:tcBorders>
            <w:vAlign w:val="center"/>
          </w:tcPr>
          <w:p w14:paraId="4358E0B5">
            <w:pPr>
              <w:jc w:val="right"/>
              <w:rPr>
                <w:sz w:val="18"/>
                <w:szCs w:val="18"/>
              </w:rPr>
            </w:pPr>
            <w:r>
              <w:rPr>
                <w:sz w:val="18"/>
                <w:szCs w:val="18"/>
              </w:rPr>
              <w:t>399,925,938.07</w:t>
            </w:r>
          </w:p>
        </w:tc>
        <w:tc>
          <w:tcPr>
            <w:tcW w:w="1144" w:type="dxa"/>
            <w:vAlign w:val="center"/>
          </w:tcPr>
          <w:p w14:paraId="43B14F54">
            <w:pPr>
              <w:jc w:val="right"/>
              <w:rPr>
                <w:sz w:val="18"/>
                <w:szCs w:val="18"/>
              </w:rPr>
            </w:pPr>
          </w:p>
        </w:tc>
        <w:tc>
          <w:tcPr>
            <w:tcW w:w="1407" w:type="dxa"/>
            <w:vAlign w:val="center"/>
          </w:tcPr>
          <w:p w14:paraId="043D1F9D">
            <w:pPr>
              <w:jc w:val="right"/>
              <w:rPr>
                <w:sz w:val="18"/>
                <w:szCs w:val="18"/>
              </w:rPr>
            </w:pPr>
            <w:r>
              <w:rPr>
                <w:sz w:val="18"/>
                <w:szCs w:val="18"/>
              </w:rPr>
              <w:t>97,731,844.14</w:t>
            </w:r>
          </w:p>
        </w:tc>
        <w:tc>
          <w:tcPr>
            <w:tcW w:w="426" w:type="dxa"/>
            <w:vAlign w:val="center"/>
          </w:tcPr>
          <w:p w14:paraId="37F27233">
            <w:pPr>
              <w:jc w:val="right"/>
              <w:rPr>
                <w:sz w:val="18"/>
                <w:szCs w:val="18"/>
              </w:rPr>
            </w:pPr>
          </w:p>
        </w:tc>
        <w:tc>
          <w:tcPr>
            <w:tcW w:w="1417" w:type="dxa"/>
            <w:vAlign w:val="center"/>
          </w:tcPr>
          <w:p w14:paraId="6B13CFCA">
            <w:pPr>
              <w:jc w:val="right"/>
              <w:rPr>
                <w:sz w:val="18"/>
                <w:szCs w:val="18"/>
              </w:rPr>
            </w:pPr>
            <w:r>
              <w:rPr>
                <w:sz w:val="18"/>
                <w:szCs w:val="18"/>
              </w:rPr>
              <w:t>259,044,621.68</w:t>
            </w:r>
          </w:p>
        </w:tc>
        <w:tc>
          <w:tcPr>
            <w:tcW w:w="1559" w:type="dxa"/>
            <w:vAlign w:val="center"/>
          </w:tcPr>
          <w:p w14:paraId="72175A3D">
            <w:pPr>
              <w:jc w:val="right"/>
              <w:rPr>
                <w:sz w:val="18"/>
                <w:szCs w:val="18"/>
              </w:rPr>
            </w:pPr>
            <w:r>
              <w:rPr>
                <w:sz w:val="18"/>
                <w:szCs w:val="18"/>
              </w:rPr>
              <w:t>1,460,003,755.88</w:t>
            </w:r>
          </w:p>
        </w:tc>
        <w:tc>
          <w:tcPr>
            <w:tcW w:w="1560" w:type="dxa"/>
            <w:vAlign w:val="center"/>
          </w:tcPr>
          <w:p w14:paraId="04EDB8B2">
            <w:pPr>
              <w:jc w:val="right"/>
              <w:rPr>
                <w:sz w:val="18"/>
                <w:szCs w:val="18"/>
              </w:rPr>
            </w:pPr>
            <w:r>
              <w:rPr>
                <w:sz w:val="18"/>
                <w:szCs w:val="18"/>
              </w:rPr>
              <w:t>3,677,700,463.77</w:t>
            </w:r>
          </w:p>
        </w:tc>
      </w:tr>
      <w:tr w14:paraId="67CF3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9ce2d31f4fd34371930cec7fd79a4318"/>
            <w:id w:val="1332874548"/>
          </w:sdtPr>
          <w:sdtContent>
            <w:tc>
              <w:tcPr>
                <w:tcW w:w="2127" w:type="dxa"/>
                <w:vAlign w:val="center"/>
              </w:tcPr>
              <w:p w14:paraId="774E980F">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三、本</w:t>
                </w:r>
                <w:r>
                  <w:rPr>
                    <w:rFonts w:hint="eastAsia"/>
                    <w:color w:val="000000" w:themeColor="text1"/>
                    <w:sz w:val="18"/>
                    <w:szCs w:val="18"/>
                    <w14:textFill>
                      <w14:solidFill>
                        <w14:schemeClr w14:val="tx1"/>
                      </w14:solidFill>
                    </w14:textFill>
                  </w:rPr>
                  <w:t>期</w:t>
                </w:r>
                <w:r>
                  <w:rPr>
                    <w:color w:val="000000" w:themeColor="text1"/>
                    <w:sz w:val="18"/>
                    <w:szCs w:val="18"/>
                    <w14:textFill>
                      <w14:solidFill>
                        <w14:schemeClr w14:val="tx1"/>
                      </w14:solidFill>
                    </w14:textFill>
                  </w:rPr>
                  <w:t>增减变动金额（减少以“</w:t>
                </w: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”号填列）</w:t>
                </w:r>
              </w:p>
            </w:tc>
          </w:sdtContent>
        </w:sdt>
        <w:tc>
          <w:tcPr>
            <w:tcW w:w="1920" w:type="dxa"/>
            <w:tcBorders>
              <w:right w:val="single" w:color="auto" w:sz="4" w:space="0"/>
            </w:tcBorders>
            <w:vAlign w:val="center"/>
          </w:tcPr>
          <w:p w14:paraId="1D2C6D04">
            <w:pPr>
              <w:jc w:val="right"/>
              <w:rPr>
                <w:sz w:val="18"/>
                <w:szCs w:val="18"/>
              </w:rPr>
            </w:pPr>
          </w:p>
        </w:tc>
        <w:tc>
          <w:tcPr>
            <w:tcW w:w="915" w:type="dxa"/>
            <w:tcBorders>
              <w:left w:val="single" w:color="auto" w:sz="4" w:space="0"/>
              <w:right w:val="single" w:color="auto" w:sz="4" w:space="0"/>
            </w:tcBorders>
            <w:vAlign w:val="center"/>
          </w:tcPr>
          <w:p w14:paraId="4C5EE5C7">
            <w:pPr>
              <w:jc w:val="right"/>
              <w:rPr>
                <w:sz w:val="18"/>
                <w:szCs w:val="18"/>
              </w:rPr>
            </w:pPr>
          </w:p>
        </w:tc>
        <w:tc>
          <w:tcPr>
            <w:tcW w:w="992" w:type="dxa"/>
            <w:tcBorders>
              <w:left w:val="single" w:color="auto" w:sz="4" w:space="0"/>
              <w:right w:val="single" w:color="auto" w:sz="4" w:space="0"/>
            </w:tcBorders>
            <w:vAlign w:val="center"/>
          </w:tcPr>
          <w:p w14:paraId="6FA1ED64">
            <w:pPr>
              <w:jc w:val="right"/>
              <w:rPr>
                <w:sz w:val="18"/>
                <w:szCs w:val="18"/>
              </w:rPr>
            </w:pPr>
          </w:p>
        </w:tc>
        <w:tc>
          <w:tcPr>
            <w:tcW w:w="709" w:type="dxa"/>
            <w:tcBorders>
              <w:left w:val="single" w:color="auto" w:sz="4" w:space="0"/>
            </w:tcBorders>
            <w:vAlign w:val="center"/>
          </w:tcPr>
          <w:p w14:paraId="321CF6F6">
            <w:pPr>
              <w:jc w:val="right"/>
              <w:rPr>
                <w:sz w:val="18"/>
                <w:szCs w:val="18"/>
              </w:rPr>
            </w:pPr>
          </w:p>
        </w:tc>
        <w:tc>
          <w:tcPr>
            <w:tcW w:w="1559" w:type="dxa"/>
            <w:vAlign w:val="center"/>
          </w:tcPr>
          <w:p w14:paraId="1C3B08EC">
            <w:pPr>
              <w:jc w:val="right"/>
              <w:rPr>
                <w:sz w:val="18"/>
                <w:szCs w:val="18"/>
              </w:rPr>
            </w:pPr>
          </w:p>
        </w:tc>
        <w:tc>
          <w:tcPr>
            <w:tcW w:w="1144" w:type="dxa"/>
            <w:vAlign w:val="center"/>
          </w:tcPr>
          <w:p w14:paraId="1FD1F923">
            <w:pPr>
              <w:jc w:val="right"/>
              <w:rPr>
                <w:sz w:val="18"/>
                <w:szCs w:val="18"/>
              </w:rPr>
            </w:pPr>
          </w:p>
        </w:tc>
        <w:tc>
          <w:tcPr>
            <w:tcW w:w="1407" w:type="dxa"/>
            <w:vAlign w:val="center"/>
          </w:tcPr>
          <w:p w14:paraId="554F7E6B">
            <w:pPr>
              <w:jc w:val="right"/>
              <w:rPr>
                <w:sz w:val="18"/>
                <w:szCs w:val="18"/>
              </w:rPr>
            </w:pPr>
          </w:p>
        </w:tc>
        <w:tc>
          <w:tcPr>
            <w:tcW w:w="426" w:type="dxa"/>
            <w:vAlign w:val="center"/>
          </w:tcPr>
          <w:p w14:paraId="65B1AC61">
            <w:pPr>
              <w:jc w:val="right"/>
              <w:rPr>
                <w:sz w:val="18"/>
                <w:szCs w:val="18"/>
              </w:rPr>
            </w:pPr>
          </w:p>
        </w:tc>
        <w:tc>
          <w:tcPr>
            <w:tcW w:w="1417" w:type="dxa"/>
            <w:vAlign w:val="center"/>
          </w:tcPr>
          <w:p w14:paraId="6C2EF973">
            <w:pPr>
              <w:jc w:val="right"/>
              <w:rPr>
                <w:sz w:val="18"/>
                <w:szCs w:val="18"/>
              </w:rPr>
            </w:pPr>
          </w:p>
        </w:tc>
        <w:tc>
          <w:tcPr>
            <w:tcW w:w="1559" w:type="dxa"/>
            <w:vAlign w:val="center"/>
          </w:tcPr>
          <w:p w14:paraId="6124A66A">
            <w:pPr>
              <w:jc w:val="right"/>
              <w:rPr>
                <w:sz w:val="18"/>
                <w:szCs w:val="18"/>
              </w:rPr>
            </w:pPr>
            <w:r>
              <w:rPr>
                <w:sz w:val="18"/>
                <w:szCs w:val="18"/>
              </w:rPr>
              <w:t>77,252,060.53</w:t>
            </w:r>
          </w:p>
        </w:tc>
        <w:tc>
          <w:tcPr>
            <w:tcW w:w="1560" w:type="dxa"/>
            <w:vAlign w:val="center"/>
          </w:tcPr>
          <w:p w14:paraId="5611113D">
            <w:pPr>
              <w:jc w:val="right"/>
              <w:rPr>
                <w:sz w:val="18"/>
                <w:szCs w:val="18"/>
              </w:rPr>
            </w:pPr>
            <w:r>
              <w:rPr>
                <w:sz w:val="18"/>
                <w:szCs w:val="18"/>
              </w:rPr>
              <w:t>77,252,060.53</w:t>
            </w:r>
          </w:p>
        </w:tc>
      </w:tr>
      <w:tr w14:paraId="5E903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8e61c9577cd8495fb0815773685b00bb"/>
            <w:id w:val="-766925325"/>
          </w:sdtPr>
          <w:sdtContent>
            <w:tc>
              <w:tcPr>
                <w:tcW w:w="2127" w:type="dxa"/>
                <w:vAlign w:val="center"/>
              </w:tcPr>
              <w:p w14:paraId="148E6FB2">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（一）综合收益总额</w:t>
                </w:r>
              </w:p>
            </w:tc>
          </w:sdtContent>
        </w:sdt>
        <w:tc>
          <w:tcPr>
            <w:tcW w:w="1920" w:type="dxa"/>
            <w:tcBorders>
              <w:right w:val="single" w:color="auto" w:sz="4" w:space="0"/>
            </w:tcBorders>
            <w:vAlign w:val="center"/>
          </w:tcPr>
          <w:p w14:paraId="375FC9FE">
            <w:pPr>
              <w:jc w:val="right"/>
              <w:rPr>
                <w:sz w:val="18"/>
                <w:szCs w:val="18"/>
              </w:rPr>
            </w:pPr>
          </w:p>
        </w:tc>
        <w:tc>
          <w:tcPr>
            <w:tcW w:w="915" w:type="dxa"/>
            <w:tcBorders>
              <w:left w:val="single" w:color="auto" w:sz="4" w:space="0"/>
              <w:right w:val="single" w:color="auto" w:sz="4" w:space="0"/>
            </w:tcBorders>
            <w:vAlign w:val="center"/>
          </w:tcPr>
          <w:p w14:paraId="70D4F64E">
            <w:pPr>
              <w:jc w:val="right"/>
              <w:rPr>
                <w:sz w:val="18"/>
                <w:szCs w:val="18"/>
              </w:rPr>
            </w:pPr>
          </w:p>
        </w:tc>
        <w:tc>
          <w:tcPr>
            <w:tcW w:w="992" w:type="dxa"/>
            <w:tcBorders>
              <w:left w:val="single" w:color="auto" w:sz="4" w:space="0"/>
              <w:right w:val="single" w:color="auto" w:sz="4" w:space="0"/>
            </w:tcBorders>
            <w:vAlign w:val="center"/>
          </w:tcPr>
          <w:p w14:paraId="34F9F0CB">
            <w:pPr>
              <w:jc w:val="right"/>
              <w:rPr>
                <w:sz w:val="18"/>
                <w:szCs w:val="18"/>
              </w:rPr>
            </w:pPr>
          </w:p>
        </w:tc>
        <w:tc>
          <w:tcPr>
            <w:tcW w:w="709" w:type="dxa"/>
            <w:tcBorders>
              <w:left w:val="single" w:color="auto" w:sz="4" w:space="0"/>
            </w:tcBorders>
            <w:vAlign w:val="center"/>
          </w:tcPr>
          <w:p w14:paraId="7397694B">
            <w:pPr>
              <w:jc w:val="right"/>
              <w:rPr>
                <w:sz w:val="18"/>
                <w:szCs w:val="18"/>
              </w:rPr>
            </w:pPr>
          </w:p>
        </w:tc>
        <w:tc>
          <w:tcPr>
            <w:tcW w:w="1559" w:type="dxa"/>
            <w:vAlign w:val="center"/>
          </w:tcPr>
          <w:p w14:paraId="12AF6260">
            <w:pPr>
              <w:jc w:val="right"/>
              <w:rPr>
                <w:sz w:val="18"/>
                <w:szCs w:val="18"/>
              </w:rPr>
            </w:pPr>
          </w:p>
        </w:tc>
        <w:tc>
          <w:tcPr>
            <w:tcW w:w="1144" w:type="dxa"/>
            <w:vAlign w:val="center"/>
          </w:tcPr>
          <w:p w14:paraId="6D5DC7BA">
            <w:pPr>
              <w:jc w:val="right"/>
              <w:rPr>
                <w:sz w:val="18"/>
                <w:szCs w:val="18"/>
              </w:rPr>
            </w:pPr>
          </w:p>
        </w:tc>
        <w:tc>
          <w:tcPr>
            <w:tcW w:w="1407" w:type="dxa"/>
            <w:vAlign w:val="center"/>
          </w:tcPr>
          <w:p w14:paraId="41C41605">
            <w:pPr>
              <w:jc w:val="right"/>
              <w:rPr>
                <w:sz w:val="18"/>
                <w:szCs w:val="18"/>
              </w:rPr>
            </w:pPr>
          </w:p>
        </w:tc>
        <w:tc>
          <w:tcPr>
            <w:tcW w:w="426" w:type="dxa"/>
            <w:vAlign w:val="center"/>
          </w:tcPr>
          <w:p w14:paraId="1A8D8394">
            <w:pPr>
              <w:jc w:val="right"/>
              <w:rPr>
                <w:sz w:val="18"/>
                <w:szCs w:val="18"/>
              </w:rPr>
            </w:pPr>
          </w:p>
        </w:tc>
        <w:tc>
          <w:tcPr>
            <w:tcW w:w="1417" w:type="dxa"/>
            <w:vAlign w:val="center"/>
          </w:tcPr>
          <w:p w14:paraId="41FD7C5D">
            <w:pPr>
              <w:jc w:val="right"/>
              <w:rPr>
                <w:sz w:val="18"/>
                <w:szCs w:val="18"/>
              </w:rPr>
            </w:pPr>
          </w:p>
        </w:tc>
        <w:tc>
          <w:tcPr>
            <w:tcW w:w="1559" w:type="dxa"/>
            <w:vAlign w:val="center"/>
          </w:tcPr>
          <w:p w14:paraId="3498CD15">
            <w:pPr>
              <w:jc w:val="right"/>
              <w:rPr>
                <w:sz w:val="18"/>
                <w:szCs w:val="18"/>
              </w:rPr>
            </w:pPr>
            <w:r>
              <w:rPr>
                <w:sz w:val="18"/>
                <w:szCs w:val="18"/>
              </w:rPr>
              <w:t>90,284,129.73</w:t>
            </w:r>
          </w:p>
        </w:tc>
        <w:tc>
          <w:tcPr>
            <w:tcW w:w="1560" w:type="dxa"/>
            <w:vAlign w:val="center"/>
          </w:tcPr>
          <w:p w14:paraId="65007B8A">
            <w:pPr>
              <w:jc w:val="right"/>
              <w:rPr>
                <w:sz w:val="18"/>
                <w:szCs w:val="18"/>
              </w:rPr>
            </w:pPr>
            <w:r>
              <w:rPr>
                <w:sz w:val="18"/>
                <w:szCs w:val="18"/>
              </w:rPr>
              <w:t>90,284,129.73</w:t>
            </w:r>
          </w:p>
        </w:tc>
      </w:tr>
      <w:tr w14:paraId="3942E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e11fbdac72bf4f84a5635701204e5724"/>
            <w:id w:val="-1140641926"/>
          </w:sdtPr>
          <w:sdtContent>
            <w:tc>
              <w:tcPr>
                <w:tcW w:w="2127" w:type="dxa"/>
                <w:vAlign w:val="center"/>
              </w:tcPr>
              <w:p w14:paraId="5EF2B09C">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二</w:t>
                </w:r>
                <w:r>
                  <w:rPr>
                    <w:color w:val="000000" w:themeColor="text1"/>
                    <w:sz w:val="18"/>
                    <w:szCs w:val="18"/>
                    <w14:textFill>
                      <w14:solidFill>
                        <w14:schemeClr w14:val="tx1"/>
                      </w14:solidFill>
                    </w14:textFill>
                  </w:rPr>
                  <w:t>）所有者投入和减少资本</w:t>
                </w:r>
              </w:p>
            </w:tc>
          </w:sdtContent>
        </w:sdt>
        <w:tc>
          <w:tcPr>
            <w:tcW w:w="1920" w:type="dxa"/>
            <w:tcBorders>
              <w:right w:val="single" w:color="auto" w:sz="4" w:space="0"/>
            </w:tcBorders>
            <w:vAlign w:val="center"/>
          </w:tcPr>
          <w:p w14:paraId="1F6E2E42">
            <w:pPr>
              <w:jc w:val="right"/>
              <w:rPr>
                <w:sz w:val="18"/>
                <w:szCs w:val="18"/>
              </w:rPr>
            </w:pPr>
          </w:p>
        </w:tc>
        <w:tc>
          <w:tcPr>
            <w:tcW w:w="915" w:type="dxa"/>
            <w:tcBorders>
              <w:left w:val="single" w:color="auto" w:sz="4" w:space="0"/>
              <w:right w:val="single" w:color="auto" w:sz="4" w:space="0"/>
            </w:tcBorders>
            <w:vAlign w:val="center"/>
          </w:tcPr>
          <w:p w14:paraId="60F16ECB">
            <w:pPr>
              <w:jc w:val="right"/>
              <w:rPr>
                <w:sz w:val="18"/>
                <w:szCs w:val="18"/>
              </w:rPr>
            </w:pPr>
          </w:p>
        </w:tc>
        <w:tc>
          <w:tcPr>
            <w:tcW w:w="992" w:type="dxa"/>
            <w:tcBorders>
              <w:left w:val="single" w:color="auto" w:sz="4" w:space="0"/>
              <w:right w:val="single" w:color="auto" w:sz="4" w:space="0"/>
            </w:tcBorders>
            <w:vAlign w:val="center"/>
          </w:tcPr>
          <w:p w14:paraId="29345344">
            <w:pPr>
              <w:jc w:val="right"/>
              <w:rPr>
                <w:sz w:val="18"/>
                <w:szCs w:val="18"/>
              </w:rPr>
            </w:pPr>
          </w:p>
        </w:tc>
        <w:tc>
          <w:tcPr>
            <w:tcW w:w="709" w:type="dxa"/>
            <w:tcBorders>
              <w:left w:val="single" w:color="auto" w:sz="4" w:space="0"/>
            </w:tcBorders>
            <w:vAlign w:val="center"/>
          </w:tcPr>
          <w:p w14:paraId="576B124C">
            <w:pPr>
              <w:jc w:val="right"/>
              <w:rPr>
                <w:sz w:val="18"/>
                <w:szCs w:val="18"/>
              </w:rPr>
            </w:pPr>
          </w:p>
        </w:tc>
        <w:tc>
          <w:tcPr>
            <w:tcW w:w="1559" w:type="dxa"/>
            <w:vAlign w:val="center"/>
          </w:tcPr>
          <w:p w14:paraId="41A9C919">
            <w:pPr>
              <w:jc w:val="right"/>
              <w:rPr>
                <w:sz w:val="18"/>
                <w:szCs w:val="18"/>
              </w:rPr>
            </w:pPr>
          </w:p>
        </w:tc>
        <w:tc>
          <w:tcPr>
            <w:tcW w:w="1144" w:type="dxa"/>
            <w:vAlign w:val="center"/>
          </w:tcPr>
          <w:p w14:paraId="2994959B">
            <w:pPr>
              <w:jc w:val="right"/>
              <w:rPr>
                <w:sz w:val="18"/>
                <w:szCs w:val="18"/>
              </w:rPr>
            </w:pPr>
          </w:p>
        </w:tc>
        <w:tc>
          <w:tcPr>
            <w:tcW w:w="1407" w:type="dxa"/>
            <w:vAlign w:val="center"/>
          </w:tcPr>
          <w:p w14:paraId="443C26C3">
            <w:pPr>
              <w:jc w:val="right"/>
              <w:rPr>
                <w:sz w:val="18"/>
                <w:szCs w:val="18"/>
              </w:rPr>
            </w:pPr>
          </w:p>
        </w:tc>
        <w:tc>
          <w:tcPr>
            <w:tcW w:w="426" w:type="dxa"/>
            <w:vAlign w:val="center"/>
          </w:tcPr>
          <w:p w14:paraId="52A7DD4E">
            <w:pPr>
              <w:jc w:val="right"/>
              <w:rPr>
                <w:sz w:val="18"/>
                <w:szCs w:val="18"/>
              </w:rPr>
            </w:pPr>
          </w:p>
        </w:tc>
        <w:tc>
          <w:tcPr>
            <w:tcW w:w="1417" w:type="dxa"/>
            <w:vAlign w:val="center"/>
          </w:tcPr>
          <w:p w14:paraId="0CE1EAB5">
            <w:pPr>
              <w:jc w:val="right"/>
              <w:rPr>
                <w:sz w:val="18"/>
                <w:szCs w:val="18"/>
              </w:rPr>
            </w:pPr>
          </w:p>
        </w:tc>
        <w:tc>
          <w:tcPr>
            <w:tcW w:w="1559" w:type="dxa"/>
            <w:vAlign w:val="center"/>
          </w:tcPr>
          <w:p w14:paraId="51F5CE69">
            <w:pPr>
              <w:jc w:val="right"/>
              <w:rPr>
                <w:sz w:val="18"/>
                <w:szCs w:val="18"/>
              </w:rPr>
            </w:pPr>
          </w:p>
        </w:tc>
        <w:tc>
          <w:tcPr>
            <w:tcW w:w="1560" w:type="dxa"/>
            <w:vAlign w:val="center"/>
          </w:tcPr>
          <w:p w14:paraId="5DFC75DF">
            <w:pPr>
              <w:jc w:val="right"/>
              <w:rPr>
                <w:sz w:val="18"/>
                <w:szCs w:val="18"/>
              </w:rPr>
            </w:pPr>
          </w:p>
        </w:tc>
      </w:tr>
      <w:tr w14:paraId="70BE4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7b195f652f0542a9b8fb6e62990feb42"/>
            <w:id w:val="-1314323330"/>
          </w:sdtPr>
          <w:sdtContent>
            <w:tc>
              <w:tcPr>
                <w:tcW w:w="2127" w:type="dxa"/>
                <w:vAlign w:val="center"/>
              </w:tcPr>
              <w:p w14:paraId="5610FB4D">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1．所有者投入的普通股</w:t>
                </w:r>
              </w:p>
            </w:tc>
          </w:sdtContent>
        </w:sdt>
        <w:tc>
          <w:tcPr>
            <w:tcW w:w="1920" w:type="dxa"/>
            <w:tcBorders>
              <w:right w:val="single" w:color="auto" w:sz="4" w:space="0"/>
            </w:tcBorders>
            <w:vAlign w:val="center"/>
          </w:tcPr>
          <w:p w14:paraId="64859249">
            <w:pPr>
              <w:jc w:val="right"/>
              <w:rPr>
                <w:sz w:val="18"/>
                <w:szCs w:val="18"/>
              </w:rPr>
            </w:pPr>
          </w:p>
        </w:tc>
        <w:tc>
          <w:tcPr>
            <w:tcW w:w="915" w:type="dxa"/>
            <w:tcBorders>
              <w:left w:val="single" w:color="auto" w:sz="4" w:space="0"/>
              <w:right w:val="single" w:color="auto" w:sz="4" w:space="0"/>
            </w:tcBorders>
            <w:vAlign w:val="center"/>
          </w:tcPr>
          <w:p w14:paraId="7349E823">
            <w:pPr>
              <w:jc w:val="right"/>
              <w:rPr>
                <w:sz w:val="18"/>
                <w:szCs w:val="18"/>
              </w:rPr>
            </w:pPr>
          </w:p>
        </w:tc>
        <w:tc>
          <w:tcPr>
            <w:tcW w:w="992" w:type="dxa"/>
            <w:tcBorders>
              <w:left w:val="single" w:color="auto" w:sz="4" w:space="0"/>
              <w:right w:val="single" w:color="auto" w:sz="4" w:space="0"/>
            </w:tcBorders>
            <w:vAlign w:val="center"/>
          </w:tcPr>
          <w:p w14:paraId="755B7CF3">
            <w:pPr>
              <w:jc w:val="right"/>
              <w:rPr>
                <w:sz w:val="18"/>
                <w:szCs w:val="18"/>
              </w:rPr>
            </w:pPr>
          </w:p>
        </w:tc>
        <w:tc>
          <w:tcPr>
            <w:tcW w:w="709" w:type="dxa"/>
            <w:tcBorders>
              <w:left w:val="single" w:color="auto" w:sz="4" w:space="0"/>
            </w:tcBorders>
            <w:vAlign w:val="center"/>
          </w:tcPr>
          <w:p w14:paraId="51D56864">
            <w:pPr>
              <w:jc w:val="right"/>
              <w:rPr>
                <w:sz w:val="18"/>
                <w:szCs w:val="18"/>
              </w:rPr>
            </w:pPr>
          </w:p>
        </w:tc>
        <w:tc>
          <w:tcPr>
            <w:tcW w:w="1559" w:type="dxa"/>
            <w:vAlign w:val="center"/>
          </w:tcPr>
          <w:p w14:paraId="0312B6BF">
            <w:pPr>
              <w:jc w:val="right"/>
              <w:rPr>
                <w:sz w:val="18"/>
                <w:szCs w:val="18"/>
              </w:rPr>
            </w:pPr>
          </w:p>
        </w:tc>
        <w:tc>
          <w:tcPr>
            <w:tcW w:w="1144" w:type="dxa"/>
            <w:vAlign w:val="center"/>
          </w:tcPr>
          <w:p w14:paraId="7FF97EDF">
            <w:pPr>
              <w:jc w:val="right"/>
              <w:rPr>
                <w:sz w:val="18"/>
                <w:szCs w:val="18"/>
              </w:rPr>
            </w:pPr>
          </w:p>
        </w:tc>
        <w:tc>
          <w:tcPr>
            <w:tcW w:w="1407" w:type="dxa"/>
            <w:vAlign w:val="center"/>
          </w:tcPr>
          <w:p w14:paraId="218527C7">
            <w:pPr>
              <w:jc w:val="right"/>
              <w:rPr>
                <w:sz w:val="18"/>
                <w:szCs w:val="18"/>
              </w:rPr>
            </w:pPr>
          </w:p>
        </w:tc>
        <w:tc>
          <w:tcPr>
            <w:tcW w:w="426" w:type="dxa"/>
            <w:vAlign w:val="center"/>
          </w:tcPr>
          <w:p w14:paraId="0C53C3F4">
            <w:pPr>
              <w:jc w:val="right"/>
              <w:rPr>
                <w:sz w:val="18"/>
                <w:szCs w:val="18"/>
              </w:rPr>
            </w:pPr>
          </w:p>
        </w:tc>
        <w:tc>
          <w:tcPr>
            <w:tcW w:w="1417" w:type="dxa"/>
            <w:vAlign w:val="center"/>
          </w:tcPr>
          <w:p w14:paraId="04912623">
            <w:pPr>
              <w:jc w:val="right"/>
              <w:rPr>
                <w:sz w:val="18"/>
                <w:szCs w:val="18"/>
              </w:rPr>
            </w:pPr>
          </w:p>
        </w:tc>
        <w:tc>
          <w:tcPr>
            <w:tcW w:w="1559" w:type="dxa"/>
            <w:vAlign w:val="center"/>
          </w:tcPr>
          <w:p w14:paraId="4F70AC8F">
            <w:pPr>
              <w:jc w:val="right"/>
              <w:rPr>
                <w:sz w:val="18"/>
                <w:szCs w:val="18"/>
              </w:rPr>
            </w:pPr>
          </w:p>
        </w:tc>
        <w:tc>
          <w:tcPr>
            <w:tcW w:w="1560" w:type="dxa"/>
            <w:vAlign w:val="center"/>
          </w:tcPr>
          <w:p w14:paraId="3098CB5B">
            <w:pPr>
              <w:jc w:val="right"/>
              <w:rPr>
                <w:sz w:val="18"/>
                <w:szCs w:val="18"/>
              </w:rPr>
            </w:pPr>
          </w:p>
        </w:tc>
      </w:tr>
      <w:tr w14:paraId="2045F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4873337789fc42b5ae8485de96f3dad3"/>
            <w:id w:val="-1454639280"/>
          </w:sdtPr>
          <w:sdtContent>
            <w:tc>
              <w:tcPr>
                <w:tcW w:w="2127" w:type="dxa"/>
                <w:vAlign w:val="center"/>
              </w:tcPr>
              <w:p w14:paraId="4DD02F6F">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2．其他权益工具持有者投入资本</w:t>
                </w:r>
              </w:p>
            </w:tc>
          </w:sdtContent>
        </w:sdt>
        <w:tc>
          <w:tcPr>
            <w:tcW w:w="1920" w:type="dxa"/>
            <w:tcBorders>
              <w:right w:val="single" w:color="auto" w:sz="4" w:space="0"/>
            </w:tcBorders>
            <w:vAlign w:val="center"/>
          </w:tcPr>
          <w:p w14:paraId="46B8832D">
            <w:pPr>
              <w:jc w:val="right"/>
              <w:rPr>
                <w:sz w:val="18"/>
                <w:szCs w:val="18"/>
              </w:rPr>
            </w:pPr>
          </w:p>
        </w:tc>
        <w:tc>
          <w:tcPr>
            <w:tcW w:w="915" w:type="dxa"/>
            <w:tcBorders>
              <w:left w:val="single" w:color="auto" w:sz="4" w:space="0"/>
              <w:right w:val="single" w:color="auto" w:sz="4" w:space="0"/>
            </w:tcBorders>
            <w:vAlign w:val="center"/>
          </w:tcPr>
          <w:p w14:paraId="2F8D24A0">
            <w:pPr>
              <w:jc w:val="right"/>
              <w:rPr>
                <w:sz w:val="18"/>
                <w:szCs w:val="18"/>
              </w:rPr>
            </w:pPr>
          </w:p>
        </w:tc>
        <w:tc>
          <w:tcPr>
            <w:tcW w:w="992" w:type="dxa"/>
            <w:tcBorders>
              <w:left w:val="single" w:color="auto" w:sz="4" w:space="0"/>
              <w:right w:val="single" w:color="auto" w:sz="4" w:space="0"/>
            </w:tcBorders>
            <w:vAlign w:val="center"/>
          </w:tcPr>
          <w:p w14:paraId="54C2C858">
            <w:pPr>
              <w:jc w:val="right"/>
              <w:rPr>
                <w:sz w:val="18"/>
                <w:szCs w:val="18"/>
              </w:rPr>
            </w:pPr>
          </w:p>
        </w:tc>
        <w:tc>
          <w:tcPr>
            <w:tcW w:w="709" w:type="dxa"/>
            <w:tcBorders>
              <w:left w:val="single" w:color="auto" w:sz="4" w:space="0"/>
            </w:tcBorders>
            <w:vAlign w:val="center"/>
          </w:tcPr>
          <w:p w14:paraId="4F8CB6FA">
            <w:pPr>
              <w:jc w:val="right"/>
              <w:rPr>
                <w:sz w:val="18"/>
                <w:szCs w:val="18"/>
              </w:rPr>
            </w:pPr>
          </w:p>
        </w:tc>
        <w:tc>
          <w:tcPr>
            <w:tcW w:w="1559" w:type="dxa"/>
            <w:vAlign w:val="center"/>
          </w:tcPr>
          <w:p w14:paraId="64547AF2">
            <w:pPr>
              <w:jc w:val="right"/>
              <w:rPr>
                <w:sz w:val="18"/>
                <w:szCs w:val="18"/>
              </w:rPr>
            </w:pPr>
          </w:p>
        </w:tc>
        <w:tc>
          <w:tcPr>
            <w:tcW w:w="1144" w:type="dxa"/>
            <w:vAlign w:val="center"/>
          </w:tcPr>
          <w:p w14:paraId="17FD85DC">
            <w:pPr>
              <w:jc w:val="right"/>
              <w:rPr>
                <w:sz w:val="18"/>
                <w:szCs w:val="18"/>
              </w:rPr>
            </w:pPr>
          </w:p>
        </w:tc>
        <w:tc>
          <w:tcPr>
            <w:tcW w:w="1407" w:type="dxa"/>
            <w:vAlign w:val="center"/>
          </w:tcPr>
          <w:p w14:paraId="74050AA2">
            <w:pPr>
              <w:jc w:val="right"/>
              <w:rPr>
                <w:sz w:val="18"/>
                <w:szCs w:val="18"/>
              </w:rPr>
            </w:pPr>
          </w:p>
        </w:tc>
        <w:tc>
          <w:tcPr>
            <w:tcW w:w="426" w:type="dxa"/>
            <w:vAlign w:val="center"/>
          </w:tcPr>
          <w:p w14:paraId="0075CE29">
            <w:pPr>
              <w:jc w:val="right"/>
              <w:rPr>
                <w:sz w:val="18"/>
                <w:szCs w:val="18"/>
              </w:rPr>
            </w:pPr>
          </w:p>
        </w:tc>
        <w:tc>
          <w:tcPr>
            <w:tcW w:w="1417" w:type="dxa"/>
            <w:vAlign w:val="center"/>
          </w:tcPr>
          <w:p w14:paraId="42729E30">
            <w:pPr>
              <w:jc w:val="right"/>
              <w:rPr>
                <w:sz w:val="18"/>
                <w:szCs w:val="18"/>
              </w:rPr>
            </w:pPr>
          </w:p>
        </w:tc>
        <w:tc>
          <w:tcPr>
            <w:tcW w:w="1559" w:type="dxa"/>
            <w:vAlign w:val="center"/>
          </w:tcPr>
          <w:p w14:paraId="422B601F">
            <w:pPr>
              <w:jc w:val="right"/>
              <w:rPr>
                <w:sz w:val="18"/>
                <w:szCs w:val="18"/>
              </w:rPr>
            </w:pPr>
          </w:p>
        </w:tc>
        <w:tc>
          <w:tcPr>
            <w:tcW w:w="1560" w:type="dxa"/>
            <w:vAlign w:val="center"/>
          </w:tcPr>
          <w:p w14:paraId="15134B8C">
            <w:pPr>
              <w:jc w:val="right"/>
              <w:rPr>
                <w:sz w:val="18"/>
                <w:szCs w:val="18"/>
              </w:rPr>
            </w:pPr>
          </w:p>
        </w:tc>
      </w:tr>
      <w:tr w14:paraId="7FB27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83c73c5580c0412189f697f05780f9af"/>
            <w:id w:val="416296366"/>
          </w:sdtPr>
          <w:sdtContent>
            <w:tc>
              <w:tcPr>
                <w:tcW w:w="2127" w:type="dxa"/>
                <w:vAlign w:val="center"/>
              </w:tcPr>
              <w:p w14:paraId="37DC74D3">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．股份支付计入所有者权益的金额</w:t>
                </w:r>
              </w:p>
            </w:tc>
          </w:sdtContent>
        </w:sdt>
        <w:tc>
          <w:tcPr>
            <w:tcW w:w="1920" w:type="dxa"/>
            <w:tcBorders>
              <w:right w:val="single" w:color="auto" w:sz="4" w:space="0"/>
            </w:tcBorders>
            <w:vAlign w:val="center"/>
          </w:tcPr>
          <w:p w14:paraId="1F7AA230">
            <w:pPr>
              <w:jc w:val="right"/>
              <w:rPr>
                <w:sz w:val="18"/>
                <w:szCs w:val="18"/>
              </w:rPr>
            </w:pPr>
          </w:p>
        </w:tc>
        <w:tc>
          <w:tcPr>
            <w:tcW w:w="915" w:type="dxa"/>
            <w:tcBorders>
              <w:left w:val="single" w:color="auto" w:sz="4" w:space="0"/>
              <w:right w:val="single" w:color="auto" w:sz="4" w:space="0"/>
            </w:tcBorders>
            <w:vAlign w:val="center"/>
          </w:tcPr>
          <w:p w14:paraId="3EACD59E">
            <w:pPr>
              <w:jc w:val="right"/>
              <w:rPr>
                <w:sz w:val="18"/>
                <w:szCs w:val="18"/>
              </w:rPr>
            </w:pPr>
          </w:p>
        </w:tc>
        <w:tc>
          <w:tcPr>
            <w:tcW w:w="992" w:type="dxa"/>
            <w:tcBorders>
              <w:left w:val="single" w:color="auto" w:sz="4" w:space="0"/>
              <w:right w:val="single" w:color="auto" w:sz="4" w:space="0"/>
            </w:tcBorders>
            <w:vAlign w:val="center"/>
          </w:tcPr>
          <w:p w14:paraId="078BE17F">
            <w:pPr>
              <w:jc w:val="right"/>
              <w:rPr>
                <w:sz w:val="18"/>
                <w:szCs w:val="18"/>
              </w:rPr>
            </w:pPr>
          </w:p>
        </w:tc>
        <w:tc>
          <w:tcPr>
            <w:tcW w:w="709" w:type="dxa"/>
            <w:tcBorders>
              <w:left w:val="single" w:color="auto" w:sz="4" w:space="0"/>
            </w:tcBorders>
            <w:vAlign w:val="center"/>
          </w:tcPr>
          <w:p w14:paraId="1C568979">
            <w:pPr>
              <w:jc w:val="right"/>
              <w:rPr>
                <w:sz w:val="18"/>
                <w:szCs w:val="18"/>
              </w:rPr>
            </w:pPr>
          </w:p>
        </w:tc>
        <w:tc>
          <w:tcPr>
            <w:tcW w:w="1559" w:type="dxa"/>
            <w:vAlign w:val="center"/>
          </w:tcPr>
          <w:p w14:paraId="3EE4B39C">
            <w:pPr>
              <w:jc w:val="right"/>
              <w:rPr>
                <w:sz w:val="18"/>
                <w:szCs w:val="18"/>
              </w:rPr>
            </w:pPr>
          </w:p>
        </w:tc>
        <w:tc>
          <w:tcPr>
            <w:tcW w:w="1144" w:type="dxa"/>
            <w:vAlign w:val="center"/>
          </w:tcPr>
          <w:p w14:paraId="66CB3A8A">
            <w:pPr>
              <w:jc w:val="right"/>
              <w:rPr>
                <w:sz w:val="18"/>
                <w:szCs w:val="18"/>
              </w:rPr>
            </w:pPr>
          </w:p>
        </w:tc>
        <w:tc>
          <w:tcPr>
            <w:tcW w:w="1407" w:type="dxa"/>
            <w:vAlign w:val="center"/>
          </w:tcPr>
          <w:p w14:paraId="1D91BC4B">
            <w:pPr>
              <w:jc w:val="right"/>
              <w:rPr>
                <w:sz w:val="18"/>
                <w:szCs w:val="18"/>
              </w:rPr>
            </w:pPr>
          </w:p>
        </w:tc>
        <w:tc>
          <w:tcPr>
            <w:tcW w:w="426" w:type="dxa"/>
            <w:vAlign w:val="center"/>
          </w:tcPr>
          <w:p w14:paraId="7AF13BE5">
            <w:pPr>
              <w:jc w:val="right"/>
              <w:rPr>
                <w:sz w:val="18"/>
                <w:szCs w:val="18"/>
              </w:rPr>
            </w:pPr>
          </w:p>
        </w:tc>
        <w:tc>
          <w:tcPr>
            <w:tcW w:w="1417" w:type="dxa"/>
            <w:vAlign w:val="center"/>
          </w:tcPr>
          <w:p w14:paraId="1393B84E">
            <w:pPr>
              <w:jc w:val="right"/>
              <w:rPr>
                <w:sz w:val="18"/>
                <w:szCs w:val="18"/>
              </w:rPr>
            </w:pPr>
          </w:p>
        </w:tc>
        <w:tc>
          <w:tcPr>
            <w:tcW w:w="1559" w:type="dxa"/>
            <w:vAlign w:val="center"/>
          </w:tcPr>
          <w:p w14:paraId="25124268">
            <w:pPr>
              <w:jc w:val="right"/>
              <w:rPr>
                <w:sz w:val="18"/>
                <w:szCs w:val="18"/>
              </w:rPr>
            </w:pPr>
          </w:p>
        </w:tc>
        <w:tc>
          <w:tcPr>
            <w:tcW w:w="1560" w:type="dxa"/>
            <w:vAlign w:val="center"/>
          </w:tcPr>
          <w:p w14:paraId="488A60DA">
            <w:pPr>
              <w:jc w:val="right"/>
              <w:rPr>
                <w:sz w:val="18"/>
                <w:szCs w:val="18"/>
              </w:rPr>
            </w:pPr>
          </w:p>
        </w:tc>
      </w:tr>
      <w:tr w14:paraId="1652C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b328cbc349734354ae3aacf675414174"/>
            <w:id w:val="-1308630819"/>
          </w:sdtPr>
          <w:sdtContent>
            <w:tc>
              <w:tcPr>
                <w:tcW w:w="2127" w:type="dxa"/>
                <w:vAlign w:val="center"/>
              </w:tcPr>
              <w:p w14:paraId="7CEE7881">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r>
                  <w:rPr>
                    <w:color w:val="000000" w:themeColor="text1"/>
                    <w:sz w:val="18"/>
                    <w:szCs w:val="18"/>
                    <w14:textFill>
                      <w14:solidFill>
                        <w14:schemeClr w14:val="tx1"/>
                      </w14:solidFill>
                    </w14:textFill>
                  </w:rPr>
                  <w:t>．其他</w:t>
                </w:r>
              </w:p>
            </w:tc>
          </w:sdtContent>
        </w:sdt>
        <w:tc>
          <w:tcPr>
            <w:tcW w:w="1920" w:type="dxa"/>
            <w:tcBorders>
              <w:right w:val="single" w:color="auto" w:sz="4" w:space="0"/>
            </w:tcBorders>
            <w:vAlign w:val="center"/>
          </w:tcPr>
          <w:p w14:paraId="6391DBFB">
            <w:pPr>
              <w:jc w:val="right"/>
              <w:rPr>
                <w:sz w:val="18"/>
                <w:szCs w:val="18"/>
              </w:rPr>
            </w:pPr>
          </w:p>
        </w:tc>
        <w:tc>
          <w:tcPr>
            <w:tcW w:w="915" w:type="dxa"/>
            <w:tcBorders>
              <w:left w:val="single" w:color="auto" w:sz="4" w:space="0"/>
              <w:right w:val="single" w:color="auto" w:sz="4" w:space="0"/>
            </w:tcBorders>
            <w:vAlign w:val="center"/>
          </w:tcPr>
          <w:p w14:paraId="6DB11468">
            <w:pPr>
              <w:jc w:val="right"/>
              <w:rPr>
                <w:sz w:val="18"/>
                <w:szCs w:val="18"/>
              </w:rPr>
            </w:pPr>
          </w:p>
        </w:tc>
        <w:tc>
          <w:tcPr>
            <w:tcW w:w="992" w:type="dxa"/>
            <w:tcBorders>
              <w:left w:val="single" w:color="auto" w:sz="4" w:space="0"/>
              <w:right w:val="single" w:color="auto" w:sz="4" w:space="0"/>
            </w:tcBorders>
            <w:vAlign w:val="center"/>
          </w:tcPr>
          <w:p w14:paraId="3D68CD05">
            <w:pPr>
              <w:jc w:val="right"/>
              <w:rPr>
                <w:sz w:val="18"/>
                <w:szCs w:val="18"/>
              </w:rPr>
            </w:pPr>
          </w:p>
        </w:tc>
        <w:tc>
          <w:tcPr>
            <w:tcW w:w="709" w:type="dxa"/>
            <w:tcBorders>
              <w:left w:val="single" w:color="auto" w:sz="4" w:space="0"/>
            </w:tcBorders>
            <w:vAlign w:val="center"/>
          </w:tcPr>
          <w:p w14:paraId="788E20BD">
            <w:pPr>
              <w:jc w:val="right"/>
              <w:rPr>
                <w:sz w:val="18"/>
                <w:szCs w:val="18"/>
              </w:rPr>
            </w:pPr>
          </w:p>
        </w:tc>
        <w:tc>
          <w:tcPr>
            <w:tcW w:w="1559" w:type="dxa"/>
            <w:vAlign w:val="center"/>
          </w:tcPr>
          <w:p w14:paraId="7F8AF063">
            <w:pPr>
              <w:jc w:val="right"/>
              <w:rPr>
                <w:sz w:val="18"/>
                <w:szCs w:val="18"/>
              </w:rPr>
            </w:pPr>
          </w:p>
        </w:tc>
        <w:tc>
          <w:tcPr>
            <w:tcW w:w="1144" w:type="dxa"/>
            <w:vAlign w:val="center"/>
          </w:tcPr>
          <w:p w14:paraId="1034FE61">
            <w:pPr>
              <w:jc w:val="right"/>
              <w:rPr>
                <w:sz w:val="18"/>
                <w:szCs w:val="18"/>
              </w:rPr>
            </w:pPr>
          </w:p>
        </w:tc>
        <w:tc>
          <w:tcPr>
            <w:tcW w:w="1407" w:type="dxa"/>
            <w:vAlign w:val="center"/>
          </w:tcPr>
          <w:p w14:paraId="5C0F7ED1">
            <w:pPr>
              <w:jc w:val="right"/>
              <w:rPr>
                <w:sz w:val="18"/>
                <w:szCs w:val="18"/>
              </w:rPr>
            </w:pPr>
          </w:p>
        </w:tc>
        <w:tc>
          <w:tcPr>
            <w:tcW w:w="426" w:type="dxa"/>
            <w:vAlign w:val="center"/>
          </w:tcPr>
          <w:p w14:paraId="5980FEE0">
            <w:pPr>
              <w:jc w:val="right"/>
              <w:rPr>
                <w:sz w:val="18"/>
                <w:szCs w:val="18"/>
              </w:rPr>
            </w:pPr>
          </w:p>
        </w:tc>
        <w:tc>
          <w:tcPr>
            <w:tcW w:w="1417" w:type="dxa"/>
            <w:vAlign w:val="center"/>
          </w:tcPr>
          <w:p w14:paraId="44BEC73E">
            <w:pPr>
              <w:jc w:val="right"/>
              <w:rPr>
                <w:sz w:val="18"/>
                <w:szCs w:val="18"/>
              </w:rPr>
            </w:pPr>
          </w:p>
        </w:tc>
        <w:tc>
          <w:tcPr>
            <w:tcW w:w="1559" w:type="dxa"/>
            <w:vAlign w:val="center"/>
          </w:tcPr>
          <w:p w14:paraId="65EE76A1">
            <w:pPr>
              <w:jc w:val="right"/>
              <w:rPr>
                <w:sz w:val="18"/>
                <w:szCs w:val="18"/>
              </w:rPr>
            </w:pPr>
          </w:p>
        </w:tc>
        <w:tc>
          <w:tcPr>
            <w:tcW w:w="1560" w:type="dxa"/>
            <w:vAlign w:val="center"/>
          </w:tcPr>
          <w:p w14:paraId="0849E7EB">
            <w:pPr>
              <w:jc w:val="right"/>
              <w:rPr>
                <w:sz w:val="18"/>
                <w:szCs w:val="18"/>
              </w:rPr>
            </w:pPr>
          </w:p>
        </w:tc>
      </w:tr>
      <w:tr w14:paraId="197B9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9773183e97be44a1a360188937e7fe10"/>
            <w:id w:val="-403531700"/>
          </w:sdtPr>
          <w:sdtContent>
            <w:tc>
              <w:tcPr>
                <w:tcW w:w="2127" w:type="dxa"/>
                <w:vAlign w:val="center"/>
              </w:tcPr>
              <w:p w14:paraId="00677417">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三</w:t>
                </w:r>
                <w:r>
                  <w:rPr>
                    <w:color w:val="000000" w:themeColor="text1"/>
                    <w:sz w:val="18"/>
                    <w:szCs w:val="18"/>
                    <w14:textFill>
                      <w14:solidFill>
                        <w14:schemeClr w14:val="tx1"/>
                      </w14:solidFill>
                    </w14:textFill>
                  </w:rPr>
                  <w:t>）利润分配</w:t>
                </w:r>
              </w:p>
            </w:tc>
          </w:sdtContent>
        </w:sdt>
        <w:tc>
          <w:tcPr>
            <w:tcW w:w="1920" w:type="dxa"/>
            <w:tcBorders>
              <w:right w:val="single" w:color="auto" w:sz="4" w:space="0"/>
            </w:tcBorders>
            <w:vAlign w:val="center"/>
          </w:tcPr>
          <w:p w14:paraId="1BDD3F6B">
            <w:pPr>
              <w:jc w:val="right"/>
              <w:rPr>
                <w:sz w:val="18"/>
                <w:szCs w:val="18"/>
              </w:rPr>
            </w:pPr>
          </w:p>
        </w:tc>
        <w:tc>
          <w:tcPr>
            <w:tcW w:w="915" w:type="dxa"/>
            <w:tcBorders>
              <w:left w:val="single" w:color="auto" w:sz="4" w:space="0"/>
              <w:right w:val="single" w:color="auto" w:sz="4" w:space="0"/>
            </w:tcBorders>
            <w:vAlign w:val="center"/>
          </w:tcPr>
          <w:p w14:paraId="11D6B408">
            <w:pPr>
              <w:jc w:val="right"/>
              <w:rPr>
                <w:sz w:val="18"/>
                <w:szCs w:val="18"/>
              </w:rPr>
            </w:pPr>
          </w:p>
        </w:tc>
        <w:tc>
          <w:tcPr>
            <w:tcW w:w="992" w:type="dxa"/>
            <w:tcBorders>
              <w:left w:val="single" w:color="auto" w:sz="4" w:space="0"/>
              <w:right w:val="single" w:color="auto" w:sz="4" w:space="0"/>
            </w:tcBorders>
            <w:vAlign w:val="center"/>
          </w:tcPr>
          <w:p w14:paraId="74C555B1">
            <w:pPr>
              <w:jc w:val="right"/>
              <w:rPr>
                <w:sz w:val="18"/>
                <w:szCs w:val="18"/>
              </w:rPr>
            </w:pPr>
          </w:p>
        </w:tc>
        <w:tc>
          <w:tcPr>
            <w:tcW w:w="709" w:type="dxa"/>
            <w:tcBorders>
              <w:left w:val="single" w:color="auto" w:sz="4" w:space="0"/>
            </w:tcBorders>
            <w:vAlign w:val="center"/>
          </w:tcPr>
          <w:p w14:paraId="51756FBF">
            <w:pPr>
              <w:jc w:val="right"/>
              <w:rPr>
                <w:sz w:val="18"/>
                <w:szCs w:val="18"/>
              </w:rPr>
            </w:pPr>
          </w:p>
        </w:tc>
        <w:tc>
          <w:tcPr>
            <w:tcW w:w="1559" w:type="dxa"/>
            <w:vAlign w:val="center"/>
          </w:tcPr>
          <w:p w14:paraId="214CC363">
            <w:pPr>
              <w:jc w:val="right"/>
              <w:rPr>
                <w:sz w:val="18"/>
                <w:szCs w:val="18"/>
              </w:rPr>
            </w:pPr>
          </w:p>
        </w:tc>
        <w:tc>
          <w:tcPr>
            <w:tcW w:w="1144" w:type="dxa"/>
            <w:vAlign w:val="center"/>
          </w:tcPr>
          <w:p w14:paraId="18F06E01">
            <w:pPr>
              <w:jc w:val="right"/>
              <w:rPr>
                <w:sz w:val="18"/>
                <w:szCs w:val="18"/>
              </w:rPr>
            </w:pPr>
          </w:p>
        </w:tc>
        <w:tc>
          <w:tcPr>
            <w:tcW w:w="1407" w:type="dxa"/>
            <w:vAlign w:val="center"/>
          </w:tcPr>
          <w:p w14:paraId="5AB8E950">
            <w:pPr>
              <w:jc w:val="right"/>
              <w:rPr>
                <w:sz w:val="18"/>
                <w:szCs w:val="18"/>
              </w:rPr>
            </w:pPr>
          </w:p>
        </w:tc>
        <w:tc>
          <w:tcPr>
            <w:tcW w:w="426" w:type="dxa"/>
            <w:vAlign w:val="center"/>
          </w:tcPr>
          <w:p w14:paraId="02DB90D0">
            <w:pPr>
              <w:jc w:val="right"/>
              <w:rPr>
                <w:sz w:val="18"/>
                <w:szCs w:val="18"/>
              </w:rPr>
            </w:pPr>
          </w:p>
        </w:tc>
        <w:tc>
          <w:tcPr>
            <w:tcW w:w="1417" w:type="dxa"/>
            <w:vAlign w:val="center"/>
          </w:tcPr>
          <w:p w14:paraId="3C4F1A82">
            <w:pPr>
              <w:jc w:val="right"/>
              <w:rPr>
                <w:sz w:val="18"/>
                <w:szCs w:val="18"/>
              </w:rPr>
            </w:pPr>
          </w:p>
        </w:tc>
        <w:tc>
          <w:tcPr>
            <w:tcW w:w="1559" w:type="dxa"/>
            <w:vAlign w:val="center"/>
          </w:tcPr>
          <w:p w14:paraId="41B8C7BE">
            <w:pPr>
              <w:jc w:val="right"/>
              <w:rPr>
                <w:sz w:val="18"/>
                <w:szCs w:val="18"/>
              </w:rPr>
            </w:pPr>
            <w:r>
              <w:rPr>
                <w:sz w:val="18"/>
                <w:szCs w:val="18"/>
              </w:rPr>
              <w:t>-13,032,069.20</w:t>
            </w:r>
          </w:p>
        </w:tc>
        <w:tc>
          <w:tcPr>
            <w:tcW w:w="1560" w:type="dxa"/>
            <w:vAlign w:val="center"/>
          </w:tcPr>
          <w:p w14:paraId="68D39EAF">
            <w:pPr>
              <w:jc w:val="right"/>
              <w:rPr>
                <w:sz w:val="18"/>
                <w:szCs w:val="18"/>
              </w:rPr>
            </w:pPr>
            <w:r>
              <w:rPr>
                <w:sz w:val="18"/>
                <w:szCs w:val="18"/>
              </w:rPr>
              <w:t>-13,032,069.20</w:t>
            </w:r>
          </w:p>
        </w:tc>
      </w:tr>
      <w:tr w14:paraId="7FFE4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49d633deae854098a44173514bb3a7b3"/>
            <w:id w:val="-289131602"/>
          </w:sdtPr>
          <w:sdtContent>
            <w:tc>
              <w:tcPr>
                <w:tcW w:w="2127" w:type="dxa"/>
                <w:vAlign w:val="center"/>
              </w:tcPr>
              <w:p w14:paraId="35713531">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1．提取盈余公积</w:t>
                </w:r>
              </w:p>
            </w:tc>
          </w:sdtContent>
        </w:sdt>
        <w:tc>
          <w:tcPr>
            <w:tcW w:w="1920" w:type="dxa"/>
            <w:tcBorders>
              <w:right w:val="single" w:color="auto" w:sz="4" w:space="0"/>
            </w:tcBorders>
            <w:vAlign w:val="center"/>
          </w:tcPr>
          <w:p w14:paraId="53126B25">
            <w:pPr>
              <w:jc w:val="right"/>
              <w:rPr>
                <w:sz w:val="18"/>
                <w:szCs w:val="18"/>
              </w:rPr>
            </w:pPr>
          </w:p>
        </w:tc>
        <w:tc>
          <w:tcPr>
            <w:tcW w:w="915" w:type="dxa"/>
            <w:tcBorders>
              <w:left w:val="single" w:color="auto" w:sz="4" w:space="0"/>
              <w:right w:val="single" w:color="auto" w:sz="4" w:space="0"/>
            </w:tcBorders>
            <w:vAlign w:val="center"/>
          </w:tcPr>
          <w:p w14:paraId="04A55C30">
            <w:pPr>
              <w:jc w:val="right"/>
              <w:rPr>
                <w:sz w:val="18"/>
                <w:szCs w:val="18"/>
              </w:rPr>
            </w:pPr>
          </w:p>
        </w:tc>
        <w:tc>
          <w:tcPr>
            <w:tcW w:w="992" w:type="dxa"/>
            <w:tcBorders>
              <w:left w:val="single" w:color="auto" w:sz="4" w:space="0"/>
              <w:right w:val="single" w:color="auto" w:sz="4" w:space="0"/>
            </w:tcBorders>
            <w:vAlign w:val="center"/>
          </w:tcPr>
          <w:p w14:paraId="56CE4692">
            <w:pPr>
              <w:jc w:val="right"/>
              <w:rPr>
                <w:sz w:val="18"/>
                <w:szCs w:val="18"/>
              </w:rPr>
            </w:pPr>
          </w:p>
        </w:tc>
        <w:tc>
          <w:tcPr>
            <w:tcW w:w="709" w:type="dxa"/>
            <w:tcBorders>
              <w:left w:val="single" w:color="auto" w:sz="4" w:space="0"/>
            </w:tcBorders>
            <w:vAlign w:val="center"/>
          </w:tcPr>
          <w:p w14:paraId="42764487">
            <w:pPr>
              <w:jc w:val="right"/>
              <w:rPr>
                <w:sz w:val="18"/>
                <w:szCs w:val="18"/>
              </w:rPr>
            </w:pPr>
          </w:p>
        </w:tc>
        <w:tc>
          <w:tcPr>
            <w:tcW w:w="1559" w:type="dxa"/>
            <w:vAlign w:val="center"/>
          </w:tcPr>
          <w:p w14:paraId="4E2FC1B0">
            <w:pPr>
              <w:jc w:val="right"/>
              <w:rPr>
                <w:sz w:val="18"/>
                <w:szCs w:val="18"/>
              </w:rPr>
            </w:pPr>
          </w:p>
        </w:tc>
        <w:tc>
          <w:tcPr>
            <w:tcW w:w="1144" w:type="dxa"/>
            <w:vAlign w:val="center"/>
          </w:tcPr>
          <w:p w14:paraId="19266431">
            <w:pPr>
              <w:jc w:val="right"/>
              <w:rPr>
                <w:sz w:val="18"/>
                <w:szCs w:val="18"/>
              </w:rPr>
            </w:pPr>
          </w:p>
        </w:tc>
        <w:tc>
          <w:tcPr>
            <w:tcW w:w="1407" w:type="dxa"/>
            <w:vAlign w:val="center"/>
          </w:tcPr>
          <w:p w14:paraId="70DE6AD0">
            <w:pPr>
              <w:jc w:val="right"/>
              <w:rPr>
                <w:sz w:val="18"/>
                <w:szCs w:val="18"/>
              </w:rPr>
            </w:pPr>
          </w:p>
        </w:tc>
        <w:tc>
          <w:tcPr>
            <w:tcW w:w="426" w:type="dxa"/>
            <w:vAlign w:val="center"/>
          </w:tcPr>
          <w:p w14:paraId="1FB4A48D">
            <w:pPr>
              <w:jc w:val="right"/>
              <w:rPr>
                <w:sz w:val="18"/>
                <w:szCs w:val="18"/>
              </w:rPr>
            </w:pPr>
          </w:p>
        </w:tc>
        <w:tc>
          <w:tcPr>
            <w:tcW w:w="1417" w:type="dxa"/>
            <w:vAlign w:val="center"/>
          </w:tcPr>
          <w:p w14:paraId="701979C8">
            <w:pPr>
              <w:jc w:val="right"/>
              <w:rPr>
                <w:sz w:val="18"/>
                <w:szCs w:val="18"/>
              </w:rPr>
            </w:pPr>
          </w:p>
        </w:tc>
        <w:tc>
          <w:tcPr>
            <w:tcW w:w="1559" w:type="dxa"/>
            <w:vAlign w:val="center"/>
          </w:tcPr>
          <w:p w14:paraId="1C61CF37">
            <w:pPr>
              <w:jc w:val="right"/>
              <w:rPr>
                <w:sz w:val="18"/>
                <w:szCs w:val="18"/>
              </w:rPr>
            </w:pPr>
          </w:p>
        </w:tc>
        <w:tc>
          <w:tcPr>
            <w:tcW w:w="1560" w:type="dxa"/>
            <w:vAlign w:val="center"/>
          </w:tcPr>
          <w:p w14:paraId="6F5737A3">
            <w:pPr>
              <w:jc w:val="right"/>
              <w:rPr>
                <w:sz w:val="18"/>
                <w:szCs w:val="18"/>
              </w:rPr>
            </w:pPr>
          </w:p>
        </w:tc>
      </w:tr>
      <w:tr w14:paraId="711BF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97bd41fffab4497fb1be0b345aef17bd"/>
            <w:id w:val="-506597195"/>
          </w:sdtPr>
          <w:sdtContent>
            <w:tc>
              <w:tcPr>
                <w:tcW w:w="2127" w:type="dxa"/>
                <w:vAlign w:val="center"/>
              </w:tcPr>
              <w:p w14:paraId="59DF71E5">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．对所有者（或股东）的分配</w:t>
                </w:r>
              </w:p>
            </w:tc>
          </w:sdtContent>
        </w:sdt>
        <w:tc>
          <w:tcPr>
            <w:tcW w:w="1920" w:type="dxa"/>
            <w:tcBorders>
              <w:right w:val="single" w:color="auto" w:sz="4" w:space="0"/>
            </w:tcBorders>
            <w:vAlign w:val="center"/>
          </w:tcPr>
          <w:p w14:paraId="6C214D9B">
            <w:pPr>
              <w:jc w:val="right"/>
              <w:rPr>
                <w:sz w:val="18"/>
                <w:szCs w:val="18"/>
              </w:rPr>
            </w:pPr>
          </w:p>
        </w:tc>
        <w:tc>
          <w:tcPr>
            <w:tcW w:w="915" w:type="dxa"/>
            <w:tcBorders>
              <w:left w:val="single" w:color="auto" w:sz="4" w:space="0"/>
              <w:right w:val="single" w:color="auto" w:sz="4" w:space="0"/>
            </w:tcBorders>
            <w:vAlign w:val="center"/>
          </w:tcPr>
          <w:p w14:paraId="54AB3755">
            <w:pPr>
              <w:jc w:val="right"/>
              <w:rPr>
                <w:sz w:val="18"/>
                <w:szCs w:val="18"/>
              </w:rPr>
            </w:pPr>
          </w:p>
        </w:tc>
        <w:tc>
          <w:tcPr>
            <w:tcW w:w="992" w:type="dxa"/>
            <w:tcBorders>
              <w:left w:val="single" w:color="auto" w:sz="4" w:space="0"/>
              <w:right w:val="single" w:color="auto" w:sz="4" w:space="0"/>
            </w:tcBorders>
            <w:vAlign w:val="center"/>
          </w:tcPr>
          <w:p w14:paraId="477693D1">
            <w:pPr>
              <w:jc w:val="right"/>
              <w:rPr>
                <w:sz w:val="18"/>
                <w:szCs w:val="18"/>
              </w:rPr>
            </w:pPr>
          </w:p>
        </w:tc>
        <w:tc>
          <w:tcPr>
            <w:tcW w:w="709" w:type="dxa"/>
            <w:tcBorders>
              <w:left w:val="single" w:color="auto" w:sz="4" w:space="0"/>
            </w:tcBorders>
            <w:vAlign w:val="center"/>
          </w:tcPr>
          <w:p w14:paraId="2B118DE5">
            <w:pPr>
              <w:jc w:val="right"/>
              <w:rPr>
                <w:sz w:val="18"/>
                <w:szCs w:val="18"/>
              </w:rPr>
            </w:pPr>
          </w:p>
        </w:tc>
        <w:tc>
          <w:tcPr>
            <w:tcW w:w="1559" w:type="dxa"/>
            <w:vAlign w:val="center"/>
          </w:tcPr>
          <w:p w14:paraId="5B7D6348">
            <w:pPr>
              <w:jc w:val="right"/>
              <w:rPr>
                <w:sz w:val="18"/>
                <w:szCs w:val="18"/>
              </w:rPr>
            </w:pPr>
          </w:p>
        </w:tc>
        <w:tc>
          <w:tcPr>
            <w:tcW w:w="1144" w:type="dxa"/>
            <w:vAlign w:val="center"/>
          </w:tcPr>
          <w:p w14:paraId="745699DE">
            <w:pPr>
              <w:jc w:val="right"/>
              <w:rPr>
                <w:sz w:val="18"/>
                <w:szCs w:val="18"/>
              </w:rPr>
            </w:pPr>
          </w:p>
        </w:tc>
        <w:tc>
          <w:tcPr>
            <w:tcW w:w="1407" w:type="dxa"/>
            <w:vAlign w:val="center"/>
          </w:tcPr>
          <w:p w14:paraId="3959DC40">
            <w:pPr>
              <w:jc w:val="right"/>
              <w:rPr>
                <w:sz w:val="18"/>
                <w:szCs w:val="18"/>
              </w:rPr>
            </w:pPr>
          </w:p>
        </w:tc>
        <w:tc>
          <w:tcPr>
            <w:tcW w:w="426" w:type="dxa"/>
            <w:vAlign w:val="center"/>
          </w:tcPr>
          <w:p w14:paraId="47634DCE">
            <w:pPr>
              <w:jc w:val="right"/>
              <w:rPr>
                <w:sz w:val="18"/>
                <w:szCs w:val="18"/>
              </w:rPr>
            </w:pPr>
          </w:p>
        </w:tc>
        <w:tc>
          <w:tcPr>
            <w:tcW w:w="1417" w:type="dxa"/>
            <w:vAlign w:val="center"/>
          </w:tcPr>
          <w:p w14:paraId="47ACA769">
            <w:pPr>
              <w:jc w:val="right"/>
              <w:rPr>
                <w:sz w:val="18"/>
                <w:szCs w:val="18"/>
              </w:rPr>
            </w:pPr>
          </w:p>
        </w:tc>
        <w:tc>
          <w:tcPr>
            <w:tcW w:w="1559" w:type="dxa"/>
            <w:vAlign w:val="center"/>
          </w:tcPr>
          <w:p w14:paraId="459F3D3D">
            <w:pPr>
              <w:jc w:val="right"/>
              <w:rPr>
                <w:sz w:val="18"/>
                <w:szCs w:val="18"/>
              </w:rPr>
            </w:pPr>
            <w:r>
              <w:rPr>
                <w:sz w:val="18"/>
                <w:szCs w:val="18"/>
              </w:rPr>
              <w:t>-13,032,069.20</w:t>
            </w:r>
          </w:p>
        </w:tc>
        <w:tc>
          <w:tcPr>
            <w:tcW w:w="1560" w:type="dxa"/>
            <w:vAlign w:val="center"/>
          </w:tcPr>
          <w:p w14:paraId="08FD1BB0">
            <w:pPr>
              <w:jc w:val="right"/>
              <w:rPr>
                <w:sz w:val="18"/>
                <w:szCs w:val="18"/>
              </w:rPr>
            </w:pPr>
            <w:r>
              <w:rPr>
                <w:sz w:val="18"/>
                <w:szCs w:val="18"/>
              </w:rPr>
              <w:t>-13,032,069.20</w:t>
            </w:r>
          </w:p>
        </w:tc>
      </w:tr>
      <w:tr w14:paraId="62195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a5c6789730e84b389ee95f39091419a8"/>
            <w:id w:val="-868833058"/>
          </w:sdtPr>
          <w:sdtContent>
            <w:tc>
              <w:tcPr>
                <w:tcW w:w="2127" w:type="dxa"/>
                <w:vAlign w:val="center"/>
              </w:tcPr>
              <w:p w14:paraId="57DAB662">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．其他</w:t>
                </w:r>
              </w:p>
            </w:tc>
          </w:sdtContent>
        </w:sdt>
        <w:tc>
          <w:tcPr>
            <w:tcW w:w="1920" w:type="dxa"/>
            <w:tcBorders>
              <w:right w:val="single" w:color="auto" w:sz="4" w:space="0"/>
            </w:tcBorders>
            <w:vAlign w:val="center"/>
          </w:tcPr>
          <w:p w14:paraId="7C93B021">
            <w:pPr>
              <w:jc w:val="right"/>
              <w:rPr>
                <w:sz w:val="18"/>
                <w:szCs w:val="18"/>
              </w:rPr>
            </w:pPr>
          </w:p>
        </w:tc>
        <w:tc>
          <w:tcPr>
            <w:tcW w:w="915" w:type="dxa"/>
            <w:tcBorders>
              <w:left w:val="single" w:color="auto" w:sz="4" w:space="0"/>
              <w:right w:val="single" w:color="auto" w:sz="4" w:space="0"/>
            </w:tcBorders>
            <w:vAlign w:val="center"/>
          </w:tcPr>
          <w:p w14:paraId="48D8DCB8">
            <w:pPr>
              <w:jc w:val="right"/>
              <w:rPr>
                <w:sz w:val="18"/>
                <w:szCs w:val="18"/>
              </w:rPr>
            </w:pPr>
          </w:p>
        </w:tc>
        <w:tc>
          <w:tcPr>
            <w:tcW w:w="992" w:type="dxa"/>
            <w:tcBorders>
              <w:left w:val="single" w:color="auto" w:sz="4" w:space="0"/>
              <w:right w:val="single" w:color="auto" w:sz="4" w:space="0"/>
            </w:tcBorders>
            <w:vAlign w:val="center"/>
          </w:tcPr>
          <w:p w14:paraId="42986D10">
            <w:pPr>
              <w:jc w:val="right"/>
              <w:rPr>
                <w:sz w:val="18"/>
                <w:szCs w:val="18"/>
              </w:rPr>
            </w:pPr>
          </w:p>
        </w:tc>
        <w:tc>
          <w:tcPr>
            <w:tcW w:w="709" w:type="dxa"/>
            <w:tcBorders>
              <w:left w:val="single" w:color="auto" w:sz="4" w:space="0"/>
            </w:tcBorders>
            <w:vAlign w:val="center"/>
          </w:tcPr>
          <w:p w14:paraId="6C9CE011">
            <w:pPr>
              <w:jc w:val="right"/>
              <w:rPr>
                <w:sz w:val="18"/>
                <w:szCs w:val="18"/>
              </w:rPr>
            </w:pPr>
          </w:p>
        </w:tc>
        <w:tc>
          <w:tcPr>
            <w:tcW w:w="1559" w:type="dxa"/>
            <w:vAlign w:val="center"/>
          </w:tcPr>
          <w:p w14:paraId="594CE389">
            <w:pPr>
              <w:jc w:val="right"/>
              <w:rPr>
                <w:sz w:val="18"/>
                <w:szCs w:val="18"/>
              </w:rPr>
            </w:pPr>
          </w:p>
        </w:tc>
        <w:tc>
          <w:tcPr>
            <w:tcW w:w="1144" w:type="dxa"/>
            <w:vAlign w:val="center"/>
          </w:tcPr>
          <w:p w14:paraId="75C1E63E">
            <w:pPr>
              <w:jc w:val="right"/>
              <w:rPr>
                <w:sz w:val="18"/>
                <w:szCs w:val="18"/>
              </w:rPr>
            </w:pPr>
          </w:p>
        </w:tc>
        <w:tc>
          <w:tcPr>
            <w:tcW w:w="1407" w:type="dxa"/>
            <w:vAlign w:val="center"/>
          </w:tcPr>
          <w:p w14:paraId="2AAAD2CF">
            <w:pPr>
              <w:jc w:val="right"/>
              <w:rPr>
                <w:sz w:val="18"/>
                <w:szCs w:val="18"/>
              </w:rPr>
            </w:pPr>
          </w:p>
        </w:tc>
        <w:tc>
          <w:tcPr>
            <w:tcW w:w="426" w:type="dxa"/>
            <w:vAlign w:val="center"/>
          </w:tcPr>
          <w:p w14:paraId="76661375">
            <w:pPr>
              <w:jc w:val="right"/>
              <w:rPr>
                <w:sz w:val="18"/>
                <w:szCs w:val="18"/>
              </w:rPr>
            </w:pPr>
          </w:p>
        </w:tc>
        <w:tc>
          <w:tcPr>
            <w:tcW w:w="1417" w:type="dxa"/>
            <w:vAlign w:val="center"/>
          </w:tcPr>
          <w:p w14:paraId="45055B8D">
            <w:pPr>
              <w:jc w:val="right"/>
              <w:rPr>
                <w:sz w:val="18"/>
                <w:szCs w:val="18"/>
              </w:rPr>
            </w:pPr>
          </w:p>
        </w:tc>
        <w:tc>
          <w:tcPr>
            <w:tcW w:w="1559" w:type="dxa"/>
            <w:vAlign w:val="center"/>
          </w:tcPr>
          <w:p w14:paraId="7996075C">
            <w:pPr>
              <w:jc w:val="right"/>
              <w:rPr>
                <w:sz w:val="18"/>
                <w:szCs w:val="18"/>
              </w:rPr>
            </w:pPr>
          </w:p>
        </w:tc>
        <w:tc>
          <w:tcPr>
            <w:tcW w:w="1560" w:type="dxa"/>
            <w:vAlign w:val="center"/>
          </w:tcPr>
          <w:p w14:paraId="0BA55E25">
            <w:pPr>
              <w:jc w:val="right"/>
              <w:rPr>
                <w:sz w:val="18"/>
                <w:szCs w:val="18"/>
              </w:rPr>
            </w:pPr>
          </w:p>
        </w:tc>
      </w:tr>
      <w:tr w14:paraId="5C480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9c529a92f12642ed93c3ac5d7c5ef52b"/>
            <w:id w:val="-1146660155"/>
          </w:sdtPr>
          <w:sdtContent>
            <w:tc>
              <w:tcPr>
                <w:tcW w:w="2127" w:type="dxa"/>
                <w:vAlign w:val="center"/>
              </w:tcPr>
              <w:p w14:paraId="0272665C">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四</w:t>
                </w:r>
                <w:r>
                  <w:rPr>
                    <w:color w:val="000000" w:themeColor="text1"/>
                    <w:sz w:val="18"/>
                    <w:szCs w:val="18"/>
                    <w14:textFill>
                      <w14:solidFill>
                        <w14:schemeClr w14:val="tx1"/>
                      </w14:solidFill>
                    </w14:textFill>
                  </w:rPr>
                  <w:t>）所有者权益内部结转</w:t>
                </w:r>
              </w:p>
            </w:tc>
          </w:sdtContent>
        </w:sdt>
        <w:tc>
          <w:tcPr>
            <w:tcW w:w="1920" w:type="dxa"/>
            <w:tcBorders>
              <w:right w:val="single" w:color="auto" w:sz="4" w:space="0"/>
            </w:tcBorders>
            <w:vAlign w:val="center"/>
          </w:tcPr>
          <w:p w14:paraId="79CD8041">
            <w:pPr>
              <w:jc w:val="right"/>
              <w:rPr>
                <w:sz w:val="18"/>
                <w:szCs w:val="18"/>
              </w:rPr>
            </w:pPr>
          </w:p>
        </w:tc>
        <w:tc>
          <w:tcPr>
            <w:tcW w:w="915" w:type="dxa"/>
            <w:tcBorders>
              <w:left w:val="single" w:color="auto" w:sz="4" w:space="0"/>
              <w:right w:val="single" w:color="auto" w:sz="4" w:space="0"/>
            </w:tcBorders>
            <w:vAlign w:val="center"/>
          </w:tcPr>
          <w:p w14:paraId="5BBE3D97">
            <w:pPr>
              <w:jc w:val="right"/>
              <w:rPr>
                <w:sz w:val="18"/>
                <w:szCs w:val="18"/>
              </w:rPr>
            </w:pPr>
          </w:p>
        </w:tc>
        <w:tc>
          <w:tcPr>
            <w:tcW w:w="992" w:type="dxa"/>
            <w:tcBorders>
              <w:left w:val="single" w:color="auto" w:sz="4" w:space="0"/>
              <w:right w:val="single" w:color="auto" w:sz="4" w:space="0"/>
            </w:tcBorders>
            <w:vAlign w:val="center"/>
          </w:tcPr>
          <w:p w14:paraId="2C4DC411">
            <w:pPr>
              <w:jc w:val="right"/>
              <w:rPr>
                <w:sz w:val="18"/>
                <w:szCs w:val="18"/>
              </w:rPr>
            </w:pPr>
          </w:p>
        </w:tc>
        <w:tc>
          <w:tcPr>
            <w:tcW w:w="709" w:type="dxa"/>
            <w:tcBorders>
              <w:left w:val="single" w:color="auto" w:sz="4" w:space="0"/>
            </w:tcBorders>
            <w:vAlign w:val="center"/>
          </w:tcPr>
          <w:p w14:paraId="3E677D78">
            <w:pPr>
              <w:jc w:val="right"/>
              <w:rPr>
                <w:sz w:val="18"/>
                <w:szCs w:val="18"/>
              </w:rPr>
            </w:pPr>
          </w:p>
        </w:tc>
        <w:tc>
          <w:tcPr>
            <w:tcW w:w="1559" w:type="dxa"/>
            <w:vAlign w:val="center"/>
          </w:tcPr>
          <w:p w14:paraId="23452E66">
            <w:pPr>
              <w:jc w:val="right"/>
              <w:rPr>
                <w:sz w:val="18"/>
                <w:szCs w:val="18"/>
              </w:rPr>
            </w:pPr>
          </w:p>
        </w:tc>
        <w:tc>
          <w:tcPr>
            <w:tcW w:w="1144" w:type="dxa"/>
            <w:vAlign w:val="center"/>
          </w:tcPr>
          <w:p w14:paraId="3011D5AC">
            <w:pPr>
              <w:jc w:val="right"/>
              <w:rPr>
                <w:sz w:val="18"/>
                <w:szCs w:val="18"/>
              </w:rPr>
            </w:pPr>
          </w:p>
        </w:tc>
        <w:tc>
          <w:tcPr>
            <w:tcW w:w="1407" w:type="dxa"/>
            <w:vAlign w:val="center"/>
          </w:tcPr>
          <w:p w14:paraId="373F006D">
            <w:pPr>
              <w:jc w:val="right"/>
              <w:rPr>
                <w:sz w:val="18"/>
                <w:szCs w:val="18"/>
              </w:rPr>
            </w:pPr>
          </w:p>
        </w:tc>
        <w:tc>
          <w:tcPr>
            <w:tcW w:w="426" w:type="dxa"/>
            <w:vAlign w:val="center"/>
          </w:tcPr>
          <w:p w14:paraId="07002061">
            <w:pPr>
              <w:jc w:val="right"/>
              <w:rPr>
                <w:sz w:val="18"/>
                <w:szCs w:val="18"/>
              </w:rPr>
            </w:pPr>
          </w:p>
        </w:tc>
        <w:tc>
          <w:tcPr>
            <w:tcW w:w="1417" w:type="dxa"/>
            <w:vAlign w:val="center"/>
          </w:tcPr>
          <w:p w14:paraId="2AE6E75B">
            <w:pPr>
              <w:jc w:val="right"/>
              <w:rPr>
                <w:sz w:val="18"/>
                <w:szCs w:val="18"/>
              </w:rPr>
            </w:pPr>
          </w:p>
        </w:tc>
        <w:tc>
          <w:tcPr>
            <w:tcW w:w="1559" w:type="dxa"/>
            <w:vAlign w:val="center"/>
          </w:tcPr>
          <w:p w14:paraId="774657C9">
            <w:pPr>
              <w:jc w:val="right"/>
              <w:rPr>
                <w:sz w:val="18"/>
                <w:szCs w:val="18"/>
              </w:rPr>
            </w:pPr>
          </w:p>
        </w:tc>
        <w:tc>
          <w:tcPr>
            <w:tcW w:w="1560" w:type="dxa"/>
            <w:vAlign w:val="center"/>
          </w:tcPr>
          <w:p w14:paraId="60A2B008">
            <w:pPr>
              <w:jc w:val="right"/>
              <w:rPr>
                <w:sz w:val="18"/>
                <w:szCs w:val="18"/>
              </w:rPr>
            </w:pPr>
          </w:p>
        </w:tc>
      </w:tr>
      <w:tr w14:paraId="0FCC7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084a56709ef243f89e8f0aead886c10d"/>
            <w:id w:val="-1948375181"/>
          </w:sdtPr>
          <w:sdtContent>
            <w:tc>
              <w:tcPr>
                <w:tcW w:w="2127" w:type="dxa"/>
                <w:vAlign w:val="center"/>
              </w:tcPr>
              <w:p w14:paraId="5136775E">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1．资本公积转增资本（或股本）</w:t>
                </w:r>
              </w:p>
            </w:tc>
          </w:sdtContent>
        </w:sdt>
        <w:tc>
          <w:tcPr>
            <w:tcW w:w="1920" w:type="dxa"/>
            <w:tcBorders>
              <w:right w:val="single" w:color="auto" w:sz="4" w:space="0"/>
            </w:tcBorders>
            <w:vAlign w:val="center"/>
          </w:tcPr>
          <w:p w14:paraId="318E3507">
            <w:pPr>
              <w:jc w:val="right"/>
              <w:rPr>
                <w:sz w:val="18"/>
                <w:szCs w:val="18"/>
              </w:rPr>
            </w:pPr>
          </w:p>
        </w:tc>
        <w:tc>
          <w:tcPr>
            <w:tcW w:w="915" w:type="dxa"/>
            <w:tcBorders>
              <w:left w:val="single" w:color="auto" w:sz="4" w:space="0"/>
              <w:right w:val="single" w:color="auto" w:sz="4" w:space="0"/>
            </w:tcBorders>
            <w:vAlign w:val="center"/>
          </w:tcPr>
          <w:p w14:paraId="37952C41">
            <w:pPr>
              <w:jc w:val="right"/>
              <w:rPr>
                <w:sz w:val="18"/>
                <w:szCs w:val="18"/>
              </w:rPr>
            </w:pPr>
          </w:p>
        </w:tc>
        <w:tc>
          <w:tcPr>
            <w:tcW w:w="992" w:type="dxa"/>
            <w:tcBorders>
              <w:left w:val="single" w:color="auto" w:sz="4" w:space="0"/>
              <w:right w:val="single" w:color="auto" w:sz="4" w:space="0"/>
            </w:tcBorders>
            <w:vAlign w:val="center"/>
          </w:tcPr>
          <w:p w14:paraId="70CF83DD">
            <w:pPr>
              <w:jc w:val="right"/>
              <w:rPr>
                <w:sz w:val="18"/>
                <w:szCs w:val="18"/>
              </w:rPr>
            </w:pPr>
          </w:p>
        </w:tc>
        <w:tc>
          <w:tcPr>
            <w:tcW w:w="709" w:type="dxa"/>
            <w:tcBorders>
              <w:left w:val="single" w:color="auto" w:sz="4" w:space="0"/>
            </w:tcBorders>
            <w:vAlign w:val="center"/>
          </w:tcPr>
          <w:p w14:paraId="6402B5B6">
            <w:pPr>
              <w:jc w:val="right"/>
              <w:rPr>
                <w:sz w:val="18"/>
                <w:szCs w:val="18"/>
              </w:rPr>
            </w:pPr>
          </w:p>
        </w:tc>
        <w:tc>
          <w:tcPr>
            <w:tcW w:w="1559" w:type="dxa"/>
            <w:vAlign w:val="center"/>
          </w:tcPr>
          <w:p w14:paraId="5701EDD8">
            <w:pPr>
              <w:jc w:val="right"/>
              <w:rPr>
                <w:sz w:val="18"/>
                <w:szCs w:val="18"/>
              </w:rPr>
            </w:pPr>
          </w:p>
        </w:tc>
        <w:tc>
          <w:tcPr>
            <w:tcW w:w="1144" w:type="dxa"/>
            <w:vAlign w:val="center"/>
          </w:tcPr>
          <w:p w14:paraId="000E5270">
            <w:pPr>
              <w:jc w:val="right"/>
              <w:rPr>
                <w:sz w:val="18"/>
                <w:szCs w:val="18"/>
              </w:rPr>
            </w:pPr>
          </w:p>
        </w:tc>
        <w:tc>
          <w:tcPr>
            <w:tcW w:w="1407" w:type="dxa"/>
            <w:vAlign w:val="center"/>
          </w:tcPr>
          <w:p w14:paraId="407D336E">
            <w:pPr>
              <w:jc w:val="right"/>
              <w:rPr>
                <w:sz w:val="18"/>
                <w:szCs w:val="18"/>
              </w:rPr>
            </w:pPr>
          </w:p>
        </w:tc>
        <w:tc>
          <w:tcPr>
            <w:tcW w:w="426" w:type="dxa"/>
            <w:vAlign w:val="center"/>
          </w:tcPr>
          <w:p w14:paraId="1E2AEB44">
            <w:pPr>
              <w:jc w:val="right"/>
              <w:rPr>
                <w:sz w:val="18"/>
                <w:szCs w:val="18"/>
              </w:rPr>
            </w:pPr>
          </w:p>
        </w:tc>
        <w:tc>
          <w:tcPr>
            <w:tcW w:w="1417" w:type="dxa"/>
            <w:vAlign w:val="center"/>
          </w:tcPr>
          <w:p w14:paraId="6F904AD2">
            <w:pPr>
              <w:jc w:val="right"/>
              <w:rPr>
                <w:sz w:val="18"/>
                <w:szCs w:val="18"/>
              </w:rPr>
            </w:pPr>
          </w:p>
        </w:tc>
        <w:tc>
          <w:tcPr>
            <w:tcW w:w="1559" w:type="dxa"/>
            <w:vAlign w:val="center"/>
          </w:tcPr>
          <w:p w14:paraId="0D934032">
            <w:pPr>
              <w:jc w:val="right"/>
              <w:rPr>
                <w:sz w:val="18"/>
                <w:szCs w:val="18"/>
              </w:rPr>
            </w:pPr>
          </w:p>
        </w:tc>
        <w:tc>
          <w:tcPr>
            <w:tcW w:w="1560" w:type="dxa"/>
            <w:vAlign w:val="center"/>
          </w:tcPr>
          <w:p w14:paraId="651272D6">
            <w:pPr>
              <w:jc w:val="right"/>
              <w:rPr>
                <w:sz w:val="18"/>
                <w:szCs w:val="18"/>
              </w:rPr>
            </w:pPr>
          </w:p>
        </w:tc>
      </w:tr>
      <w:tr w14:paraId="59BF4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22df50d156334ad9a740cc6d62e17f0b"/>
            <w:id w:val="-1502189639"/>
          </w:sdtPr>
          <w:sdtContent>
            <w:tc>
              <w:tcPr>
                <w:tcW w:w="2127" w:type="dxa"/>
                <w:vAlign w:val="center"/>
              </w:tcPr>
              <w:p w14:paraId="30F878E4">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2．盈余公积转增资本（或股本）</w:t>
                </w:r>
              </w:p>
            </w:tc>
          </w:sdtContent>
        </w:sdt>
        <w:tc>
          <w:tcPr>
            <w:tcW w:w="1920" w:type="dxa"/>
            <w:tcBorders>
              <w:right w:val="single" w:color="auto" w:sz="4" w:space="0"/>
            </w:tcBorders>
            <w:vAlign w:val="center"/>
          </w:tcPr>
          <w:p w14:paraId="4742970C">
            <w:pPr>
              <w:jc w:val="right"/>
              <w:rPr>
                <w:sz w:val="18"/>
                <w:szCs w:val="18"/>
              </w:rPr>
            </w:pPr>
          </w:p>
        </w:tc>
        <w:tc>
          <w:tcPr>
            <w:tcW w:w="915" w:type="dxa"/>
            <w:tcBorders>
              <w:left w:val="single" w:color="auto" w:sz="4" w:space="0"/>
              <w:right w:val="single" w:color="auto" w:sz="4" w:space="0"/>
            </w:tcBorders>
            <w:vAlign w:val="center"/>
          </w:tcPr>
          <w:p w14:paraId="60A9877E">
            <w:pPr>
              <w:jc w:val="right"/>
              <w:rPr>
                <w:sz w:val="18"/>
                <w:szCs w:val="18"/>
              </w:rPr>
            </w:pPr>
          </w:p>
        </w:tc>
        <w:tc>
          <w:tcPr>
            <w:tcW w:w="992" w:type="dxa"/>
            <w:tcBorders>
              <w:left w:val="single" w:color="auto" w:sz="4" w:space="0"/>
              <w:right w:val="single" w:color="auto" w:sz="4" w:space="0"/>
            </w:tcBorders>
            <w:vAlign w:val="center"/>
          </w:tcPr>
          <w:p w14:paraId="62BFC856">
            <w:pPr>
              <w:jc w:val="right"/>
              <w:rPr>
                <w:sz w:val="18"/>
                <w:szCs w:val="18"/>
              </w:rPr>
            </w:pPr>
          </w:p>
        </w:tc>
        <w:tc>
          <w:tcPr>
            <w:tcW w:w="709" w:type="dxa"/>
            <w:tcBorders>
              <w:left w:val="single" w:color="auto" w:sz="4" w:space="0"/>
            </w:tcBorders>
            <w:vAlign w:val="center"/>
          </w:tcPr>
          <w:p w14:paraId="727563BB">
            <w:pPr>
              <w:jc w:val="right"/>
              <w:rPr>
                <w:sz w:val="18"/>
                <w:szCs w:val="18"/>
              </w:rPr>
            </w:pPr>
          </w:p>
        </w:tc>
        <w:tc>
          <w:tcPr>
            <w:tcW w:w="1559" w:type="dxa"/>
            <w:vAlign w:val="center"/>
          </w:tcPr>
          <w:p w14:paraId="1C7FEAA2">
            <w:pPr>
              <w:jc w:val="right"/>
              <w:rPr>
                <w:sz w:val="18"/>
                <w:szCs w:val="18"/>
              </w:rPr>
            </w:pPr>
          </w:p>
        </w:tc>
        <w:tc>
          <w:tcPr>
            <w:tcW w:w="1144" w:type="dxa"/>
            <w:vAlign w:val="center"/>
          </w:tcPr>
          <w:p w14:paraId="7258F954">
            <w:pPr>
              <w:jc w:val="right"/>
              <w:rPr>
                <w:sz w:val="18"/>
                <w:szCs w:val="18"/>
              </w:rPr>
            </w:pPr>
          </w:p>
        </w:tc>
        <w:tc>
          <w:tcPr>
            <w:tcW w:w="1407" w:type="dxa"/>
            <w:vAlign w:val="center"/>
          </w:tcPr>
          <w:p w14:paraId="5A61F95C">
            <w:pPr>
              <w:jc w:val="right"/>
              <w:rPr>
                <w:sz w:val="18"/>
                <w:szCs w:val="18"/>
              </w:rPr>
            </w:pPr>
          </w:p>
        </w:tc>
        <w:tc>
          <w:tcPr>
            <w:tcW w:w="426" w:type="dxa"/>
            <w:vAlign w:val="center"/>
          </w:tcPr>
          <w:p w14:paraId="7BA82359">
            <w:pPr>
              <w:jc w:val="right"/>
              <w:rPr>
                <w:sz w:val="18"/>
                <w:szCs w:val="18"/>
              </w:rPr>
            </w:pPr>
          </w:p>
        </w:tc>
        <w:tc>
          <w:tcPr>
            <w:tcW w:w="1417" w:type="dxa"/>
            <w:vAlign w:val="center"/>
          </w:tcPr>
          <w:p w14:paraId="7C6100DE">
            <w:pPr>
              <w:jc w:val="right"/>
              <w:rPr>
                <w:sz w:val="18"/>
                <w:szCs w:val="18"/>
              </w:rPr>
            </w:pPr>
          </w:p>
        </w:tc>
        <w:tc>
          <w:tcPr>
            <w:tcW w:w="1559" w:type="dxa"/>
            <w:vAlign w:val="center"/>
          </w:tcPr>
          <w:p w14:paraId="306B4873">
            <w:pPr>
              <w:jc w:val="right"/>
              <w:rPr>
                <w:sz w:val="18"/>
                <w:szCs w:val="18"/>
              </w:rPr>
            </w:pPr>
          </w:p>
        </w:tc>
        <w:tc>
          <w:tcPr>
            <w:tcW w:w="1560" w:type="dxa"/>
            <w:vAlign w:val="center"/>
          </w:tcPr>
          <w:p w14:paraId="1EC72ABD">
            <w:pPr>
              <w:jc w:val="right"/>
              <w:rPr>
                <w:sz w:val="18"/>
                <w:szCs w:val="18"/>
              </w:rPr>
            </w:pPr>
          </w:p>
        </w:tc>
      </w:tr>
      <w:tr w14:paraId="75D8A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4846580862224d1a9e17a9af1fe14d07"/>
            <w:id w:val="-1984609734"/>
          </w:sdtPr>
          <w:sdtContent>
            <w:tc>
              <w:tcPr>
                <w:tcW w:w="2127" w:type="dxa"/>
                <w:vAlign w:val="center"/>
              </w:tcPr>
              <w:p w14:paraId="1A53577C">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3．盈余公积弥补亏损</w:t>
                </w:r>
              </w:p>
            </w:tc>
          </w:sdtContent>
        </w:sdt>
        <w:tc>
          <w:tcPr>
            <w:tcW w:w="1920" w:type="dxa"/>
            <w:tcBorders>
              <w:right w:val="single" w:color="auto" w:sz="4" w:space="0"/>
            </w:tcBorders>
            <w:vAlign w:val="center"/>
          </w:tcPr>
          <w:p w14:paraId="0A4FEC98">
            <w:pPr>
              <w:jc w:val="right"/>
              <w:rPr>
                <w:sz w:val="18"/>
                <w:szCs w:val="18"/>
              </w:rPr>
            </w:pPr>
          </w:p>
        </w:tc>
        <w:tc>
          <w:tcPr>
            <w:tcW w:w="915" w:type="dxa"/>
            <w:tcBorders>
              <w:left w:val="single" w:color="auto" w:sz="4" w:space="0"/>
              <w:right w:val="single" w:color="auto" w:sz="4" w:space="0"/>
            </w:tcBorders>
            <w:vAlign w:val="center"/>
          </w:tcPr>
          <w:p w14:paraId="37342DB4">
            <w:pPr>
              <w:jc w:val="right"/>
              <w:rPr>
                <w:sz w:val="18"/>
                <w:szCs w:val="18"/>
              </w:rPr>
            </w:pPr>
          </w:p>
        </w:tc>
        <w:tc>
          <w:tcPr>
            <w:tcW w:w="992" w:type="dxa"/>
            <w:tcBorders>
              <w:left w:val="single" w:color="auto" w:sz="4" w:space="0"/>
              <w:right w:val="single" w:color="auto" w:sz="4" w:space="0"/>
            </w:tcBorders>
            <w:vAlign w:val="center"/>
          </w:tcPr>
          <w:p w14:paraId="67CA2BDA">
            <w:pPr>
              <w:jc w:val="right"/>
              <w:rPr>
                <w:sz w:val="18"/>
                <w:szCs w:val="18"/>
              </w:rPr>
            </w:pPr>
          </w:p>
        </w:tc>
        <w:tc>
          <w:tcPr>
            <w:tcW w:w="709" w:type="dxa"/>
            <w:tcBorders>
              <w:left w:val="single" w:color="auto" w:sz="4" w:space="0"/>
            </w:tcBorders>
            <w:vAlign w:val="center"/>
          </w:tcPr>
          <w:p w14:paraId="520145C0">
            <w:pPr>
              <w:jc w:val="right"/>
              <w:rPr>
                <w:sz w:val="18"/>
                <w:szCs w:val="18"/>
              </w:rPr>
            </w:pPr>
          </w:p>
        </w:tc>
        <w:tc>
          <w:tcPr>
            <w:tcW w:w="1559" w:type="dxa"/>
            <w:vAlign w:val="center"/>
          </w:tcPr>
          <w:p w14:paraId="15DDC4BF">
            <w:pPr>
              <w:jc w:val="right"/>
              <w:rPr>
                <w:sz w:val="18"/>
                <w:szCs w:val="18"/>
              </w:rPr>
            </w:pPr>
          </w:p>
        </w:tc>
        <w:tc>
          <w:tcPr>
            <w:tcW w:w="1144" w:type="dxa"/>
            <w:vAlign w:val="center"/>
          </w:tcPr>
          <w:p w14:paraId="77D19FBC">
            <w:pPr>
              <w:jc w:val="right"/>
              <w:rPr>
                <w:sz w:val="18"/>
                <w:szCs w:val="18"/>
              </w:rPr>
            </w:pPr>
          </w:p>
        </w:tc>
        <w:tc>
          <w:tcPr>
            <w:tcW w:w="1407" w:type="dxa"/>
            <w:vAlign w:val="center"/>
          </w:tcPr>
          <w:p w14:paraId="3FE9F305">
            <w:pPr>
              <w:jc w:val="right"/>
              <w:rPr>
                <w:sz w:val="18"/>
                <w:szCs w:val="18"/>
              </w:rPr>
            </w:pPr>
          </w:p>
        </w:tc>
        <w:tc>
          <w:tcPr>
            <w:tcW w:w="426" w:type="dxa"/>
            <w:vAlign w:val="center"/>
          </w:tcPr>
          <w:p w14:paraId="0D1CED3F">
            <w:pPr>
              <w:jc w:val="right"/>
              <w:rPr>
                <w:sz w:val="18"/>
                <w:szCs w:val="18"/>
              </w:rPr>
            </w:pPr>
          </w:p>
        </w:tc>
        <w:tc>
          <w:tcPr>
            <w:tcW w:w="1417" w:type="dxa"/>
            <w:vAlign w:val="center"/>
          </w:tcPr>
          <w:p w14:paraId="29C648FA">
            <w:pPr>
              <w:jc w:val="right"/>
              <w:rPr>
                <w:sz w:val="18"/>
                <w:szCs w:val="18"/>
              </w:rPr>
            </w:pPr>
          </w:p>
        </w:tc>
        <w:tc>
          <w:tcPr>
            <w:tcW w:w="1559" w:type="dxa"/>
            <w:vAlign w:val="center"/>
          </w:tcPr>
          <w:p w14:paraId="36EA766A">
            <w:pPr>
              <w:jc w:val="right"/>
              <w:rPr>
                <w:sz w:val="18"/>
                <w:szCs w:val="18"/>
              </w:rPr>
            </w:pPr>
          </w:p>
        </w:tc>
        <w:tc>
          <w:tcPr>
            <w:tcW w:w="1560" w:type="dxa"/>
            <w:vAlign w:val="center"/>
          </w:tcPr>
          <w:p w14:paraId="5BCD80F2">
            <w:pPr>
              <w:jc w:val="right"/>
              <w:rPr>
                <w:sz w:val="18"/>
                <w:szCs w:val="18"/>
              </w:rPr>
            </w:pPr>
          </w:p>
        </w:tc>
      </w:tr>
      <w:tr w14:paraId="4339B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2127" w:type="dxa"/>
            <w:vAlign w:val="center"/>
          </w:tcPr>
          <w:sdt>
            <w:sdtPr>
              <w:tag w:val="_PLD_a2566358e2dc4d0b9e534ee13a2b1a26"/>
              <w:id w:val="111712780"/>
            </w:sdtPr>
            <w:sdtContent>
              <w:p w14:paraId="135F38D2">
                <w:pPr>
                  <w:rPr>
                    <w:color w:val="000000" w:themeColor="text1"/>
                    <w14:textFill>
                      <w14:solidFill>
                        <w14:schemeClr w14:val="tx1"/>
                      </w14:solidFill>
                    </w14:textFill>
                  </w:rPr>
                </w:pPr>
                <w:r>
                  <w:rPr>
                    <w:color w:val="000000" w:themeColor="text1"/>
                    <w:sz w:val="18"/>
                    <w:szCs w:val="18"/>
                    <w14:textFill>
                      <w14:solidFill>
                        <w14:schemeClr w14:val="tx1"/>
                      </w14:solidFill>
                    </w14:textFill>
                  </w:rPr>
                  <w:t>4．设定受益计划变动额结转留存收益</w:t>
                </w:r>
              </w:p>
            </w:sdtContent>
          </w:sdt>
        </w:tc>
        <w:tc>
          <w:tcPr>
            <w:tcW w:w="1920" w:type="dxa"/>
            <w:tcBorders>
              <w:right w:val="single" w:color="auto" w:sz="4" w:space="0"/>
            </w:tcBorders>
            <w:vAlign w:val="center"/>
          </w:tcPr>
          <w:p w14:paraId="471392C0">
            <w:pPr>
              <w:jc w:val="right"/>
              <w:rPr>
                <w:sz w:val="18"/>
                <w:szCs w:val="18"/>
              </w:rPr>
            </w:pPr>
          </w:p>
        </w:tc>
        <w:tc>
          <w:tcPr>
            <w:tcW w:w="915" w:type="dxa"/>
            <w:tcBorders>
              <w:left w:val="single" w:color="auto" w:sz="4" w:space="0"/>
              <w:right w:val="single" w:color="auto" w:sz="4" w:space="0"/>
            </w:tcBorders>
            <w:vAlign w:val="center"/>
          </w:tcPr>
          <w:p w14:paraId="54F1AE02">
            <w:pPr>
              <w:jc w:val="right"/>
              <w:rPr>
                <w:sz w:val="18"/>
                <w:szCs w:val="18"/>
              </w:rPr>
            </w:pPr>
          </w:p>
        </w:tc>
        <w:tc>
          <w:tcPr>
            <w:tcW w:w="992" w:type="dxa"/>
            <w:tcBorders>
              <w:left w:val="single" w:color="auto" w:sz="4" w:space="0"/>
              <w:right w:val="single" w:color="auto" w:sz="4" w:space="0"/>
            </w:tcBorders>
            <w:vAlign w:val="center"/>
          </w:tcPr>
          <w:p w14:paraId="56AD6FE5">
            <w:pPr>
              <w:jc w:val="right"/>
              <w:rPr>
                <w:sz w:val="18"/>
                <w:szCs w:val="18"/>
              </w:rPr>
            </w:pPr>
          </w:p>
        </w:tc>
        <w:tc>
          <w:tcPr>
            <w:tcW w:w="709" w:type="dxa"/>
            <w:tcBorders>
              <w:left w:val="single" w:color="auto" w:sz="4" w:space="0"/>
            </w:tcBorders>
            <w:vAlign w:val="center"/>
          </w:tcPr>
          <w:p w14:paraId="56AA96FB">
            <w:pPr>
              <w:jc w:val="right"/>
              <w:rPr>
                <w:sz w:val="18"/>
                <w:szCs w:val="18"/>
              </w:rPr>
            </w:pPr>
          </w:p>
        </w:tc>
        <w:tc>
          <w:tcPr>
            <w:tcW w:w="1559" w:type="dxa"/>
            <w:vAlign w:val="center"/>
          </w:tcPr>
          <w:p w14:paraId="696EFF83">
            <w:pPr>
              <w:jc w:val="right"/>
              <w:rPr>
                <w:sz w:val="18"/>
                <w:szCs w:val="18"/>
              </w:rPr>
            </w:pPr>
          </w:p>
        </w:tc>
        <w:tc>
          <w:tcPr>
            <w:tcW w:w="1144" w:type="dxa"/>
            <w:vAlign w:val="center"/>
          </w:tcPr>
          <w:p w14:paraId="624D26BE">
            <w:pPr>
              <w:jc w:val="right"/>
              <w:rPr>
                <w:sz w:val="18"/>
                <w:szCs w:val="18"/>
              </w:rPr>
            </w:pPr>
          </w:p>
        </w:tc>
        <w:tc>
          <w:tcPr>
            <w:tcW w:w="1407" w:type="dxa"/>
            <w:vAlign w:val="center"/>
          </w:tcPr>
          <w:p w14:paraId="44D44547">
            <w:pPr>
              <w:jc w:val="right"/>
              <w:rPr>
                <w:sz w:val="18"/>
                <w:szCs w:val="18"/>
              </w:rPr>
            </w:pPr>
          </w:p>
        </w:tc>
        <w:tc>
          <w:tcPr>
            <w:tcW w:w="426" w:type="dxa"/>
            <w:vAlign w:val="center"/>
          </w:tcPr>
          <w:p w14:paraId="1E72911B">
            <w:pPr>
              <w:jc w:val="right"/>
              <w:rPr>
                <w:sz w:val="18"/>
                <w:szCs w:val="18"/>
              </w:rPr>
            </w:pPr>
          </w:p>
        </w:tc>
        <w:tc>
          <w:tcPr>
            <w:tcW w:w="1417" w:type="dxa"/>
            <w:vAlign w:val="center"/>
          </w:tcPr>
          <w:p w14:paraId="2C358A42">
            <w:pPr>
              <w:jc w:val="right"/>
              <w:rPr>
                <w:sz w:val="18"/>
                <w:szCs w:val="18"/>
              </w:rPr>
            </w:pPr>
          </w:p>
        </w:tc>
        <w:tc>
          <w:tcPr>
            <w:tcW w:w="1559" w:type="dxa"/>
            <w:vAlign w:val="center"/>
          </w:tcPr>
          <w:p w14:paraId="1D05CA77">
            <w:pPr>
              <w:jc w:val="right"/>
              <w:rPr>
                <w:sz w:val="18"/>
                <w:szCs w:val="18"/>
              </w:rPr>
            </w:pPr>
          </w:p>
        </w:tc>
        <w:tc>
          <w:tcPr>
            <w:tcW w:w="1560" w:type="dxa"/>
            <w:vAlign w:val="center"/>
          </w:tcPr>
          <w:p w14:paraId="0234EB76">
            <w:pPr>
              <w:jc w:val="right"/>
              <w:rPr>
                <w:sz w:val="18"/>
                <w:szCs w:val="18"/>
              </w:rPr>
            </w:pPr>
          </w:p>
        </w:tc>
      </w:tr>
      <w:tr w14:paraId="0D67E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2127" w:type="dxa"/>
            <w:vAlign w:val="center"/>
          </w:tcPr>
          <w:sdt>
            <w:sdtPr>
              <w:tag w:val="_PLD_659907ea90ce4ac18323403c6e02efd1"/>
              <w:id w:val="722564681"/>
            </w:sdtPr>
            <w:sdtContent>
              <w:p w14:paraId="177398E6">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5．其他综合收益结转留存收益</w:t>
                </w:r>
              </w:p>
            </w:sdtContent>
          </w:sdt>
        </w:tc>
        <w:tc>
          <w:tcPr>
            <w:tcW w:w="1920" w:type="dxa"/>
            <w:tcBorders>
              <w:right w:val="single" w:color="auto" w:sz="4" w:space="0"/>
            </w:tcBorders>
            <w:vAlign w:val="center"/>
          </w:tcPr>
          <w:p w14:paraId="48BD722A">
            <w:pPr>
              <w:jc w:val="right"/>
              <w:rPr>
                <w:sz w:val="18"/>
                <w:szCs w:val="18"/>
              </w:rPr>
            </w:pPr>
          </w:p>
        </w:tc>
        <w:tc>
          <w:tcPr>
            <w:tcW w:w="915" w:type="dxa"/>
            <w:tcBorders>
              <w:left w:val="single" w:color="auto" w:sz="4" w:space="0"/>
              <w:right w:val="single" w:color="auto" w:sz="4" w:space="0"/>
            </w:tcBorders>
            <w:vAlign w:val="center"/>
          </w:tcPr>
          <w:p w14:paraId="26D1A175">
            <w:pPr>
              <w:jc w:val="right"/>
              <w:rPr>
                <w:sz w:val="18"/>
                <w:szCs w:val="18"/>
              </w:rPr>
            </w:pPr>
          </w:p>
        </w:tc>
        <w:tc>
          <w:tcPr>
            <w:tcW w:w="992" w:type="dxa"/>
            <w:tcBorders>
              <w:left w:val="single" w:color="auto" w:sz="4" w:space="0"/>
              <w:right w:val="single" w:color="auto" w:sz="4" w:space="0"/>
            </w:tcBorders>
            <w:vAlign w:val="center"/>
          </w:tcPr>
          <w:p w14:paraId="532BC411">
            <w:pPr>
              <w:jc w:val="right"/>
              <w:rPr>
                <w:sz w:val="18"/>
                <w:szCs w:val="18"/>
              </w:rPr>
            </w:pPr>
          </w:p>
        </w:tc>
        <w:tc>
          <w:tcPr>
            <w:tcW w:w="709" w:type="dxa"/>
            <w:tcBorders>
              <w:left w:val="single" w:color="auto" w:sz="4" w:space="0"/>
            </w:tcBorders>
            <w:vAlign w:val="center"/>
          </w:tcPr>
          <w:p w14:paraId="510DB3B7">
            <w:pPr>
              <w:jc w:val="right"/>
              <w:rPr>
                <w:sz w:val="18"/>
                <w:szCs w:val="18"/>
              </w:rPr>
            </w:pPr>
          </w:p>
        </w:tc>
        <w:tc>
          <w:tcPr>
            <w:tcW w:w="1559" w:type="dxa"/>
            <w:vAlign w:val="center"/>
          </w:tcPr>
          <w:p w14:paraId="15B450C5">
            <w:pPr>
              <w:jc w:val="right"/>
              <w:rPr>
                <w:sz w:val="18"/>
                <w:szCs w:val="18"/>
              </w:rPr>
            </w:pPr>
          </w:p>
        </w:tc>
        <w:tc>
          <w:tcPr>
            <w:tcW w:w="1144" w:type="dxa"/>
            <w:vAlign w:val="center"/>
          </w:tcPr>
          <w:p w14:paraId="418B4E83">
            <w:pPr>
              <w:jc w:val="right"/>
              <w:rPr>
                <w:sz w:val="18"/>
                <w:szCs w:val="18"/>
              </w:rPr>
            </w:pPr>
          </w:p>
        </w:tc>
        <w:tc>
          <w:tcPr>
            <w:tcW w:w="1407" w:type="dxa"/>
            <w:vAlign w:val="center"/>
          </w:tcPr>
          <w:p w14:paraId="184FD33B">
            <w:pPr>
              <w:jc w:val="right"/>
              <w:rPr>
                <w:sz w:val="18"/>
                <w:szCs w:val="18"/>
              </w:rPr>
            </w:pPr>
          </w:p>
        </w:tc>
        <w:tc>
          <w:tcPr>
            <w:tcW w:w="426" w:type="dxa"/>
            <w:vAlign w:val="center"/>
          </w:tcPr>
          <w:p w14:paraId="49673787">
            <w:pPr>
              <w:jc w:val="right"/>
              <w:rPr>
                <w:sz w:val="18"/>
                <w:szCs w:val="18"/>
              </w:rPr>
            </w:pPr>
          </w:p>
        </w:tc>
        <w:tc>
          <w:tcPr>
            <w:tcW w:w="1417" w:type="dxa"/>
            <w:vAlign w:val="center"/>
          </w:tcPr>
          <w:p w14:paraId="17CA1F9F">
            <w:pPr>
              <w:jc w:val="right"/>
              <w:rPr>
                <w:sz w:val="18"/>
                <w:szCs w:val="18"/>
              </w:rPr>
            </w:pPr>
          </w:p>
        </w:tc>
        <w:tc>
          <w:tcPr>
            <w:tcW w:w="1559" w:type="dxa"/>
            <w:vAlign w:val="center"/>
          </w:tcPr>
          <w:p w14:paraId="402BC79E">
            <w:pPr>
              <w:jc w:val="right"/>
              <w:rPr>
                <w:sz w:val="18"/>
                <w:szCs w:val="18"/>
              </w:rPr>
            </w:pPr>
          </w:p>
        </w:tc>
        <w:tc>
          <w:tcPr>
            <w:tcW w:w="1560" w:type="dxa"/>
            <w:vAlign w:val="center"/>
          </w:tcPr>
          <w:p w14:paraId="6A95BC5B">
            <w:pPr>
              <w:jc w:val="right"/>
              <w:rPr>
                <w:sz w:val="18"/>
                <w:szCs w:val="18"/>
              </w:rPr>
            </w:pPr>
          </w:p>
        </w:tc>
      </w:tr>
      <w:tr w14:paraId="17C02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2127" w:type="dxa"/>
            <w:vAlign w:val="center"/>
          </w:tcPr>
          <w:sdt>
            <w:sdtPr>
              <w:tag w:val="_PLD_811577c623d04471a27af10d35119258"/>
              <w:id w:val="413360622"/>
            </w:sdtPr>
            <w:sdtContent>
              <w:p w14:paraId="65DFDFB1">
                <w:pPr>
                  <w:rPr>
                    <w:color w:val="000000" w:themeColor="text1"/>
                    <w14:textFill>
                      <w14:solidFill>
                        <w14:schemeClr w14:val="tx1"/>
                      </w14:solidFill>
                    </w14:textFill>
                  </w:rPr>
                </w:pPr>
                <w:r>
                  <w:rPr>
                    <w:color w:val="000000" w:themeColor="text1"/>
                    <w:sz w:val="18"/>
                    <w:szCs w:val="18"/>
                    <w14:textFill>
                      <w14:solidFill>
                        <w14:schemeClr w14:val="tx1"/>
                      </w14:solidFill>
                    </w14:textFill>
                  </w:rPr>
                  <w:t>6．其他</w:t>
                </w:r>
              </w:p>
            </w:sdtContent>
          </w:sdt>
        </w:tc>
        <w:tc>
          <w:tcPr>
            <w:tcW w:w="1920" w:type="dxa"/>
            <w:tcBorders>
              <w:right w:val="single" w:color="auto" w:sz="4" w:space="0"/>
            </w:tcBorders>
            <w:vAlign w:val="center"/>
          </w:tcPr>
          <w:p w14:paraId="58958395">
            <w:pPr>
              <w:jc w:val="right"/>
              <w:rPr>
                <w:sz w:val="18"/>
                <w:szCs w:val="18"/>
              </w:rPr>
            </w:pPr>
          </w:p>
        </w:tc>
        <w:tc>
          <w:tcPr>
            <w:tcW w:w="915" w:type="dxa"/>
            <w:tcBorders>
              <w:left w:val="single" w:color="auto" w:sz="4" w:space="0"/>
              <w:right w:val="single" w:color="auto" w:sz="4" w:space="0"/>
            </w:tcBorders>
            <w:vAlign w:val="center"/>
          </w:tcPr>
          <w:p w14:paraId="7AE5D5C0">
            <w:pPr>
              <w:jc w:val="right"/>
              <w:rPr>
                <w:sz w:val="18"/>
                <w:szCs w:val="18"/>
              </w:rPr>
            </w:pPr>
          </w:p>
        </w:tc>
        <w:tc>
          <w:tcPr>
            <w:tcW w:w="992" w:type="dxa"/>
            <w:tcBorders>
              <w:left w:val="single" w:color="auto" w:sz="4" w:space="0"/>
              <w:right w:val="single" w:color="auto" w:sz="4" w:space="0"/>
            </w:tcBorders>
            <w:vAlign w:val="center"/>
          </w:tcPr>
          <w:p w14:paraId="5E4612CC">
            <w:pPr>
              <w:jc w:val="right"/>
              <w:rPr>
                <w:sz w:val="18"/>
                <w:szCs w:val="18"/>
              </w:rPr>
            </w:pPr>
          </w:p>
        </w:tc>
        <w:tc>
          <w:tcPr>
            <w:tcW w:w="709" w:type="dxa"/>
            <w:tcBorders>
              <w:left w:val="single" w:color="auto" w:sz="4" w:space="0"/>
            </w:tcBorders>
            <w:vAlign w:val="center"/>
          </w:tcPr>
          <w:p w14:paraId="414BF340">
            <w:pPr>
              <w:jc w:val="right"/>
              <w:rPr>
                <w:sz w:val="18"/>
                <w:szCs w:val="18"/>
              </w:rPr>
            </w:pPr>
          </w:p>
        </w:tc>
        <w:tc>
          <w:tcPr>
            <w:tcW w:w="1559" w:type="dxa"/>
            <w:vAlign w:val="center"/>
          </w:tcPr>
          <w:p w14:paraId="19BFC19C">
            <w:pPr>
              <w:jc w:val="right"/>
              <w:rPr>
                <w:sz w:val="18"/>
                <w:szCs w:val="18"/>
              </w:rPr>
            </w:pPr>
          </w:p>
        </w:tc>
        <w:tc>
          <w:tcPr>
            <w:tcW w:w="1144" w:type="dxa"/>
            <w:vAlign w:val="center"/>
          </w:tcPr>
          <w:p w14:paraId="6C732B9A">
            <w:pPr>
              <w:jc w:val="right"/>
              <w:rPr>
                <w:sz w:val="18"/>
                <w:szCs w:val="18"/>
              </w:rPr>
            </w:pPr>
          </w:p>
        </w:tc>
        <w:tc>
          <w:tcPr>
            <w:tcW w:w="1407" w:type="dxa"/>
            <w:vAlign w:val="center"/>
          </w:tcPr>
          <w:p w14:paraId="195C9A0D">
            <w:pPr>
              <w:jc w:val="right"/>
              <w:rPr>
                <w:sz w:val="18"/>
                <w:szCs w:val="18"/>
              </w:rPr>
            </w:pPr>
          </w:p>
        </w:tc>
        <w:tc>
          <w:tcPr>
            <w:tcW w:w="426" w:type="dxa"/>
            <w:vAlign w:val="center"/>
          </w:tcPr>
          <w:p w14:paraId="108E95CE">
            <w:pPr>
              <w:jc w:val="right"/>
              <w:rPr>
                <w:sz w:val="18"/>
                <w:szCs w:val="18"/>
              </w:rPr>
            </w:pPr>
          </w:p>
        </w:tc>
        <w:tc>
          <w:tcPr>
            <w:tcW w:w="1417" w:type="dxa"/>
            <w:vAlign w:val="center"/>
          </w:tcPr>
          <w:p w14:paraId="4915B256">
            <w:pPr>
              <w:jc w:val="right"/>
              <w:rPr>
                <w:sz w:val="18"/>
                <w:szCs w:val="18"/>
              </w:rPr>
            </w:pPr>
          </w:p>
        </w:tc>
        <w:tc>
          <w:tcPr>
            <w:tcW w:w="1559" w:type="dxa"/>
            <w:vAlign w:val="center"/>
          </w:tcPr>
          <w:p w14:paraId="6067776A">
            <w:pPr>
              <w:jc w:val="right"/>
              <w:rPr>
                <w:sz w:val="18"/>
                <w:szCs w:val="18"/>
              </w:rPr>
            </w:pPr>
          </w:p>
        </w:tc>
        <w:tc>
          <w:tcPr>
            <w:tcW w:w="1560" w:type="dxa"/>
            <w:vAlign w:val="center"/>
          </w:tcPr>
          <w:p w14:paraId="7C5D061B">
            <w:pPr>
              <w:jc w:val="right"/>
              <w:rPr>
                <w:sz w:val="18"/>
                <w:szCs w:val="18"/>
              </w:rPr>
            </w:pPr>
          </w:p>
        </w:tc>
      </w:tr>
      <w:tr w14:paraId="773C8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2a0b15de13474fe285b68b48e29b688f"/>
            <w:id w:val="771522014"/>
          </w:sdtPr>
          <w:sdtContent>
            <w:tc>
              <w:tcPr>
                <w:tcW w:w="2127" w:type="dxa"/>
                <w:vAlign w:val="center"/>
              </w:tcPr>
              <w:p w14:paraId="4205F34A">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（五）专项储备</w:t>
                </w:r>
              </w:p>
            </w:tc>
          </w:sdtContent>
        </w:sdt>
        <w:tc>
          <w:tcPr>
            <w:tcW w:w="1920" w:type="dxa"/>
            <w:tcBorders>
              <w:right w:val="single" w:color="auto" w:sz="4" w:space="0"/>
            </w:tcBorders>
            <w:vAlign w:val="center"/>
          </w:tcPr>
          <w:p w14:paraId="79533027">
            <w:pPr>
              <w:jc w:val="right"/>
              <w:rPr>
                <w:sz w:val="18"/>
                <w:szCs w:val="18"/>
              </w:rPr>
            </w:pPr>
          </w:p>
        </w:tc>
        <w:tc>
          <w:tcPr>
            <w:tcW w:w="915" w:type="dxa"/>
            <w:tcBorders>
              <w:left w:val="single" w:color="auto" w:sz="4" w:space="0"/>
              <w:right w:val="single" w:color="auto" w:sz="4" w:space="0"/>
            </w:tcBorders>
            <w:vAlign w:val="center"/>
          </w:tcPr>
          <w:p w14:paraId="076B32F2">
            <w:pPr>
              <w:jc w:val="right"/>
              <w:rPr>
                <w:sz w:val="18"/>
                <w:szCs w:val="18"/>
              </w:rPr>
            </w:pPr>
          </w:p>
        </w:tc>
        <w:tc>
          <w:tcPr>
            <w:tcW w:w="992" w:type="dxa"/>
            <w:tcBorders>
              <w:left w:val="single" w:color="auto" w:sz="4" w:space="0"/>
              <w:right w:val="single" w:color="auto" w:sz="4" w:space="0"/>
            </w:tcBorders>
            <w:vAlign w:val="center"/>
          </w:tcPr>
          <w:p w14:paraId="368E1B3F">
            <w:pPr>
              <w:jc w:val="right"/>
              <w:rPr>
                <w:sz w:val="18"/>
                <w:szCs w:val="18"/>
              </w:rPr>
            </w:pPr>
          </w:p>
        </w:tc>
        <w:tc>
          <w:tcPr>
            <w:tcW w:w="709" w:type="dxa"/>
            <w:tcBorders>
              <w:left w:val="single" w:color="auto" w:sz="4" w:space="0"/>
            </w:tcBorders>
            <w:vAlign w:val="center"/>
          </w:tcPr>
          <w:p w14:paraId="04B8159C">
            <w:pPr>
              <w:jc w:val="right"/>
              <w:rPr>
                <w:sz w:val="18"/>
                <w:szCs w:val="18"/>
              </w:rPr>
            </w:pPr>
          </w:p>
        </w:tc>
        <w:tc>
          <w:tcPr>
            <w:tcW w:w="1559" w:type="dxa"/>
            <w:vAlign w:val="center"/>
          </w:tcPr>
          <w:p w14:paraId="2521AD5B">
            <w:pPr>
              <w:jc w:val="right"/>
              <w:rPr>
                <w:sz w:val="18"/>
                <w:szCs w:val="18"/>
              </w:rPr>
            </w:pPr>
          </w:p>
        </w:tc>
        <w:tc>
          <w:tcPr>
            <w:tcW w:w="1144" w:type="dxa"/>
            <w:vAlign w:val="center"/>
          </w:tcPr>
          <w:p w14:paraId="180451EE">
            <w:pPr>
              <w:jc w:val="right"/>
              <w:rPr>
                <w:sz w:val="18"/>
                <w:szCs w:val="18"/>
              </w:rPr>
            </w:pPr>
          </w:p>
        </w:tc>
        <w:tc>
          <w:tcPr>
            <w:tcW w:w="1407" w:type="dxa"/>
            <w:vAlign w:val="center"/>
          </w:tcPr>
          <w:p w14:paraId="78C7D114">
            <w:pPr>
              <w:jc w:val="right"/>
              <w:rPr>
                <w:sz w:val="18"/>
                <w:szCs w:val="18"/>
              </w:rPr>
            </w:pPr>
          </w:p>
        </w:tc>
        <w:tc>
          <w:tcPr>
            <w:tcW w:w="426" w:type="dxa"/>
            <w:vAlign w:val="center"/>
          </w:tcPr>
          <w:p w14:paraId="24ACE042">
            <w:pPr>
              <w:jc w:val="right"/>
              <w:rPr>
                <w:sz w:val="18"/>
                <w:szCs w:val="18"/>
              </w:rPr>
            </w:pPr>
          </w:p>
        </w:tc>
        <w:tc>
          <w:tcPr>
            <w:tcW w:w="1417" w:type="dxa"/>
            <w:vAlign w:val="center"/>
          </w:tcPr>
          <w:p w14:paraId="1723FE59">
            <w:pPr>
              <w:jc w:val="right"/>
              <w:rPr>
                <w:sz w:val="18"/>
                <w:szCs w:val="18"/>
              </w:rPr>
            </w:pPr>
          </w:p>
        </w:tc>
        <w:tc>
          <w:tcPr>
            <w:tcW w:w="1559" w:type="dxa"/>
            <w:vAlign w:val="center"/>
          </w:tcPr>
          <w:p w14:paraId="5AE162EA">
            <w:pPr>
              <w:jc w:val="right"/>
              <w:rPr>
                <w:sz w:val="18"/>
                <w:szCs w:val="18"/>
              </w:rPr>
            </w:pPr>
          </w:p>
        </w:tc>
        <w:tc>
          <w:tcPr>
            <w:tcW w:w="1560" w:type="dxa"/>
            <w:vAlign w:val="center"/>
          </w:tcPr>
          <w:p w14:paraId="139C88E5">
            <w:pPr>
              <w:jc w:val="right"/>
              <w:rPr>
                <w:sz w:val="18"/>
                <w:szCs w:val="18"/>
              </w:rPr>
            </w:pPr>
          </w:p>
        </w:tc>
      </w:tr>
      <w:tr w14:paraId="32392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8be2fdb078fc42cdaebf61e81ed6d67b"/>
            <w:id w:val="296344774"/>
          </w:sdtPr>
          <w:sdtContent>
            <w:tc>
              <w:tcPr>
                <w:tcW w:w="2127" w:type="dxa"/>
                <w:vAlign w:val="center"/>
              </w:tcPr>
              <w:p w14:paraId="678E6659">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1．本期提取</w:t>
                </w:r>
              </w:p>
            </w:tc>
          </w:sdtContent>
        </w:sdt>
        <w:tc>
          <w:tcPr>
            <w:tcW w:w="1920" w:type="dxa"/>
            <w:tcBorders>
              <w:right w:val="single" w:color="auto" w:sz="4" w:space="0"/>
            </w:tcBorders>
            <w:vAlign w:val="center"/>
          </w:tcPr>
          <w:p w14:paraId="5CF946DC">
            <w:pPr>
              <w:jc w:val="right"/>
              <w:rPr>
                <w:sz w:val="18"/>
                <w:szCs w:val="18"/>
              </w:rPr>
            </w:pPr>
          </w:p>
        </w:tc>
        <w:tc>
          <w:tcPr>
            <w:tcW w:w="915" w:type="dxa"/>
            <w:tcBorders>
              <w:left w:val="single" w:color="auto" w:sz="4" w:space="0"/>
              <w:right w:val="single" w:color="auto" w:sz="4" w:space="0"/>
            </w:tcBorders>
            <w:vAlign w:val="center"/>
          </w:tcPr>
          <w:p w14:paraId="622060A7">
            <w:pPr>
              <w:jc w:val="right"/>
              <w:rPr>
                <w:sz w:val="18"/>
                <w:szCs w:val="18"/>
              </w:rPr>
            </w:pPr>
          </w:p>
        </w:tc>
        <w:tc>
          <w:tcPr>
            <w:tcW w:w="992" w:type="dxa"/>
            <w:tcBorders>
              <w:left w:val="single" w:color="auto" w:sz="4" w:space="0"/>
              <w:right w:val="single" w:color="auto" w:sz="4" w:space="0"/>
            </w:tcBorders>
            <w:vAlign w:val="center"/>
          </w:tcPr>
          <w:p w14:paraId="0F28D4BE">
            <w:pPr>
              <w:jc w:val="right"/>
              <w:rPr>
                <w:sz w:val="18"/>
                <w:szCs w:val="18"/>
              </w:rPr>
            </w:pPr>
          </w:p>
        </w:tc>
        <w:tc>
          <w:tcPr>
            <w:tcW w:w="709" w:type="dxa"/>
            <w:tcBorders>
              <w:left w:val="single" w:color="auto" w:sz="4" w:space="0"/>
            </w:tcBorders>
            <w:vAlign w:val="center"/>
          </w:tcPr>
          <w:p w14:paraId="2C7629FB">
            <w:pPr>
              <w:jc w:val="right"/>
              <w:rPr>
                <w:sz w:val="18"/>
                <w:szCs w:val="18"/>
              </w:rPr>
            </w:pPr>
          </w:p>
        </w:tc>
        <w:tc>
          <w:tcPr>
            <w:tcW w:w="1559" w:type="dxa"/>
            <w:vAlign w:val="center"/>
          </w:tcPr>
          <w:p w14:paraId="4C355B6C">
            <w:pPr>
              <w:jc w:val="right"/>
              <w:rPr>
                <w:sz w:val="18"/>
                <w:szCs w:val="18"/>
              </w:rPr>
            </w:pPr>
          </w:p>
        </w:tc>
        <w:tc>
          <w:tcPr>
            <w:tcW w:w="1144" w:type="dxa"/>
            <w:vAlign w:val="center"/>
          </w:tcPr>
          <w:p w14:paraId="360124E3">
            <w:pPr>
              <w:jc w:val="right"/>
              <w:rPr>
                <w:sz w:val="18"/>
                <w:szCs w:val="18"/>
              </w:rPr>
            </w:pPr>
          </w:p>
        </w:tc>
        <w:tc>
          <w:tcPr>
            <w:tcW w:w="1407" w:type="dxa"/>
            <w:vAlign w:val="center"/>
          </w:tcPr>
          <w:p w14:paraId="64F0EC75">
            <w:pPr>
              <w:jc w:val="right"/>
              <w:rPr>
                <w:sz w:val="18"/>
                <w:szCs w:val="18"/>
              </w:rPr>
            </w:pPr>
          </w:p>
        </w:tc>
        <w:tc>
          <w:tcPr>
            <w:tcW w:w="426" w:type="dxa"/>
            <w:vAlign w:val="center"/>
          </w:tcPr>
          <w:p w14:paraId="09AC3619">
            <w:pPr>
              <w:jc w:val="right"/>
              <w:rPr>
                <w:sz w:val="18"/>
                <w:szCs w:val="18"/>
              </w:rPr>
            </w:pPr>
          </w:p>
        </w:tc>
        <w:tc>
          <w:tcPr>
            <w:tcW w:w="1417" w:type="dxa"/>
            <w:vAlign w:val="center"/>
          </w:tcPr>
          <w:p w14:paraId="2EA41EA5">
            <w:pPr>
              <w:jc w:val="right"/>
              <w:rPr>
                <w:sz w:val="18"/>
                <w:szCs w:val="18"/>
              </w:rPr>
            </w:pPr>
          </w:p>
        </w:tc>
        <w:tc>
          <w:tcPr>
            <w:tcW w:w="1559" w:type="dxa"/>
            <w:vAlign w:val="center"/>
          </w:tcPr>
          <w:p w14:paraId="6938774E">
            <w:pPr>
              <w:jc w:val="right"/>
              <w:rPr>
                <w:sz w:val="18"/>
                <w:szCs w:val="18"/>
              </w:rPr>
            </w:pPr>
          </w:p>
        </w:tc>
        <w:tc>
          <w:tcPr>
            <w:tcW w:w="1560" w:type="dxa"/>
            <w:vAlign w:val="center"/>
          </w:tcPr>
          <w:p w14:paraId="3645E399">
            <w:pPr>
              <w:jc w:val="right"/>
              <w:rPr>
                <w:sz w:val="18"/>
                <w:szCs w:val="18"/>
              </w:rPr>
            </w:pPr>
          </w:p>
        </w:tc>
      </w:tr>
      <w:tr w14:paraId="5471D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12344832238e442d9f64388fa2af60f1"/>
            <w:id w:val="50196398"/>
          </w:sdtPr>
          <w:sdtContent>
            <w:tc>
              <w:tcPr>
                <w:tcW w:w="2127" w:type="dxa"/>
                <w:vAlign w:val="center"/>
              </w:tcPr>
              <w:p w14:paraId="566D85D0">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2．本期使用</w:t>
                </w:r>
              </w:p>
            </w:tc>
          </w:sdtContent>
        </w:sdt>
        <w:tc>
          <w:tcPr>
            <w:tcW w:w="1920" w:type="dxa"/>
            <w:tcBorders>
              <w:right w:val="single" w:color="auto" w:sz="4" w:space="0"/>
            </w:tcBorders>
            <w:vAlign w:val="center"/>
          </w:tcPr>
          <w:p w14:paraId="42B36FCD">
            <w:pPr>
              <w:jc w:val="right"/>
              <w:rPr>
                <w:sz w:val="18"/>
                <w:szCs w:val="18"/>
              </w:rPr>
            </w:pPr>
          </w:p>
        </w:tc>
        <w:tc>
          <w:tcPr>
            <w:tcW w:w="915" w:type="dxa"/>
            <w:tcBorders>
              <w:left w:val="single" w:color="auto" w:sz="4" w:space="0"/>
              <w:right w:val="single" w:color="auto" w:sz="4" w:space="0"/>
            </w:tcBorders>
            <w:vAlign w:val="center"/>
          </w:tcPr>
          <w:p w14:paraId="78D4F33F">
            <w:pPr>
              <w:jc w:val="right"/>
              <w:rPr>
                <w:sz w:val="18"/>
                <w:szCs w:val="18"/>
              </w:rPr>
            </w:pPr>
          </w:p>
        </w:tc>
        <w:tc>
          <w:tcPr>
            <w:tcW w:w="992" w:type="dxa"/>
            <w:tcBorders>
              <w:left w:val="single" w:color="auto" w:sz="4" w:space="0"/>
              <w:right w:val="single" w:color="auto" w:sz="4" w:space="0"/>
            </w:tcBorders>
            <w:vAlign w:val="center"/>
          </w:tcPr>
          <w:p w14:paraId="1C84A7AF">
            <w:pPr>
              <w:jc w:val="right"/>
              <w:rPr>
                <w:sz w:val="18"/>
                <w:szCs w:val="18"/>
              </w:rPr>
            </w:pPr>
          </w:p>
        </w:tc>
        <w:tc>
          <w:tcPr>
            <w:tcW w:w="709" w:type="dxa"/>
            <w:tcBorders>
              <w:left w:val="single" w:color="auto" w:sz="4" w:space="0"/>
            </w:tcBorders>
            <w:vAlign w:val="center"/>
          </w:tcPr>
          <w:p w14:paraId="2821985A">
            <w:pPr>
              <w:jc w:val="right"/>
              <w:rPr>
                <w:sz w:val="18"/>
                <w:szCs w:val="18"/>
              </w:rPr>
            </w:pPr>
          </w:p>
        </w:tc>
        <w:tc>
          <w:tcPr>
            <w:tcW w:w="1559" w:type="dxa"/>
            <w:vAlign w:val="center"/>
          </w:tcPr>
          <w:p w14:paraId="2BDE7BE1">
            <w:pPr>
              <w:jc w:val="right"/>
              <w:rPr>
                <w:sz w:val="18"/>
                <w:szCs w:val="18"/>
              </w:rPr>
            </w:pPr>
          </w:p>
        </w:tc>
        <w:tc>
          <w:tcPr>
            <w:tcW w:w="1144" w:type="dxa"/>
            <w:vAlign w:val="center"/>
          </w:tcPr>
          <w:p w14:paraId="11432FA6">
            <w:pPr>
              <w:jc w:val="right"/>
              <w:rPr>
                <w:sz w:val="18"/>
                <w:szCs w:val="18"/>
              </w:rPr>
            </w:pPr>
          </w:p>
        </w:tc>
        <w:tc>
          <w:tcPr>
            <w:tcW w:w="1407" w:type="dxa"/>
            <w:vAlign w:val="center"/>
          </w:tcPr>
          <w:p w14:paraId="59879CAA">
            <w:pPr>
              <w:jc w:val="right"/>
              <w:rPr>
                <w:sz w:val="18"/>
                <w:szCs w:val="18"/>
              </w:rPr>
            </w:pPr>
          </w:p>
        </w:tc>
        <w:tc>
          <w:tcPr>
            <w:tcW w:w="426" w:type="dxa"/>
            <w:vAlign w:val="center"/>
          </w:tcPr>
          <w:p w14:paraId="429209CA">
            <w:pPr>
              <w:jc w:val="right"/>
              <w:rPr>
                <w:sz w:val="18"/>
                <w:szCs w:val="18"/>
              </w:rPr>
            </w:pPr>
          </w:p>
        </w:tc>
        <w:tc>
          <w:tcPr>
            <w:tcW w:w="1417" w:type="dxa"/>
            <w:vAlign w:val="center"/>
          </w:tcPr>
          <w:p w14:paraId="778E50AA">
            <w:pPr>
              <w:jc w:val="right"/>
              <w:rPr>
                <w:sz w:val="18"/>
                <w:szCs w:val="18"/>
              </w:rPr>
            </w:pPr>
          </w:p>
        </w:tc>
        <w:tc>
          <w:tcPr>
            <w:tcW w:w="1559" w:type="dxa"/>
            <w:vAlign w:val="center"/>
          </w:tcPr>
          <w:p w14:paraId="29B97222">
            <w:pPr>
              <w:jc w:val="right"/>
              <w:rPr>
                <w:sz w:val="18"/>
                <w:szCs w:val="18"/>
              </w:rPr>
            </w:pPr>
          </w:p>
        </w:tc>
        <w:tc>
          <w:tcPr>
            <w:tcW w:w="1560" w:type="dxa"/>
            <w:vAlign w:val="center"/>
          </w:tcPr>
          <w:p w14:paraId="4A5C5D3D">
            <w:pPr>
              <w:jc w:val="right"/>
              <w:rPr>
                <w:sz w:val="18"/>
                <w:szCs w:val="18"/>
              </w:rPr>
            </w:pPr>
          </w:p>
        </w:tc>
      </w:tr>
      <w:tr w14:paraId="10781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adc6cb0ad3a14129b7edac5f396c8fd5"/>
            <w:id w:val="1718928563"/>
          </w:sdtPr>
          <w:sdtContent>
            <w:tc>
              <w:tcPr>
                <w:tcW w:w="2127" w:type="dxa"/>
                <w:vAlign w:val="center"/>
              </w:tcPr>
              <w:p w14:paraId="2DD1E6D1">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（六）其他</w:t>
                </w:r>
              </w:p>
            </w:tc>
          </w:sdtContent>
        </w:sdt>
        <w:tc>
          <w:tcPr>
            <w:tcW w:w="1920" w:type="dxa"/>
            <w:tcBorders>
              <w:right w:val="single" w:color="auto" w:sz="4" w:space="0"/>
            </w:tcBorders>
            <w:vAlign w:val="center"/>
          </w:tcPr>
          <w:p w14:paraId="6890B365">
            <w:pPr>
              <w:jc w:val="right"/>
              <w:rPr>
                <w:sz w:val="18"/>
                <w:szCs w:val="18"/>
              </w:rPr>
            </w:pPr>
          </w:p>
        </w:tc>
        <w:tc>
          <w:tcPr>
            <w:tcW w:w="915" w:type="dxa"/>
            <w:tcBorders>
              <w:left w:val="single" w:color="auto" w:sz="4" w:space="0"/>
              <w:right w:val="single" w:color="auto" w:sz="4" w:space="0"/>
            </w:tcBorders>
            <w:vAlign w:val="center"/>
          </w:tcPr>
          <w:p w14:paraId="123F10DF">
            <w:pPr>
              <w:jc w:val="right"/>
              <w:rPr>
                <w:sz w:val="18"/>
                <w:szCs w:val="18"/>
              </w:rPr>
            </w:pPr>
          </w:p>
        </w:tc>
        <w:tc>
          <w:tcPr>
            <w:tcW w:w="992" w:type="dxa"/>
            <w:tcBorders>
              <w:left w:val="single" w:color="auto" w:sz="4" w:space="0"/>
              <w:right w:val="single" w:color="auto" w:sz="4" w:space="0"/>
            </w:tcBorders>
            <w:vAlign w:val="center"/>
          </w:tcPr>
          <w:p w14:paraId="1876F310">
            <w:pPr>
              <w:jc w:val="right"/>
              <w:rPr>
                <w:sz w:val="18"/>
                <w:szCs w:val="18"/>
              </w:rPr>
            </w:pPr>
          </w:p>
        </w:tc>
        <w:tc>
          <w:tcPr>
            <w:tcW w:w="709" w:type="dxa"/>
            <w:tcBorders>
              <w:left w:val="single" w:color="auto" w:sz="4" w:space="0"/>
            </w:tcBorders>
            <w:vAlign w:val="center"/>
          </w:tcPr>
          <w:p w14:paraId="26575B32">
            <w:pPr>
              <w:jc w:val="right"/>
              <w:rPr>
                <w:sz w:val="18"/>
                <w:szCs w:val="18"/>
              </w:rPr>
            </w:pPr>
          </w:p>
        </w:tc>
        <w:tc>
          <w:tcPr>
            <w:tcW w:w="1559" w:type="dxa"/>
            <w:vAlign w:val="center"/>
          </w:tcPr>
          <w:p w14:paraId="0052515A">
            <w:pPr>
              <w:jc w:val="right"/>
              <w:rPr>
                <w:sz w:val="18"/>
                <w:szCs w:val="18"/>
              </w:rPr>
            </w:pPr>
          </w:p>
        </w:tc>
        <w:tc>
          <w:tcPr>
            <w:tcW w:w="1144" w:type="dxa"/>
            <w:vAlign w:val="center"/>
          </w:tcPr>
          <w:p w14:paraId="7107A868">
            <w:pPr>
              <w:jc w:val="right"/>
              <w:rPr>
                <w:sz w:val="18"/>
                <w:szCs w:val="18"/>
              </w:rPr>
            </w:pPr>
          </w:p>
        </w:tc>
        <w:tc>
          <w:tcPr>
            <w:tcW w:w="1407" w:type="dxa"/>
            <w:vAlign w:val="center"/>
          </w:tcPr>
          <w:p w14:paraId="4DD49F42">
            <w:pPr>
              <w:jc w:val="right"/>
              <w:rPr>
                <w:sz w:val="18"/>
                <w:szCs w:val="18"/>
              </w:rPr>
            </w:pPr>
          </w:p>
        </w:tc>
        <w:tc>
          <w:tcPr>
            <w:tcW w:w="426" w:type="dxa"/>
            <w:vAlign w:val="center"/>
          </w:tcPr>
          <w:p w14:paraId="70EE8A67">
            <w:pPr>
              <w:jc w:val="right"/>
              <w:rPr>
                <w:sz w:val="18"/>
                <w:szCs w:val="18"/>
              </w:rPr>
            </w:pPr>
          </w:p>
        </w:tc>
        <w:tc>
          <w:tcPr>
            <w:tcW w:w="1417" w:type="dxa"/>
            <w:vAlign w:val="center"/>
          </w:tcPr>
          <w:p w14:paraId="0A40930C">
            <w:pPr>
              <w:jc w:val="right"/>
              <w:rPr>
                <w:sz w:val="18"/>
                <w:szCs w:val="18"/>
              </w:rPr>
            </w:pPr>
          </w:p>
        </w:tc>
        <w:tc>
          <w:tcPr>
            <w:tcW w:w="1559" w:type="dxa"/>
            <w:vAlign w:val="center"/>
          </w:tcPr>
          <w:p w14:paraId="6A55F020">
            <w:pPr>
              <w:jc w:val="right"/>
              <w:rPr>
                <w:sz w:val="18"/>
                <w:szCs w:val="18"/>
              </w:rPr>
            </w:pPr>
          </w:p>
        </w:tc>
        <w:tc>
          <w:tcPr>
            <w:tcW w:w="1560" w:type="dxa"/>
            <w:vAlign w:val="center"/>
          </w:tcPr>
          <w:p w14:paraId="7DE9E160">
            <w:pPr>
              <w:jc w:val="right"/>
              <w:rPr>
                <w:sz w:val="18"/>
                <w:szCs w:val="18"/>
              </w:rPr>
            </w:pPr>
          </w:p>
        </w:tc>
      </w:tr>
      <w:tr w14:paraId="41C52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sdt>
          <w:sdtPr>
            <w:tag w:val="_PLD_0009c8b4e5ca4d7083f8b2619f6a4584"/>
            <w:id w:val="1543256236"/>
          </w:sdtPr>
          <w:sdtContent>
            <w:tc>
              <w:tcPr>
                <w:tcW w:w="2127" w:type="dxa"/>
                <w:vAlign w:val="center"/>
              </w:tcPr>
              <w:p w14:paraId="698AC6FF">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四、本期期末余额</w:t>
                </w:r>
              </w:p>
            </w:tc>
          </w:sdtContent>
        </w:sdt>
        <w:tc>
          <w:tcPr>
            <w:tcW w:w="1920" w:type="dxa"/>
            <w:tcBorders>
              <w:right w:val="single" w:color="auto" w:sz="4" w:space="0"/>
            </w:tcBorders>
            <w:vAlign w:val="center"/>
          </w:tcPr>
          <w:p w14:paraId="0C010F0A">
            <w:pPr>
              <w:jc w:val="right"/>
              <w:rPr>
                <w:sz w:val="18"/>
                <w:szCs w:val="18"/>
              </w:rPr>
            </w:pPr>
            <w:r>
              <w:rPr>
                <w:sz w:val="18"/>
                <w:szCs w:val="18"/>
              </w:rPr>
              <w:t>1,460,994,304.00</w:t>
            </w:r>
          </w:p>
        </w:tc>
        <w:tc>
          <w:tcPr>
            <w:tcW w:w="915" w:type="dxa"/>
            <w:tcBorders>
              <w:left w:val="single" w:color="auto" w:sz="4" w:space="0"/>
              <w:right w:val="single" w:color="auto" w:sz="4" w:space="0"/>
            </w:tcBorders>
            <w:vAlign w:val="center"/>
          </w:tcPr>
          <w:p w14:paraId="1FAAA36A">
            <w:pPr>
              <w:jc w:val="right"/>
              <w:rPr>
                <w:sz w:val="18"/>
                <w:szCs w:val="18"/>
              </w:rPr>
            </w:pPr>
          </w:p>
        </w:tc>
        <w:tc>
          <w:tcPr>
            <w:tcW w:w="992" w:type="dxa"/>
            <w:tcBorders>
              <w:left w:val="single" w:color="auto" w:sz="4" w:space="0"/>
              <w:right w:val="single" w:color="auto" w:sz="4" w:space="0"/>
            </w:tcBorders>
            <w:vAlign w:val="center"/>
          </w:tcPr>
          <w:p w14:paraId="704BD67F">
            <w:pPr>
              <w:jc w:val="right"/>
              <w:rPr>
                <w:sz w:val="18"/>
                <w:szCs w:val="18"/>
              </w:rPr>
            </w:pPr>
          </w:p>
        </w:tc>
        <w:tc>
          <w:tcPr>
            <w:tcW w:w="709" w:type="dxa"/>
            <w:tcBorders>
              <w:left w:val="single" w:color="auto" w:sz="4" w:space="0"/>
            </w:tcBorders>
            <w:vAlign w:val="center"/>
          </w:tcPr>
          <w:p w14:paraId="2870C0CC">
            <w:pPr>
              <w:jc w:val="right"/>
              <w:rPr>
                <w:sz w:val="18"/>
                <w:szCs w:val="18"/>
              </w:rPr>
            </w:pPr>
          </w:p>
        </w:tc>
        <w:tc>
          <w:tcPr>
            <w:tcW w:w="1559" w:type="dxa"/>
            <w:vAlign w:val="center"/>
          </w:tcPr>
          <w:p w14:paraId="08A112ED">
            <w:pPr>
              <w:jc w:val="right"/>
              <w:rPr>
                <w:sz w:val="18"/>
                <w:szCs w:val="18"/>
              </w:rPr>
            </w:pPr>
            <w:r>
              <w:rPr>
                <w:sz w:val="18"/>
                <w:szCs w:val="18"/>
              </w:rPr>
              <w:t>399,925,938.07</w:t>
            </w:r>
          </w:p>
        </w:tc>
        <w:tc>
          <w:tcPr>
            <w:tcW w:w="1144" w:type="dxa"/>
            <w:vAlign w:val="center"/>
          </w:tcPr>
          <w:p w14:paraId="265FC625">
            <w:pPr>
              <w:jc w:val="right"/>
              <w:rPr>
                <w:sz w:val="18"/>
                <w:szCs w:val="18"/>
              </w:rPr>
            </w:pPr>
          </w:p>
        </w:tc>
        <w:tc>
          <w:tcPr>
            <w:tcW w:w="1407" w:type="dxa"/>
            <w:vAlign w:val="center"/>
          </w:tcPr>
          <w:p w14:paraId="43414E2F">
            <w:pPr>
              <w:jc w:val="right"/>
              <w:rPr>
                <w:sz w:val="18"/>
                <w:szCs w:val="18"/>
              </w:rPr>
            </w:pPr>
            <w:r>
              <w:rPr>
                <w:sz w:val="18"/>
                <w:szCs w:val="18"/>
              </w:rPr>
              <w:t>97,731,844.14</w:t>
            </w:r>
          </w:p>
        </w:tc>
        <w:tc>
          <w:tcPr>
            <w:tcW w:w="426" w:type="dxa"/>
            <w:vAlign w:val="center"/>
          </w:tcPr>
          <w:p w14:paraId="3B614B9F">
            <w:pPr>
              <w:jc w:val="right"/>
              <w:rPr>
                <w:sz w:val="18"/>
                <w:szCs w:val="18"/>
              </w:rPr>
            </w:pPr>
          </w:p>
        </w:tc>
        <w:tc>
          <w:tcPr>
            <w:tcW w:w="1417" w:type="dxa"/>
            <w:vAlign w:val="center"/>
          </w:tcPr>
          <w:p w14:paraId="1E9EF7D8">
            <w:pPr>
              <w:jc w:val="right"/>
              <w:rPr>
                <w:sz w:val="18"/>
                <w:szCs w:val="18"/>
              </w:rPr>
            </w:pPr>
            <w:r>
              <w:rPr>
                <w:sz w:val="18"/>
                <w:szCs w:val="18"/>
              </w:rPr>
              <w:t>259,044,621.68</w:t>
            </w:r>
          </w:p>
        </w:tc>
        <w:tc>
          <w:tcPr>
            <w:tcW w:w="1559" w:type="dxa"/>
            <w:vAlign w:val="center"/>
          </w:tcPr>
          <w:p w14:paraId="5396CE38">
            <w:pPr>
              <w:jc w:val="right"/>
              <w:rPr>
                <w:sz w:val="18"/>
                <w:szCs w:val="18"/>
              </w:rPr>
            </w:pPr>
            <w:r>
              <w:rPr>
                <w:sz w:val="18"/>
                <w:szCs w:val="18"/>
              </w:rPr>
              <w:t>1,537,255,816.41</w:t>
            </w:r>
          </w:p>
        </w:tc>
        <w:tc>
          <w:tcPr>
            <w:tcW w:w="1560" w:type="dxa"/>
            <w:vAlign w:val="center"/>
          </w:tcPr>
          <w:p w14:paraId="5B720F63">
            <w:pPr>
              <w:jc w:val="right"/>
              <w:rPr>
                <w:sz w:val="18"/>
                <w:szCs w:val="18"/>
              </w:rPr>
            </w:pPr>
            <w:r>
              <w:rPr>
                <w:sz w:val="18"/>
                <w:szCs w:val="18"/>
              </w:rPr>
              <w:t>3,754,952,524.30</w:t>
            </w:r>
          </w:p>
        </w:tc>
      </w:tr>
    </w:tbl>
    <w:p w14:paraId="43C39FC6">
      <w:pPr>
        <w:rPr>
          <w:color w:val="000000" w:themeColor="text1"/>
          <w14:textFill>
            <w14:solidFill>
              <w14:schemeClr w14:val="tx1"/>
            </w14:solidFill>
          </w14:textFill>
        </w:rPr>
      </w:pPr>
    </w:p>
    <w:p w14:paraId="42D54B8B">
      <w:pPr>
        <w:snapToGrid w:val="0"/>
        <w:spacing w:line="240" w:lineRule="atLeast"/>
        <w:rPr>
          <w:b/>
          <w:bCs w:val="0"/>
          <w:color w:val="000000" w:themeColor="text1"/>
          <w14:textFill>
            <w14:solidFill>
              <w14:schemeClr w14:val="tx1"/>
            </w14:solidFill>
          </w14:textFill>
        </w:rPr>
      </w:pPr>
      <w:r>
        <w:rPr>
          <w:color w:val="000000" w:themeColor="text1"/>
          <w14:textFill>
            <w14:solidFill>
              <w14:schemeClr w14:val="tx1"/>
            </w14:solidFill>
          </w14:textFill>
        </w:rPr>
        <w:t>公司负责人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公司负责人"/>
          <w:tag w:val="_GBC_6042a2c12168484781348969a4da3e4c"/>
          <w:id w:val="1855463467"/>
          <w:placeholder>
            <w:docPart w:val="GBC22222222222222222222222222222"/>
          </w:placeholder>
          <w:dataBinding w:prefixMappings="xmlns:clcid-mr='clcid-mr'" w:xpath="/*/clcid-mr:GongSi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唐传勤</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主管会计工作负责人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主管会计工作负责人姓名"/>
          <w:tag w:val="_GBC_3008dab61aca43f0a6d82ef192943e79"/>
          <w:id w:val="1384288740"/>
          <w:placeholder>
            <w:docPart w:val="GBC22222222222222222222222222222"/>
          </w:placeholder>
          <w:dataBinding w:prefixMappings="xmlns:clcid-mr='clcid-mr'" w:xpath="/*/clcid-mr:ZhuGuanKuaiJiGongZuo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宋荣超</w:t>
          </w:r>
        </w:sdtContent>
      </w:sdt>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会计机构负责人</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会计机构负责人姓名"/>
          <w:tag w:val="_GBC_e6c21b270080402ca8dbdc0cab514bde"/>
          <w:id w:val="869260312"/>
          <w:placeholder>
            <w:docPart w:val="GBC22222222222222222222222222222"/>
          </w:placeholder>
          <w:dataBinding w:prefixMappings="xmlns:clcid-mr='clcid-mr'" w:xpath="/*/clcid-mr:KuaiJiJiGouFuZeRenXingMing[not(@periodRef)]" w:storeItemID="{89EBAB94-44A0-46A2-B712-30D997D04A6D}"/>
          <w:text/>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张小嫘</w:t>
          </w:r>
        </w:sdtContent>
      </w:sdt>
    </w:p>
    <w:bookmarkEnd w:id="116"/>
    <w:p w14:paraId="0BBFDA75">
      <w:pPr>
        <w:rPr>
          <w:color w:val="000000" w:themeColor="text1"/>
          <w14:textFill>
            <w14:solidFill>
              <w14:schemeClr w14:val="tx1"/>
            </w14:solidFill>
          </w14:textFill>
        </w:rPr>
      </w:pPr>
    </w:p>
    <w:bookmarkEnd w:id="127"/>
    <w:p w14:paraId="5A2C6E81">
      <w:pPr>
        <w:snapToGrid w:val="0"/>
        <w:spacing w:line="240" w:lineRule="atLeast"/>
        <w:rPr>
          <w:color w:val="000000" w:themeColor="text1"/>
          <w14:textFill>
            <w14:solidFill>
              <w14:schemeClr w14:val="tx1"/>
            </w14:solidFill>
          </w14:textFill>
        </w:rPr>
        <w:sectPr>
          <w:pgSz w:w="16838" w:h="11906" w:orient="landscape"/>
          <w:pgMar w:top="1797" w:right="1525" w:bottom="1276" w:left="1440" w:header="856" w:footer="992" w:gutter="0"/>
          <w:cols w:space="425" w:num="1"/>
          <w:docGrid w:linePitch="312" w:charSpace="0"/>
        </w:sectPr>
      </w:pPr>
      <w:bookmarkStart w:id="129" w:name="_Hlk10212138"/>
      <w:bookmarkEnd w:id="129"/>
    </w:p>
    <w:p w14:paraId="759826F2">
      <w:pPr>
        <w:snapToGrid w:val="0"/>
        <w:spacing w:line="240" w:lineRule="atLeast"/>
        <w:rPr>
          <w:color w:val="000000" w:themeColor="text1"/>
          <w14:textFill>
            <w14:solidFill>
              <w14:schemeClr w14:val="tx1"/>
            </w14:solidFill>
          </w14:textFill>
        </w:rPr>
      </w:pPr>
    </w:p>
    <w:p w14:paraId="691B1B2E">
      <w:pPr>
        <w:pStyle w:val="3"/>
        <w:numPr>
          <w:ilvl w:val="0"/>
          <w:numId w:val="30"/>
        </w:numPr>
        <w:ind w:left="420" w:hanging="420"/>
        <w:rPr>
          <w:color w:val="000000" w:themeColor="text1"/>
          <w14:textFill>
            <w14:solidFill>
              <w14:schemeClr w14:val="tx1"/>
            </w14:solidFill>
          </w14:textFill>
        </w:rPr>
      </w:pPr>
      <w:bookmarkStart w:id="130" w:name="_Hlk168993498"/>
      <w:bookmarkStart w:id="131" w:name="_Hlk168646044"/>
      <w:r>
        <w:rPr>
          <w:color w:val="000000" w:themeColor="text1"/>
          <w14:textFill>
            <w14:solidFill>
              <w14:schemeClr w14:val="tx1"/>
            </w14:solidFill>
          </w14:textFill>
        </w:rPr>
        <w:t>公司基本情况</w:t>
      </w:r>
    </w:p>
    <w:p w14:paraId="4FEEAAEC">
      <w:pPr>
        <w:pStyle w:val="4"/>
        <w:numPr>
          <w:ilvl w:val="0"/>
          <w:numId w:val="31"/>
        </w:num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公司概况</w:t>
      </w:r>
    </w:p>
    <w:sdt>
      <w:sdtPr>
        <w:rPr>
          <w:rFonts w:hint="eastAsia"/>
          <w:color w:val="000000" w:themeColor="text1"/>
          <w14:textFill>
            <w14:solidFill>
              <w14:schemeClr w14:val="tx1"/>
            </w14:solidFill>
          </w14:textFill>
        </w:rPr>
        <w:alias w:val="是否适用：公司概况[双击切换]"/>
        <w:tag w:val="_GBC_0cae3ba4a5394806810c0303cd783dd4"/>
        <w:id w:val="22672679"/>
        <w:placeholder>
          <w:docPart w:val="GBC22222222222222222222222222222"/>
        </w:placeholder>
      </w:sdtPr>
      <w:sdtEndPr>
        <w:rPr>
          <w:rFonts w:hint="eastAsia"/>
          <w:color w:val="000000" w:themeColor="text1"/>
          <w14:textFill>
            <w14:solidFill>
              <w14:schemeClr w14:val="tx1"/>
            </w14:solidFill>
          </w14:textFill>
        </w:rPr>
      </w:sdtEndPr>
      <w:sdtContent>
        <w:p w14:paraId="121FF93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公司概况"/>
        <w:tag w:val="_GBC_ae08459ad5fd43f3a92abaa61cf00bfd"/>
        <w:id w:val="966849035"/>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公司概况"/>
            <w:tag w:val="_GBC_ae08459ad5fd43f3a92abaa61cf00bfd"/>
            <w:id w:val="-976447942"/>
          </w:sdtPr>
          <w:sdtEndPr>
            <w:rPr>
              <w:color w:val="000000" w:themeColor="text1"/>
              <w14:textFill>
                <w14:solidFill>
                  <w14:schemeClr w14:val="tx1"/>
                </w14:solidFill>
              </w14:textFill>
            </w:rPr>
          </w:sdtEndPr>
          <w:sdtContent>
            <w:p w14:paraId="427ACC7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山东好当家海洋发展股份有限公司（以下简称“公司”或“本公司”）成立于1993年1月，公司统一社会信用代码为913700007249980725，法定代表人为唐传勤先生。公司注册地与总部地址为：山东省荣成市虎山镇沙咀子。公司注册资本和股本为人民币</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460</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994</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304</w:t>
              </w:r>
              <w:r>
                <w:rPr>
                  <w:rFonts w:hint="eastAsia"/>
                  <w:color w:val="000000" w:themeColor="text1"/>
                  <w14:textFill>
                    <w14:solidFill>
                      <w14:schemeClr w14:val="tx1"/>
                    </w14:solidFill>
                  </w14:textFill>
                </w:rPr>
                <w:t>.00元。公司母公司为好当家集团有限公司。</w:t>
              </w:r>
            </w:p>
            <w:p w14:paraId="7C0360C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公司从事的主要经营活动为海参养殖和销售、食品加工和销售、海洋捕捞和销售。</w:t>
              </w:r>
            </w:p>
            <w:p w14:paraId="6FA7EEB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公司所处行业：公司属于农、林、牧、渔业之渔业。</w:t>
              </w:r>
            </w:p>
          </w:sdtContent>
        </w:sdt>
      </w:sdtContent>
    </w:sdt>
    <w:p w14:paraId="187DF6D7">
      <w:pPr>
        <w:rPr>
          <w:rFonts w:cs="Times New Roman"/>
          <w:color w:val="000000" w:themeColor="text1"/>
          <w:kern w:val="2"/>
          <w14:textFill>
            <w14:solidFill>
              <w14:schemeClr w14:val="tx1"/>
            </w14:solidFill>
          </w14:textFill>
        </w:rPr>
      </w:pPr>
    </w:p>
    <w:bookmarkEnd w:id="130"/>
    <w:bookmarkEnd w:id="131"/>
    <w:p w14:paraId="33736275">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财务报表的编制基础</w:t>
      </w:r>
    </w:p>
    <w:p w14:paraId="6C94FFDD">
      <w:pPr>
        <w:pStyle w:val="4"/>
        <w:numPr>
          <w:ilvl w:val="0"/>
          <w:numId w:val="32"/>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编制基础</w:t>
      </w:r>
    </w:p>
    <w:sdt>
      <w:sdtPr>
        <w:rPr>
          <w:rFonts w:hint="eastAsia"/>
          <w:color w:val="000000" w:themeColor="text1"/>
          <w14:textFill>
            <w14:solidFill>
              <w14:schemeClr w14:val="tx1"/>
            </w14:solidFill>
          </w14:textFill>
        </w:rPr>
        <w:alias w:val="财务报表的编制基础"/>
        <w:tag w:val="_GBC_1dc2375ed7ab49628f5badf2d5006405"/>
        <w:id w:val="-313726170"/>
        <w:placeholder>
          <w:docPart w:val="GBC22222222222222222222222222222"/>
        </w:placeholder>
      </w:sdtPr>
      <w:sdtEndPr>
        <w:rPr>
          <w:rFonts w:hint="default"/>
          <w:color w:val="000000" w:themeColor="text1"/>
          <w:highlight w:val="yellow"/>
          <w14:textFill>
            <w14:solidFill>
              <w14:schemeClr w14:val="tx1"/>
            </w14:solidFill>
          </w14:textFill>
        </w:rPr>
      </w:sdtEndPr>
      <w:sdtContent>
        <w:p w14:paraId="55D6219F">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本公司财务报表以持续经营假设为基础，管理层评估自资产负债表日起至少十二个月的持续经营能力。根据实际发生的交易和事项，按照财政部颁布的《企业会计准则》及相关规定编制财务报表，财务报表附注披露参照中国证券监督管理委员会《公开发行证券的公司信息披露编报规则第 15 号 —— 财务报告的一般规定》（2023 年修订）相关要求，并基于下述重要会计政策、会计估计进行列报。</w:t>
          </w:r>
        </w:p>
        <w:p w14:paraId="1226912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本公司会计核算以权责发生制为基础。除部分金融工具采用公允价值计量外，本财务报表以历史成本为计量基础。资产发生减值的，按照相关会计准则规定计提相应的减值准备。</w:t>
          </w:r>
        </w:p>
      </w:sdtContent>
    </w:sdt>
    <w:p w14:paraId="5BC3D1C1">
      <w:pPr>
        <w:spacing w:line="360" w:lineRule="auto"/>
        <w:ind w:firstLine="420" w:firstLineChars="200"/>
        <w:rPr>
          <w:color w:val="000000" w:themeColor="text1"/>
          <w14:textFill>
            <w14:solidFill>
              <w14:schemeClr w14:val="tx1"/>
            </w14:solidFill>
          </w14:textFill>
        </w:rPr>
      </w:pPr>
    </w:p>
    <w:p w14:paraId="51B116E7">
      <w:pPr>
        <w:rPr>
          <w:color w:val="000000" w:themeColor="text1"/>
          <w14:textFill>
            <w14:solidFill>
              <w14:schemeClr w14:val="tx1"/>
            </w14:solidFill>
          </w14:textFill>
        </w:rPr>
      </w:pPr>
    </w:p>
    <w:p w14:paraId="11C882B9">
      <w:pPr>
        <w:pStyle w:val="4"/>
        <w:numPr>
          <w:ilvl w:val="0"/>
          <w:numId w:val="32"/>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持续经营</w:t>
      </w:r>
    </w:p>
    <w:sdt>
      <w:sdtPr>
        <w:rPr>
          <w:color w:val="000000" w:themeColor="text1"/>
          <w14:textFill>
            <w14:solidFill>
              <w14:schemeClr w14:val="tx1"/>
            </w14:solidFill>
          </w14:textFill>
        </w:rPr>
        <w:alias w:val="是否适用：持续经营[双击切换]"/>
        <w:tag w:val="_GBC_7a7bd82392314f508ef1adfe80947192"/>
        <w:id w:val="-2091995035"/>
        <w:placeholder>
          <w:docPart w:val="GBC22222222222222222222222222222"/>
        </w:placeholder>
      </w:sdtPr>
      <w:sdtEndPr>
        <w:rPr>
          <w:color w:val="000000" w:themeColor="text1"/>
          <w14:textFill>
            <w14:solidFill>
              <w14:schemeClr w14:val="tx1"/>
            </w14:solidFill>
          </w14:textFill>
        </w:rPr>
      </w:sdtEndPr>
      <w:sdtContent>
        <w:p w14:paraId="544BAEC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持续经营"/>
        <w:tag w:val="_GBC_dc876c24006b428987a041949eb554f3"/>
        <w:id w:val="-2047828096"/>
        <w:placeholder>
          <w:docPart w:val="GBC22222222222222222222222222222"/>
        </w:placeholder>
      </w:sdtPr>
      <w:sdtEndPr>
        <w:rPr>
          <w:color w:val="000000" w:themeColor="text1"/>
          <w14:textFill>
            <w14:solidFill>
              <w14:schemeClr w14:val="tx1"/>
            </w14:solidFill>
          </w14:textFill>
        </w:rPr>
      </w:sdtEndPr>
      <w:sdtContent>
        <w:p w14:paraId="767CCB47">
          <w:pPr>
            <w:rPr>
              <w:color w:val="000000" w:themeColor="text1"/>
              <w14:textFill>
                <w14:solidFill>
                  <w14:schemeClr w14:val="tx1"/>
                </w14:solidFill>
              </w14:textFill>
            </w:rPr>
          </w:pPr>
          <w:sdt>
            <w:sdtPr>
              <w:rPr>
                <w:color w:val="000000" w:themeColor="text1"/>
                <w14:textFill>
                  <w14:solidFill>
                    <w14:schemeClr w14:val="tx1"/>
                  </w14:solidFill>
                </w14:textFill>
              </w:rPr>
              <w:alias w:val="持续经营"/>
              <w:tag w:val="_GBC_dc876c24006b428987a041949eb554f3"/>
              <w:id w:val="-28345981"/>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本公司自报告期末起12个月内不存在对本公司持续经营能力产生重大疑虑的事项或情况。</w:t>
              </w:r>
            </w:sdtContent>
          </w:sdt>
        </w:p>
      </w:sdtContent>
    </w:sdt>
    <w:p w14:paraId="2C8F4B78">
      <w:pPr>
        <w:rPr>
          <w:color w:val="000000" w:themeColor="text1"/>
          <w14:textFill>
            <w14:solidFill>
              <w14:schemeClr w14:val="tx1"/>
            </w14:solidFill>
          </w14:textFill>
        </w:rPr>
      </w:pPr>
    </w:p>
    <w:p w14:paraId="104F0AFF">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重</w:t>
      </w:r>
      <w:r>
        <w:rPr>
          <w:rFonts w:ascii="宋体" w:hAnsi="宋体"/>
          <w:color w:val="000000" w:themeColor="text1"/>
          <w14:textFill>
            <w14:solidFill>
              <w14:schemeClr w14:val="tx1"/>
            </w14:solidFill>
          </w14:textFill>
        </w:rPr>
        <w:t>要会计政策</w:t>
      </w:r>
      <w:r>
        <w:rPr>
          <w:rFonts w:hint="eastAsia" w:ascii="宋体" w:hAnsi="宋体"/>
          <w:color w:val="000000" w:themeColor="text1"/>
          <w14:textFill>
            <w14:solidFill>
              <w14:schemeClr w14:val="tx1"/>
            </w14:solidFill>
          </w14:textFill>
        </w:rPr>
        <w:t>及</w:t>
      </w:r>
      <w:r>
        <w:rPr>
          <w:rFonts w:ascii="宋体" w:hAnsi="宋体"/>
          <w:color w:val="000000" w:themeColor="text1"/>
          <w14:textFill>
            <w14:solidFill>
              <w14:schemeClr w14:val="tx1"/>
            </w14:solidFill>
          </w14:textFill>
        </w:rPr>
        <w:t>会计估计</w:t>
      </w:r>
    </w:p>
    <w:p w14:paraId="4365884B">
      <w:pPr>
        <w:rPr>
          <w:color w:val="000000" w:themeColor="text1"/>
          <w14:textFill>
            <w14:solidFill>
              <w14:schemeClr w14:val="tx1"/>
            </w14:solidFill>
          </w14:textFill>
        </w:rPr>
      </w:pPr>
      <w:r>
        <w:rPr>
          <w:rFonts w:hint="eastAsia"/>
          <w:color w:val="000000" w:themeColor="text1"/>
          <w14:textFill>
            <w14:solidFill>
              <w14:schemeClr w14:val="tx1"/>
            </w14:solidFill>
          </w14:textFill>
        </w:rPr>
        <w:t>具体会计政策和会计估计提示：</w:t>
      </w:r>
    </w:p>
    <w:sdt>
      <w:sdtPr>
        <w:rPr>
          <w:color w:val="000000" w:themeColor="text1"/>
          <w14:textFill>
            <w14:solidFill>
              <w14:schemeClr w14:val="tx1"/>
            </w14:solidFill>
          </w14:textFill>
        </w:rPr>
        <w:alias w:val="是否适用：具体会计政策和会计估计提示[双击切换]"/>
        <w:tag w:val="_GBC_77c62823e3884e1fbfb236cea1f9f425"/>
        <w:id w:val="1293089208"/>
        <w:placeholder>
          <w:docPart w:val="GBC22222222222222222222222222222"/>
        </w:placeholder>
      </w:sdtPr>
      <w:sdtEndPr>
        <w:rPr>
          <w:color w:val="000000" w:themeColor="text1"/>
          <w14:textFill>
            <w14:solidFill>
              <w14:schemeClr w14:val="tx1"/>
            </w14:solidFill>
          </w14:textFill>
        </w:rPr>
      </w:sdtEndPr>
      <w:sdtContent>
        <w:p w14:paraId="5B9CE03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C52A5D4">
      <w:pPr>
        <w:rPr>
          <w:color w:val="000000" w:themeColor="text1"/>
          <w14:textFill>
            <w14:solidFill>
              <w14:schemeClr w14:val="tx1"/>
            </w14:solidFill>
          </w14:textFill>
        </w:rPr>
      </w:pPr>
    </w:p>
    <w:p w14:paraId="79B0758D">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遵循企业会计准则的声明</w:t>
      </w:r>
    </w:p>
    <w:sdt>
      <w:sdtPr>
        <w:rPr>
          <w:rFonts w:hint="eastAsia"/>
          <w:color w:val="000000" w:themeColor="text1"/>
          <w14:textFill>
            <w14:solidFill>
              <w14:schemeClr w14:val="tx1"/>
            </w14:solidFill>
          </w14:textFill>
        </w:rPr>
        <w:alias w:val="会计准则和会计制度"/>
        <w:tag w:val="_GBC_a350b889163a4ef3bb500c021e6a6b47"/>
        <w:id w:val="-241335744"/>
        <w:placeholder>
          <w:docPart w:val="GBC22222222222222222222222222222"/>
        </w:placeholder>
      </w:sdtPr>
      <w:sdtEndPr>
        <w:rPr>
          <w:rFonts w:hint="eastAsia"/>
          <w:color w:val="000000" w:themeColor="text1"/>
          <w14:textFill>
            <w14:solidFill>
              <w14:schemeClr w14:val="tx1"/>
            </w14:solidFill>
          </w14:textFill>
        </w:rPr>
      </w:sdtEndPr>
      <w:sdtContent>
        <w:p w14:paraId="019AA3A1">
          <w:pPr>
            <w:rPr>
              <w:color w:val="000000" w:themeColor="text1"/>
              <w14:textFill>
                <w14:solidFill>
                  <w14:schemeClr w14:val="tx1"/>
                </w14:solidFill>
              </w14:textFill>
            </w:rPr>
          </w:pPr>
          <w:r>
            <w:rPr>
              <w:color w:val="000000" w:themeColor="text1"/>
              <w14:textFill>
                <w14:solidFill>
                  <w14:schemeClr w14:val="tx1"/>
                </w14:solidFill>
              </w14:textFill>
            </w:rPr>
            <w:t>本公司所编制的财务报表符合企业会计准则的要求，真实、完整地反映了公司的财务状况、经营成果、股东权益变动和现金流量等有关信息。</w:t>
          </w:r>
        </w:p>
      </w:sdtContent>
    </w:sdt>
    <w:p w14:paraId="2483FF47">
      <w:pPr>
        <w:rPr>
          <w:color w:val="000000" w:themeColor="text1"/>
          <w14:textFill>
            <w14:solidFill>
              <w14:schemeClr w14:val="tx1"/>
            </w14:solidFill>
          </w14:textFill>
        </w:rPr>
      </w:pPr>
    </w:p>
    <w:p w14:paraId="76E50B93">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会计期间</w:t>
      </w:r>
    </w:p>
    <w:sdt>
      <w:sdtPr>
        <w:rPr>
          <w:rFonts w:hint="eastAsia"/>
          <w:color w:val="000000" w:themeColor="text1"/>
          <w14:textFill>
            <w14:solidFill>
              <w14:schemeClr w14:val="tx1"/>
            </w14:solidFill>
          </w14:textFill>
        </w:rPr>
        <w:alias w:val="会计年度"/>
        <w:tag w:val="_GBC_fc896fba50b143f8a06984831f5d5600"/>
        <w:id w:val="949437830"/>
        <w:placeholder>
          <w:docPart w:val="GBC22222222222222222222222222222"/>
        </w:placeholder>
      </w:sdtPr>
      <w:sdtEndPr>
        <w:rPr>
          <w:rFonts w:hint="eastAsia"/>
          <w:color w:val="000000" w:themeColor="text1"/>
          <w14:textFill>
            <w14:solidFill>
              <w14:schemeClr w14:val="tx1"/>
            </w14:solidFill>
          </w14:textFill>
        </w:rPr>
      </w:sdtEndPr>
      <w:sdtContent>
        <w:p w14:paraId="4BFA085D">
          <w:pPr>
            <w:rPr>
              <w:color w:val="000000" w:themeColor="text1"/>
              <w14:textFill>
                <w14:solidFill>
                  <w14:schemeClr w14:val="tx1"/>
                </w14:solidFill>
              </w14:textFill>
            </w:rPr>
          </w:pPr>
          <w:r>
            <w:rPr>
              <w:color w:val="000000" w:themeColor="text1"/>
              <w14:textFill>
                <w14:solidFill>
                  <w14:schemeClr w14:val="tx1"/>
                </w14:solidFill>
              </w14:textFill>
            </w:rPr>
            <w:t>本公司会计年度自公历1月1日起至12月31日止。</w:t>
          </w:r>
        </w:p>
      </w:sdtContent>
    </w:sdt>
    <w:p w14:paraId="521FC70E">
      <w:pPr>
        <w:rPr>
          <w:color w:val="000000" w:themeColor="text1"/>
          <w14:textFill>
            <w14:solidFill>
              <w14:schemeClr w14:val="tx1"/>
            </w14:solidFill>
          </w14:textFill>
        </w:rPr>
      </w:pPr>
    </w:p>
    <w:p w14:paraId="282433D0">
      <w:pPr>
        <w:pStyle w:val="4"/>
        <w:numPr>
          <w:ilvl w:val="0"/>
          <w:numId w:val="33"/>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营业周期</w:t>
      </w:r>
    </w:p>
    <w:sdt>
      <w:sdtPr>
        <w:rPr>
          <w:color w:val="000000" w:themeColor="text1"/>
          <w14:textFill>
            <w14:solidFill>
              <w14:schemeClr w14:val="tx1"/>
            </w14:solidFill>
          </w14:textFill>
        </w:rPr>
        <w:alias w:val="是否适用：营业周期[双击切换]"/>
        <w:tag w:val="_GBC_1668f7f497234cf886206b57711c4c87"/>
        <w:id w:val="1886989634"/>
        <w:placeholder>
          <w:docPart w:val="GBC22222222222222222222222222222"/>
        </w:placeholder>
      </w:sdtPr>
      <w:sdtEndPr>
        <w:rPr>
          <w:color w:val="000000" w:themeColor="text1"/>
          <w14:textFill>
            <w14:solidFill>
              <w14:schemeClr w14:val="tx1"/>
            </w14:solidFill>
          </w14:textFill>
        </w:rPr>
      </w:sdtEndPr>
      <w:sdtContent>
        <w:p w14:paraId="0FE4703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营业周期"/>
        <w:tag w:val="_GBC_e145e43187d9463889884f48e9e0b234"/>
        <w:id w:val="-1749796981"/>
        <w:placeholder>
          <w:docPart w:val="GBC22222222222222222222222222222"/>
        </w:placeholder>
      </w:sdtPr>
      <w:sdtEndPr>
        <w:rPr>
          <w:color w:val="000000" w:themeColor="text1"/>
          <w14:textFill>
            <w14:solidFill>
              <w14:schemeClr w14:val="tx1"/>
            </w14:solidFill>
          </w14:textFill>
        </w:rPr>
      </w:sdtEndPr>
      <w:sdtContent>
        <w:p w14:paraId="49B24DB7">
          <w:pPr>
            <w:rPr>
              <w:color w:val="000000" w:themeColor="text1"/>
              <w14:textFill>
                <w14:solidFill>
                  <w14:schemeClr w14:val="tx1"/>
                </w14:solidFill>
              </w14:textFill>
            </w:rPr>
          </w:pPr>
          <w:sdt>
            <w:sdtPr>
              <w:rPr>
                <w:color w:val="000000" w:themeColor="text1"/>
                <w14:textFill>
                  <w14:solidFill>
                    <w14:schemeClr w14:val="tx1"/>
                  </w14:solidFill>
                </w14:textFill>
              </w:rPr>
              <w:alias w:val="营业周期"/>
              <w:tag w:val="_GBC_e145e43187d9463889884f48e9e0b234"/>
              <w:id w:val="551656767"/>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本公司以12个月作为一个营业周期，并以其作为资产和负债的流动性划分标准。</w:t>
              </w:r>
            </w:sdtContent>
          </w:sdt>
        </w:p>
      </w:sdtContent>
    </w:sdt>
    <w:p w14:paraId="585C4DDB">
      <w:pPr>
        <w:rPr>
          <w:color w:val="000000" w:themeColor="text1"/>
          <w14:textFill>
            <w14:solidFill>
              <w14:schemeClr w14:val="tx1"/>
            </w14:solidFill>
          </w14:textFill>
        </w:rPr>
      </w:pPr>
    </w:p>
    <w:p w14:paraId="6823A55F">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记账本位币</w:t>
      </w:r>
    </w:p>
    <w:sdt>
      <w:sdtPr>
        <w:rPr>
          <w:rFonts w:hint="eastAsia"/>
          <w:color w:val="000000" w:themeColor="text1"/>
          <w14:textFill>
            <w14:solidFill>
              <w14:schemeClr w14:val="tx1"/>
            </w14:solidFill>
          </w14:textFill>
        </w:rPr>
        <w:alias w:val="记账本位币"/>
        <w:tag w:val="_GBC_3749a2357eba44e8b968cb41cda75ff1"/>
        <w:id w:val="587355786"/>
        <w:placeholder>
          <w:docPart w:val="GBC22222222222222222222222222222"/>
        </w:placeholder>
      </w:sdtPr>
      <w:sdtEndPr>
        <w:rPr>
          <w:rFonts w:hint="eastAsia"/>
          <w:color w:val="000000" w:themeColor="text1"/>
          <w14:textFill>
            <w14:solidFill>
              <w14:schemeClr w14:val="tx1"/>
            </w14:solidFill>
          </w14:textFill>
        </w:rPr>
      </w:sdtEndPr>
      <w:sdtContent>
        <w:p w14:paraId="3A8C0D0C">
          <w:pPr>
            <w:rPr>
              <w:color w:val="000000" w:themeColor="text1"/>
              <w14:textFill>
                <w14:solidFill>
                  <w14:schemeClr w14:val="tx1"/>
                </w14:solidFill>
              </w14:textFill>
            </w:rPr>
          </w:pPr>
          <w:r>
            <w:rPr>
              <w:color w:val="000000" w:themeColor="text1"/>
              <w14:textFill>
                <w14:solidFill>
                  <w14:schemeClr w14:val="tx1"/>
                </w14:solidFill>
              </w14:textFill>
            </w:rPr>
            <w:t>本公司的记账本位币为人民币。</w:t>
          </w:r>
        </w:p>
      </w:sdtContent>
    </w:sdt>
    <w:p w14:paraId="29DD4F8A">
      <w:pPr>
        <w:rPr>
          <w:rFonts w:cs="Times New Roman"/>
          <w:color w:val="000000" w:themeColor="text1"/>
          <w:kern w:val="2"/>
          <w14:textFill>
            <w14:solidFill>
              <w14:schemeClr w14:val="tx1"/>
            </w14:solidFill>
          </w14:textFill>
        </w:rPr>
      </w:pPr>
    </w:p>
    <w:p w14:paraId="2A41343B">
      <w:pPr>
        <w:pStyle w:val="4"/>
        <w:numPr>
          <w:ilvl w:val="0"/>
          <w:numId w:val="33"/>
        </w:numPr>
        <w:ind w:left="450" w:hanging="450"/>
        <w:rPr>
          <w:color w:val="000000" w:themeColor="text1"/>
          <w14:textFill>
            <w14:solidFill>
              <w14:schemeClr w14:val="tx1"/>
            </w14:solidFill>
          </w14:textFill>
        </w:rPr>
      </w:pPr>
      <w:bookmarkStart w:id="132" w:name="_Hlk169007161"/>
      <w:bookmarkStart w:id="133" w:name="_Hlk167809539"/>
      <w:r>
        <w:rPr>
          <w:rFonts w:hint="eastAsia"/>
          <w:color w:val="000000" w:themeColor="text1"/>
          <w14:textFill>
            <w14:solidFill>
              <w14:schemeClr w14:val="tx1"/>
            </w14:solidFill>
          </w14:textFill>
        </w:rPr>
        <w:t>重要性标准确定方法和选择依据</w:t>
      </w:r>
    </w:p>
    <w:sdt>
      <w:sdtPr>
        <w:rPr>
          <w:color w:val="000000" w:themeColor="text1"/>
          <w14:textFill>
            <w14:solidFill>
              <w14:schemeClr w14:val="tx1"/>
            </w14:solidFill>
          </w14:textFill>
        </w:rPr>
        <w:alias w:val="是否适用：重要性标准确定方法和选择依据[双击切换]"/>
        <w:tag w:val="_GBC_1f44a82433fd445aac6090cd207979fd"/>
        <w:id w:val="1163358354"/>
        <w:placeholder>
          <w:docPart w:val="GBC22222222222222222222222222222"/>
        </w:placeholder>
      </w:sdtPr>
      <w:sdtEndPr>
        <w:rPr>
          <w:color w:val="000000" w:themeColor="text1"/>
          <w14:textFill>
            <w14:solidFill>
              <w14:schemeClr w14:val="tx1"/>
            </w14:solidFill>
          </w14:textFill>
        </w:rPr>
      </w:sdtEndPr>
      <w:sdtContent>
        <w:p w14:paraId="227D7FC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1"/>
        <w:gridCol w:w="4412"/>
      </w:tblGrid>
      <w:tr w14:paraId="3D63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8d2a16b36b194561ae6c2ac9de9d21f1"/>
            <w:id w:val="-457024061"/>
          </w:sdtPr>
          <w:sdtContent>
            <w:tc>
              <w:tcPr>
                <w:tcW w:w="4411" w:type="dxa"/>
              </w:tcPr>
              <w:p w14:paraId="439B7538">
                <w:pPr>
                  <w:widowControl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eb4e754207e74cc59df0dce32451d27d"/>
            <w:id w:val="1451199561"/>
          </w:sdtPr>
          <w:sdtContent>
            <w:tc>
              <w:tcPr>
                <w:tcW w:w="4412" w:type="dxa"/>
              </w:tcPr>
              <w:p w14:paraId="3DECB837">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重要性标准</w:t>
                </w:r>
              </w:p>
            </w:tc>
          </w:sdtContent>
        </w:sdt>
      </w:tr>
      <w:tr w14:paraId="6C7A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1" w:type="dxa"/>
          </w:tcPr>
          <w:p w14:paraId="3D58E3F2">
            <w:pPr>
              <w:widowControl w:val="0"/>
              <w:jc w:val="both"/>
            </w:pPr>
            <w:r>
              <w:rPr>
                <w:rFonts w:ascii="宋体" w:hAnsi="宋体"/>
              </w:rPr>
              <w:t>重要的单项计提坏账准备的应收款项</w:t>
            </w:r>
          </w:p>
        </w:tc>
        <w:tc>
          <w:tcPr>
            <w:tcW w:w="4412" w:type="dxa"/>
          </w:tcPr>
          <w:p w14:paraId="162D8CAA">
            <w:pPr>
              <w:widowControl w:val="0"/>
              <w:jc w:val="both"/>
            </w:pPr>
            <w:r>
              <w:rPr>
                <w:rFonts w:ascii="宋体" w:hAnsi="宋体"/>
              </w:rPr>
              <w:t>单项金额</w:t>
            </w:r>
            <w:r>
              <w:rPr>
                <w:rFonts w:cs="Times New Roman"/>
              </w:rPr>
              <w:t>≥1,000,000</w:t>
            </w:r>
          </w:p>
        </w:tc>
      </w:tr>
      <w:tr w14:paraId="572C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1" w:type="dxa"/>
          </w:tcPr>
          <w:p w14:paraId="21BB2938">
            <w:pPr>
              <w:widowControl w:val="0"/>
              <w:jc w:val="both"/>
            </w:pPr>
            <w:r>
              <w:rPr>
                <w:rFonts w:ascii="宋体" w:hAnsi="宋体"/>
              </w:rPr>
              <w:t>应收款项本期坏账准备收回或转回金额重要的</w:t>
            </w:r>
          </w:p>
        </w:tc>
        <w:tc>
          <w:tcPr>
            <w:tcW w:w="4412" w:type="dxa"/>
          </w:tcPr>
          <w:p w14:paraId="2429158C">
            <w:pPr>
              <w:widowControl w:val="0"/>
              <w:jc w:val="both"/>
            </w:pPr>
            <w:r>
              <w:rPr>
                <w:rFonts w:ascii="宋体" w:hAnsi="宋体"/>
              </w:rPr>
              <w:t>单项金额</w:t>
            </w:r>
            <w:r>
              <w:rPr>
                <w:rFonts w:cs="Times New Roman"/>
              </w:rPr>
              <w:t>≥1,000,000</w:t>
            </w:r>
          </w:p>
        </w:tc>
      </w:tr>
      <w:tr w14:paraId="3818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1" w:type="dxa"/>
          </w:tcPr>
          <w:p w14:paraId="71121F9F">
            <w:pPr>
              <w:widowControl w:val="0"/>
              <w:jc w:val="both"/>
            </w:pPr>
            <w:r>
              <w:rPr>
                <w:rFonts w:ascii="宋体" w:hAnsi="宋体"/>
              </w:rPr>
              <w:t>重要的应收款项核销</w:t>
            </w:r>
          </w:p>
        </w:tc>
        <w:tc>
          <w:tcPr>
            <w:tcW w:w="4412" w:type="dxa"/>
          </w:tcPr>
          <w:p w14:paraId="5F541790">
            <w:pPr>
              <w:widowControl w:val="0"/>
              <w:jc w:val="both"/>
            </w:pPr>
            <w:r>
              <w:rPr>
                <w:rFonts w:ascii="宋体" w:hAnsi="宋体"/>
              </w:rPr>
              <w:t>单项金额</w:t>
            </w:r>
            <w:r>
              <w:rPr>
                <w:rFonts w:cs="Times New Roman"/>
              </w:rPr>
              <w:t>≥1,000,000</w:t>
            </w:r>
          </w:p>
        </w:tc>
      </w:tr>
      <w:tr w14:paraId="3FB6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1" w:type="dxa"/>
          </w:tcPr>
          <w:p w14:paraId="7654D914">
            <w:pPr>
              <w:widowControl w:val="0"/>
              <w:jc w:val="both"/>
            </w:pPr>
            <w:r>
              <w:rPr>
                <w:rFonts w:ascii="宋体" w:hAnsi="宋体"/>
              </w:rPr>
              <w:t>重要的在建工程</w:t>
            </w:r>
          </w:p>
        </w:tc>
        <w:tc>
          <w:tcPr>
            <w:tcW w:w="4412" w:type="dxa"/>
          </w:tcPr>
          <w:p w14:paraId="3018BA78">
            <w:pPr>
              <w:widowControl w:val="0"/>
              <w:jc w:val="both"/>
            </w:pPr>
            <w:r>
              <w:rPr>
                <w:rFonts w:ascii="宋体" w:hAnsi="宋体"/>
              </w:rPr>
              <w:t>单项在建工程预算金额、发生金额或账面余额</w:t>
            </w:r>
            <w:r>
              <w:rPr>
                <w:rFonts w:cs="Times New Roman"/>
              </w:rPr>
              <w:t>≥10,000,000</w:t>
            </w:r>
          </w:p>
        </w:tc>
      </w:tr>
      <w:tr w14:paraId="0D9FD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1" w:type="dxa"/>
          </w:tcPr>
          <w:p w14:paraId="5B44CE9E">
            <w:pPr>
              <w:widowControl w:val="0"/>
              <w:jc w:val="both"/>
            </w:pPr>
            <w:r>
              <w:rPr>
                <w:rFonts w:ascii="宋体" w:hAnsi="宋体"/>
              </w:rPr>
              <w:t>重要的应付账款</w:t>
            </w:r>
          </w:p>
        </w:tc>
        <w:tc>
          <w:tcPr>
            <w:tcW w:w="4412" w:type="dxa"/>
          </w:tcPr>
          <w:p w14:paraId="79B77210">
            <w:pPr>
              <w:widowControl w:val="0"/>
              <w:jc w:val="both"/>
            </w:pPr>
            <w:r>
              <w:rPr>
                <w:rFonts w:ascii="宋体" w:hAnsi="宋体"/>
              </w:rPr>
              <w:t>单项金额</w:t>
            </w:r>
            <w:r>
              <w:rPr>
                <w:rFonts w:cs="Times New Roman"/>
              </w:rPr>
              <w:t>≥5,000,000</w:t>
            </w:r>
          </w:p>
        </w:tc>
      </w:tr>
      <w:tr w14:paraId="1FEB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1" w:type="dxa"/>
          </w:tcPr>
          <w:p w14:paraId="49BA35C3">
            <w:pPr>
              <w:widowControl w:val="0"/>
              <w:jc w:val="both"/>
            </w:pPr>
            <w:r>
              <w:rPr>
                <w:rFonts w:ascii="宋体" w:hAnsi="宋体"/>
              </w:rPr>
              <w:t>重要的合同负债</w:t>
            </w:r>
          </w:p>
        </w:tc>
        <w:tc>
          <w:tcPr>
            <w:tcW w:w="4412" w:type="dxa"/>
          </w:tcPr>
          <w:p w14:paraId="07AD56E8">
            <w:pPr>
              <w:widowControl w:val="0"/>
              <w:jc w:val="both"/>
            </w:pPr>
            <w:r>
              <w:rPr>
                <w:rFonts w:ascii="宋体" w:hAnsi="宋体"/>
              </w:rPr>
              <w:t>单项金额</w:t>
            </w:r>
            <w:r>
              <w:rPr>
                <w:rFonts w:cs="Times New Roman"/>
              </w:rPr>
              <w:t>≥3,000,000</w:t>
            </w:r>
          </w:p>
        </w:tc>
      </w:tr>
      <w:tr w14:paraId="59B4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1" w:type="dxa"/>
          </w:tcPr>
          <w:p w14:paraId="353375F3">
            <w:pPr>
              <w:widowControl w:val="0"/>
              <w:jc w:val="both"/>
            </w:pPr>
            <w:r>
              <w:rPr>
                <w:rFonts w:ascii="宋体" w:hAnsi="宋体"/>
              </w:rPr>
              <w:t>重要的其他应付款</w:t>
            </w:r>
          </w:p>
        </w:tc>
        <w:tc>
          <w:tcPr>
            <w:tcW w:w="4412" w:type="dxa"/>
          </w:tcPr>
          <w:p w14:paraId="1240C438">
            <w:pPr>
              <w:widowControl w:val="0"/>
              <w:jc w:val="both"/>
            </w:pPr>
            <w:r>
              <w:rPr>
                <w:rFonts w:ascii="宋体" w:hAnsi="宋体"/>
              </w:rPr>
              <w:t>单项金额</w:t>
            </w:r>
            <w:r>
              <w:rPr>
                <w:rFonts w:cs="Times New Roman"/>
              </w:rPr>
              <w:t>≥2,000,000</w:t>
            </w:r>
          </w:p>
        </w:tc>
      </w:tr>
      <w:tr w14:paraId="3CF8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1" w:type="dxa"/>
          </w:tcPr>
          <w:p w14:paraId="22EABF4B">
            <w:pPr>
              <w:widowControl w:val="0"/>
              <w:jc w:val="both"/>
            </w:pPr>
            <w:r>
              <w:rPr>
                <w:rFonts w:ascii="宋体" w:hAnsi="宋体"/>
              </w:rPr>
              <w:t>重要的非全资子公司</w:t>
            </w:r>
          </w:p>
        </w:tc>
        <w:tc>
          <w:tcPr>
            <w:tcW w:w="4412" w:type="dxa"/>
          </w:tcPr>
          <w:p w14:paraId="22B9622F">
            <w:pPr>
              <w:widowControl w:val="0"/>
              <w:jc w:val="both"/>
            </w:pPr>
            <w:r>
              <w:rPr>
                <w:rFonts w:ascii="宋体" w:hAnsi="宋体"/>
              </w:rPr>
              <w:t>子公司净资产占合并报表净资产</w:t>
            </w:r>
            <w:r>
              <w:t>5%</w:t>
            </w:r>
            <w:r>
              <w:rPr>
                <w:rFonts w:ascii="宋体" w:hAnsi="宋体"/>
              </w:rPr>
              <w:t>以上</w:t>
            </w:r>
          </w:p>
        </w:tc>
      </w:tr>
      <w:tr w14:paraId="6C1E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1" w:type="dxa"/>
          </w:tcPr>
          <w:p w14:paraId="6E6A4208">
            <w:pPr>
              <w:widowControl w:val="0"/>
              <w:jc w:val="both"/>
            </w:pPr>
            <w:r>
              <w:rPr>
                <w:rFonts w:ascii="宋体" w:hAnsi="宋体"/>
              </w:rPr>
              <w:t>重要的合营企业或联营企业</w:t>
            </w:r>
          </w:p>
        </w:tc>
        <w:tc>
          <w:tcPr>
            <w:tcW w:w="4412" w:type="dxa"/>
          </w:tcPr>
          <w:p w14:paraId="7D74278F">
            <w:pPr>
              <w:widowControl w:val="0"/>
              <w:jc w:val="both"/>
            </w:pPr>
            <w:r>
              <w:rPr>
                <w:rFonts w:ascii="宋体" w:hAnsi="宋体"/>
              </w:rPr>
              <w:t>合营企业或联营企业净资产占合并报表净资产</w:t>
            </w:r>
            <w:r>
              <w:t>5%</w:t>
            </w:r>
            <w:r>
              <w:rPr>
                <w:rFonts w:ascii="宋体" w:hAnsi="宋体"/>
              </w:rPr>
              <w:t>以上</w:t>
            </w:r>
          </w:p>
        </w:tc>
      </w:tr>
    </w:tbl>
    <w:p w14:paraId="5E1C97AD">
      <w:pPr>
        <w:rPr>
          <w:color w:val="000000" w:themeColor="text1"/>
          <w14:textFill>
            <w14:solidFill>
              <w14:schemeClr w14:val="tx1"/>
            </w14:solidFill>
          </w14:textFill>
        </w:rPr>
      </w:pPr>
    </w:p>
    <w:bookmarkEnd w:id="132"/>
    <w:bookmarkEnd w:id="133"/>
    <w:p w14:paraId="09F39E9E">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同一控制下和非同一控制下企业合并的会计处理方法</w:t>
      </w:r>
    </w:p>
    <w:sdt>
      <w:sdtPr>
        <w:rPr>
          <w:rFonts w:hint="eastAsia"/>
          <w:color w:val="000000" w:themeColor="text1"/>
          <w14:textFill>
            <w14:solidFill>
              <w14:schemeClr w14:val="tx1"/>
            </w14:solidFill>
          </w14:textFill>
        </w:rPr>
        <w:alias w:val="是否适用：同一控制下和非同一控制下企业合并的会计处理方法[双击切换]"/>
        <w:tag w:val="_GBC_15953b39483a4ce1a5c96869e4a0ae9c"/>
        <w:id w:val="538479618"/>
        <w:placeholder>
          <w:docPart w:val="GBC22222222222222222222222222222"/>
        </w:placeholder>
      </w:sdtPr>
      <w:sdtEndPr>
        <w:rPr>
          <w:rFonts w:hint="eastAsia"/>
          <w:color w:val="000000" w:themeColor="text1"/>
          <w14:textFill>
            <w14:solidFill>
              <w14:schemeClr w14:val="tx1"/>
            </w14:solidFill>
          </w14:textFill>
        </w:rPr>
      </w:sdtEndPr>
      <w:sdtContent>
        <w:p w14:paraId="6218D3E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rFonts w:hint="eastAsia"/>
          <w:color w:val="000000" w:themeColor="text1"/>
          <w14:textFill>
            <w14:solidFill>
              <w14:schemeClr w14:val="tx1"/>
            </w14:solidFill>
          </w14:textFill>
        </w:rPr>
        <w:alias w:val="同一控制下和非同一控制下企业合并的会计处理方法"/>
        <w:tag w:val="_GBC_ef4b9a8d4ac34f45a0f61a23267bcbb8"/>
        <w:id w:val="2091573779"/>
        <w:placeholder>
          <w:docPart w:val="GBC22222222222222222222222222222"/>
        </w:placeholder>
      </w:sdtPr>
      <w:sdtEndPr>
        <w:rPr>
          <w:rFonts w:hint="eastAsia"/>
          <w:color w:val="000000" w:themeColor="text1"/>
          <w14:textFill>
            <w14:solidFill>
              <w14:schemeClr w14:val="tx1"/>
            </w14:solidFill>
          </w14:textFill>
        </w:rPr>
      </w:sdtEndPr>
      <w:sdtContent>
        <w:sdt>
          <w:sdtPr>
            <w:rPr>
              <w:color w:val="000000" w:themeColor="text1"/>
              <w14:textFill>
                <w14:solidFill>
                  <w14:schemeClr w14:val="tx1"/>
                </w14:solidFill>
              </w14:textFill>
            </w:rPr>
            <w:alias w:val="同一控制下和非同一控制下企业合并的会计处理方法"/>
            <w:tag w:val="_GBC_ef4b9a8d4ac34f45a0f61a23267bcbb8"/>
            <w:id w:val="1816441702"/>
          </w:sdtPr>
          <w:sdtEndPr>
            <w:rPr>
              <w:color w:val="000000" w:themeColor="text1"/>
              <w14:textFill>
                <w14:solidFill>
                  <w14:schemeClr w14:val="tx1"/>
                </w14:solidFill>
              </w14:textFill>
            </w:rPr>
          </w:sdtEndPr>
          <w:sdtContent>
            <w:p w14:paraId="17F4773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企业合并是指将两个或两个以上单独的企业合并形成一个报告主体的交易或事项。企业合并分为同一控制下企业合并和非同一控制下企业合并。</w:t>
              </w:r>
            </w:p>
            <w:p w14:paraId="18595D40">
              <w:pPr>
                <w:pStyle w:val="55"/>
                <w:numPr>
                  <w:ilvl w:val="0"/>
                  <w:numId w:val="34"/>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同一控制下的企业合并</w:t>
              </w:r>
            </w:p>
            <w:p w14:paraId="2144C4B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参与合并的企业在合并前后均受同一方或相同的多方最终控制且该控制并非暂时性的，为同一控制下的企业合并。同一控制下的企业合并，在合并日取得对其他参与合并企业控制权的一方为合并方，参与合并的其他企业为被合并方。合并日，是指合并方实际取得对被合并方控制权的日期。    </w:t>
              </w:r>
            </w:p>
            <w:p w14:paraId="7337996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同一控制下企业合并形成的长期股权投资合并方以支付现金、转让非现金资产或承担债务方式作为合并对价的，本公司在合并日按照所取得的被合并方在最终控制方合并财务报表中的净资产的账面价值的份额作为长期股权投资的初始投资成本。被合并方在合并日的净资产账面价值为负数的，长期股权投资成本按零确定。如果被合并方在被合并以前，是最终控制方通过非同一控制下的企业合并所控制的，则合并方长期股权投资的初始投资成本包含了相关的商誉金额。长期股权投资的初始投资成本与支付的现金、转让的非现金资产及所承担债务账面价值之间的差额，应当调整资本公积（资本溢价或股本溢价）；资本公积（资本溢价或股本溢价）的余额不足冲减的，依次冲减盈余公积和未分配利润。合并方以发行权益性工具作为合并对价的，按发行股份的面值总额作为股本，长期股权投资的初始投资成本与所发行股份面值总额之间的差额，调整资本公积（资本溢价或股本溢价）；资本公积（资本溢价或股本溢价）不足冲减的，依次冲减盈余公积和未分配利润。    </w:t>
              </w:r>
            </w:p>
            <w:p w14:paraId="76BE9EE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合并方发生的审计、法律服务、评估咨询等中介费用以及其他相关管理费用，于发生时计入当期损益。与发行权益性工具作为合并对价直接相关的交易费用，冲减资本公积（股本溢价），资本公积（股本溢价）不足冲减的，依次冲减盈余公积和未分配利润。与发行债务性工具作为合并对价直接相关的交易费用，计入债务性工具的初始确认金额。</w:t>
              </w:r>
            </w:p>
            <w:p w14:paraId="09E28A4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通过多次交易分步实现同一控制下企业合并，属于一揽子交易的，合并方应当将各项交易作为一项取得控制权的交易进行会计处理。不属于“一揽子交易”的，在母公司财务报表中，以合并日持股比例计算的合并日应享有被合并方账面所有者权益份额作为该项投资的初始投资成本，初始投资成本与其原长期股权投资账面价值加上合并日取得进一步股份新支付对价的账面价值之和的差额，调整资本公积（股本溢价），资本公积不足冲减的，冲减留存收益。</w:t>
              </w:r>
            </w:p>
            <w:p w14:paraId="52DFFD4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合并财务报表中，合并方在达到合并之前持有的长期股权投资，在取得日与合并方与被合并方处于同一最终控制之日孰晚日与合并日之间已确认有关损益、其他综合收益和其他所有者权益变动，应分别冲减比较报表期间的期初留存收益或当期损益。</w:t>
              </w:r>
            </w:p>
            <w:p w14:paraId="7604F9D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（2）非同一控制下的企业合并</w:t>
              </w:r>
            </w:p>
            <w:p w14:paraId="37F2886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参与合并的各方在合并前后不受同一方或相同的多方最终控制的，为非同一控制下的企业合并。非同一控制下的企业合并，在购买日取得对其他参与合并企业控制权的一方为购买方，参与合并的其他企业为被购买方。购买日，是指购买方实际取得对被购买方控制权的日期。</w:t>
              </w:r>
            </w:p>
            <w:p w14:paraId="6E67874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非同一控制下的企业合并，合并成本为购买方在购买日为取得对被购买方的控制权而付出的资产、发生或承担的负债以及发行的权益性证券的公允价值之和。购买方为企业合并发生的审计、法律服务、评估咨询等中介费用以及其他相关管理费用，应于发生时计入当期损益。购买方作为合并对价发行的权益性工具或债务性工具的交易费用，应当计入权益性工具或债务性工具的初始确认金额。所涉及的或有对价按其在购买日的公允价值计入合并成本，购买日后 12 个月内出现对购买日已存在情况的新的或进一步证据而需要调整或有对价的，相应调整合并商誉。</w:t>
              </w:r>
            </w:p>
            <w:p w14:paraId="14BE4B1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购买方发生的合并成本及在合并中取得的可辨认净资产按购买日的公允价值计量。合并成本大于合并中取得的被购买方于购买日可辨认净资产公允价值份额的差额，确认为商誉。合并成本小于合并中取得的被购买方可辨认净资产公允价值份额的，首先对取得的被购买方各项可辨认资产、负债及或有负债的公允价值以及合并成本的计量进行复核，复核后合并成本仍小于合并中取得的被购买方可辨认净资产公允价值份额的，其差额计入当期损益。</w:t>
              </w:r>
            </w:p>
            <w:p w14:paraId="6352D11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通过多次交易分步实现非同一控制下企业合并的，在母公司财务报表中，以购买日之前所持被购买方的股权投资的账面价值与购买日新增投资成本之和，作为该项投资的初始投资成本。</w:t>
              </w:r>
            </w:p>
            <w:p w14:paraId="7B2B901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合并财务报表中，对于购买日之前持有的被购买方的股权，按照该股权在购买日的公允价值进行重新计量，公允价值与其账面价值的差额计入当期投资收益；购买日之前持有的被购买方的股权涉及其他综合收益的，与其相关的其他综合收益应当转为购买日所属当期投资收益，不能重分类计入当期损益的其他综合收益除外。</w:t>
              </w:r>
            </w:p>
            <w:p w14:paraId="6D867A8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以购买日之前所持被购买方的股权于购买日的公允价值与购买日新购入股权所支付对价的公允价值之和作为合并成本，与购买方取得的按购买日持股比例计算应享有的被购买方可辨认净资产于购买日的公允价值的份额比较，确定购买日应予确认的商誉或应计入合并当期损益的金额。</w:t>
              </w:r>
            </w:p>
          </w:sdtContent>
        </w:sdt>
      </w:sdtContent>
    </w:sdt>
    <w:p w14:paraId="5B180BB9">
      <w:pPr>
        <w:rPr>
          <w:color w:val="000000" w:themeColor="text1"/>
          <w14:textFill>
            <w14:solidFill>
              <w14:schemeClr w14:val="tx1"/>
            </w14:solidFill>
          </w14:textFill>
        </w:rPr>
      </w:pPr>
    </w:p>
    <w:p w14:paraId="4486A155">
      <w:pPr>
        <w:pStyle w:val="4"/>
        <w:numPr>
          <w:ilvl w:val="0"/>
          <w:numId w:val="33"/>
        </w:numPr>
        <w:rPr>
          <w:rFonts w:hint="eastAsia" w:ascii="宋体" w:hAnsi="宋体"/>
          <w:color w:val="000000" w:themeColor="text1"/>
          <w14:textFill>
            <w14:solidFill>
              <w14:schemeClr w14:val="tx1"/>
            </w14:solidFill>
          </w14:textFill>
        </w:rPr>
      </w:pPr>
      <w:bookmarkStart w:id="134" w:name="_Hlk169007307"/>
      <w:r>
        <w:rPr>
          <w:rFonts w:hint="eastAsia" w:ascii="宋体" w:hAnsi="宋体"/>
          <w:color w:val="000000" w:themeColor="text1"/>
          <w14:textFill>
            <w14:solidFill>
              <w14:schemeClr w14:val="tx1"/>
            </w14:solidFill>
          </w14:textFill>
        </w:rPr>
        <w:t>控制的判断标准和</w:t>
      </w:r>
      <w:r>
        <w:rPr>
          <w:rFonts w:ascii="宋体" w:hAnsi="宋体"/>
          <w:color w:val="000000" w:themeColor="text1"/>
          <w14:textFill>
            <w14:solidFill>
              <w14:schemeClr w14:val="tx1"/>
            </w14:solidFill>
          </w14:textFill>
        </w:rPr>
        <w:t>合并财务报表的编制方法</w:t>
      </w:r>
    </w:p>
    <w:sdt>
      <w:sdtPr>
        <w:rPr>
          <w:rFonts w:hint="eastAsia"/>
          <w:color w:val="000000" w:themeColor="text1"/>
          <w14:textFill>
            <w14:solidFill>
              <w14:schemeClr w14:val="tx1"/>
            </w14:solidFill>
          </w14:textFill>
        </w:rPr>
        <w:alias w:val="是否适用：合并财务报表的编制方法[双击切换]"/>
        <w:tag w:val="_GBC_dad2e053cc8c4461a681b3e4926c48a6"/>
        <w:id w:val="1559364067"/>
        <w:placeholder>
          <w:docPart w:val="GBC22222222222222222222222222222"/>
        </w:placeholder>
      </w:sdtPr>
      <w:sdtEndPr>
        <w:rPr>
          <w:rFonts w:hint="eastAsia"/>
          <w:color w:val="000000" w:themeColor="text1"/>
          <w14:textFill>
            <w14:solidFill>
              <w14:schemeClr w14:val="tx1"/>
            </w14:solidFill>
          </w14:textFill>
        </w:rPr>
      </w:sdtEndPr>
      <w:sdtContent>
        <w:p w14:paraId="7BE80DA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134"/>
    <w:p w14:paraId="716856BA">
      <w:pPr>
        <w:tabs>
          <w:tab w:val="left" w:pos="0"/>
        </w:tabs>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（1）控制的判断标准</w:t>
      </w:r>
      <w:r>
        <w:rPr>
          <w:rFonts w:asciiTheme="minorEastAsia" w:hAnsiTheme="minorEastAsia" w:eastAsiaTheme="minorEastAsia"/>
          <w:color w:val="000000" w:themeColor="text1"/>
          <w14:textFill>
            <w14:solidFill>
              <w14:schemeClr w14:val="tx1"/>
            </w14:solidFill>
          </w14:textFill>
        </w:rPr>
        <w:t xml:space="preserve">    </w:t>
      </w:r>
    </w:p>
    <w:p w14:paraId="4AD41049">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合并财务报表的合并范围以控制为基础予以确定。控制，是指本公司拥有对被投资单位的权力，通过参与被投资单位的相关活动而享有可变回报，并且有能力运用对被投资单位的权力影响其回报金额。当相关事实和情况的变化导致对控制定义所涉及的相关要素发生变化时，本公司将进行重新评估。</w:t>
      </w:r>
    </w:p>
    <w:p w14:paraId="44819DF5">
      <w:pPr>
        <w:tabs>
          <w:tab w:val="left" w:pos="0"/>
        </w:tabs>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（2）投资主体的判断依据</w:t>
      </w:r>
      <w:r>
        <w:rPr>
          <w:rFonts w:asciiTheme="minorEastAsia" w:hAnsiTheme="minorEastAsia" w:eastAsiaTheme="minorEastAsia"/>
          <w:color w:val="000000" w:themeColor="text1"/>
          <w14:textFill>
            <w14:solidFill>
              <w14:schemeClr w14:val="tx1"/>
            </w14:solidFill>
          </w14:textFill>
        </w:rPr>
        <w:t xml:space="preserve"> </w:t>
      </w:r>
    </w:p>
    <w:p w14:paraId="3B9586E3">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如果母公司是投资性主体，则只将那些为投资性主体的投资活动提供相关服务的子公司纳入合并范围，其他子公司不予以合并，对不纳入合并范围的子公司的股权投资方确认为以公允价值计量且其变动计入当期损益的金融资产。</w:t>
      </w:r>
      <w:r>
        <w:rPr>
          <w:rFonts w:asciiTheme="minorEastAsia" w:hAnsiTheme="minorEastAsia" w:eastAsiaTheme="minorEastAsia"/>
          <w:color w:val="000000" w:themeColor="text1"/>
          <w14:textFill>
            <w14:solidFill>
              <w14:schemeClr w14:val="tx1"/>
            </w14:solidFill>
          </w14:textFill>
        </w:rPr>
        <w:t xml:space="preserve"> </w:t>
      </w:r>
    </w:p>
    <w:p w14:paraId="726485DB">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当母公司同时满足下列条件时，该母公司属于投资性主体：</w:t>
      </w:r>
      <w:r>
        <w:rPr>
          <w:rFonts w:asciiTheme="minorEastAsia" w:hAnsiTheme="minorEastAsia" w:eastAsiaTheme="minorEastAsia"/>
          <w:color w:val="000000" w:themeColor="text1"/>
          <w14:textFill>
            <w14:solidFill>
              <w14:schemeClr w14:val="tx1"/>
            </w14:solidFill>
          </w14:textFill>
        </w:rPr>
        <w:t xml:space="preserve"> </w:t>
      </w:r>
    </w:p>
    <w:p w14:paraId="15702922">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①该公司是以向投资方提供投资管理服务为目的，从一个或多个投资者处获取资金。</w:t>
      </w:r>
    </w:p>
    <w:p w14:paraId="0AE6B986">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②该公司的唯一经营目的，是通过资本增值、投资收益或两者兼有而让投资者获得回报。</w:t>
      </w:r>
      <w:r>
        <w:rPr>
          <w:rFonts w:asciiTheme="minorEastAsia" w:hAnsiTheme="minorEastAsia" w:eastAsiaTheme="minorEastAsia"/>
          <w:color w:val="000000" w:themeColor="text1"/>
          <w14:textFill>
            <w14:solidFill>
              <w14:schemeClr w14:val="tx1"/>
            </w14:solidFill>
          </w14:textFill>
        </w:rPr>
        <w:t xml:space="preserve"> </w:t>
      </w:r>
    </w:p>
    <w:p w14:paraId="5067F7AF">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③该公司按照公允价值对几乎所有投资的业绩进行考量和评价。</w:t>
      </w:r>
      <w:r>
        <w:rPr>
          <w:rFonts w:asciiTheme="minorEastAsia" w:hAnsiTheme="minorEastAsia" w:eastAsiaTheme="minorEastAsia"/>
          <w:color w:val="000000" w:themeColor="text1"/>
          <w14:textFill>
            <w14:solidFill>
              <w14:schemeClr w14:val="tx1"/>
            </w14:solidFill>
          </w14:textFill>
        </w:rPr>
        <w:t xml:space="preserve">     </w:t>
      </w:r>
    </w:p>
    <w:p w14:paraId="3F95E2A5">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当母公司由非投资性主体转变为投资性主体时，除仅将为其投资活动提供相关服务的子公司纳入合并财务报表范围编制合并财务报表外，企业自转变日起对其他子公司不再予以合并，并参照部分处置子公司股权但未丧失控制权的原则处理。</w:t>
      </w:r>
      <w:r>
        <w:rPr>
          <w:rFonts w:asciiTheme="minorEastAsia" w:hAnsiTheme="minorEastAsia" w:eastAsiaTheme="minorEastAsia"/>
          <w:color w:val="000000" w:themeColor="text1"/>
          <w14:textFill>
            <w14:solidFill>
              <w14:schemeClr w14:val="tx1"/>
            </w14:solidFill>
          </w14:textFill>
        </w:rPr>
        <w:t xml:space="preserve">     </w:t>
      </w:r>
    </w:p>
    <w:p w14:paraId="7424A742">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当母公司由投资性主体转变为非投资性主体时，应将原未纳入合并财务报表范围的子公司于转变日纳入合并财务报表范围，原未纳入合并财务报表范围的子公司在转变日</w:t>
      </w:r>
      <w:r>
        <w:rPr>
          <w:rFonts w:asciiTheme="minorEastAsia" w:hAnsiTheme="minorEastAsia" w:eastAsiaTheme="minorEastAsia"/>
          <w:color w:val="000000" w:themeColor="text1"/>
          <w14:textFill>
            <w14:solidFill>
              <w14:schemeClr w14:val="tx1"/>
            </w14:solidFill>
          </w14:textFill>
        </w:rPr>
        <w:t xml:space="preserve"> </w:t>
      </w:r>
      <w:r>
        <w:rPr>
          <w:rFonts w:hint="eastAsia" w:asciiTheme="minorEastAsia" w:hAnsiTheme="minorEastAsia" w:eastAsiaTheme="minorEastAsia"/>
          <w:color w:val="000000" w:themeColor="text1"/>
          <w14:textFill>
            <w14:solidFill>
              <w14:schemeClr w14:val="tx1"/>
            </w14:solidFill>
          </w14:textFill>
        </w:rPr>
        <w:t>的公允价值视同为购买的交易对价，按照非同一控制下企业合并的会计处理方法进行处理。</w:t>
      </w:r>
    </w:p>
    <w:p w14:paraId="3D318E94">
      <w:pPr>
        <w:tabs>
          <w:tab w:val="left" w:pos="0"/>
        </w:tabs>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（3）合并财务报表范围</w:t>
      </w:r>
    </w:p>
    <w:p w14:paraId="3137AA7E">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本公司将所有控制的子公司（包括本公司所控制的单独主体）纳入合并财务报表范围，包</w:t>
      </w:r>
    </w:p>
    <w:p w14:paraId="3F947EBD">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括被本公司控制的企业、被投资单位中可分割的部分以及结构化主体。控制是指本公司拥有对被投资方的权力，通过参与被投资方的相关活动而享有可变回报，并且有能力运用对被投资方的权力影响该回报金额。</w:t>
      </w:r>
      <w:r>
        <w:rPr>
          <w:rFonts w:asciiTheme="minorEastAsia" w:hAnsiTheme="minorEastAsia" w:eastAsiaTheme="minorEastAsia"/>
          <w:color w:val="000000" w:themeColor="text1"/>
          <w14:textFill>
            <w14:solidFill>
              <w14:schemeClr w14:val="tx1"/>
            </w14:solidFill>
          </w14:textFill>
        </w:rPr>
        <w:t xml:space="preserve"> </w:t>
      </w:r>
    </w:p>
    <w:p w14:paraId="3ECEDFC4">
      <w:pPr>
        <w:tabs>
          <w:tab w:val="left" w:pos="0"/>
        </w:tabs>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（4）统一母子公司的会计政策、统一母子公司的资产负债表日及会计期间</w:t>
      </w:r>
    </w:p>
    <w:p w14:paraId="216B4A81">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子公司与本公司采用的会计政策或会计期间不一致的，在编制合并财务报表时，按照本公司的会计政策或会计期间对子公司财务报表进行必要的调整。</w:t>
      </w:r>
    </w:p>
    <w:p w14:paraId="2C160AB6">
      <w:pPr>
        <w:tabs>
          <w:tab w:val="left" w:pos="0"/>
        </w:tabs>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（5）合并财务报表抵销事项</w:t>
      </w:r>
    </w:p>
    <w:p w14:paraId="64A5A568">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合并财务报表以本公司和子公司的财务报表为基础，根据其他有关资料，由本公司编制。在编制合并财务报表时，本公司与子公司、子公司相互之间所有重大往来余额、交易及未实现利润予以抵销。本公司编制合并财务报表，将整个企业集团视为一个会计主体，依据相关企业会计准则的确认、计量和列报要求，按照统一的会计政策，反映本企业集团整体财务状况、经营成果和现金流量。子公司所有者权益中不属于本公司的份额，作为少数股东权益，在合并资产负债表中所有者权益项目下以“少数股东权益”项目单独列示。子公司当期净损益中属于少数股东权益的份额，在合并利润表中净利润项目下以“少数股东损益”项目列示。少数股东分担的子公司的亏损超过了少数股东在该子公司期初股东权益中所享有的份额，仍然冲减少数股东权益。子公司持有本公司的长期股权投资，视为企业集团的库存股，作为所有者权益的减项，在合并资产负债表中所有者权益项目下以“减：库存股”项目列示。</w:t>
      </w:r>
    </w:p>
    <w:p w14:paraId="41C776F3">
      <w:pPr>
        <w:tabs>
          <w:tab w:val="left" w:pos="0"/>
        </w:tabs>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（6）合并取得子公司会计处理</w:t>
      </w:r>
    </w:p>
    <w:p w14:paraId="1C2B1EE6">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对于同一控制下企业合并取得的子公司，视同该企业合并于自最终控制方开始实施控制时已经发生，从合并当期的期初起将其资产、负债、经营成果和现金流量纳入合并财务报表；对于非同一控制下企业合并取得的子公司，在编制合并财务报表时，以购买日可辨认净资产公允价值为基础对其个别财务报表进行调整。</w:t>
      </w:r>
    </w:p>
    <w:p w14:paraId="3D4D1022">
      <w:pPr>
        <w:tabs>
          <w:tab w:val="left" w:pos="0"/>
        </w:tabs>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（7）处置子公司股权至丧失控制权的会计处理方法</w:t>
      </w:r>
    </w:p>
    <w:p w14:paraId="5070B321">
      <w:pPr>
        <w:tabs>
          <w:tab w:val="left" w:pos="0"/>
        </w:tabs>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①</w:t>
      </w:r>
      <w:r>
        <w:rPr>
          <w:rFonts w:hint="eastAsia" w:asciiTheme="minorEastAsia" w:hAnsiTheme="minorEastAsia" w:eastAsiaTheme="minorEastAsia"/>
          <w:color w:val="000000" w:themeColor="text1"/>
          <w14:textFill>
            <w14:solidFill>
              <w14:schemeClr w14:val="tx1"/>
            </w14:solidFill>
          </w14:textFill>
        </w:rPr>
        <w:t>一般处理方法</w:t>
      </w:r>
    </w:p>
    <w:p w14:paraId="0E94DD78">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在报告期内，公司处置子公司或业务，则该子公司或业务期初至处置日的收入、费用、利润纳入公司合并利润表；该子公司或业务期初至处置日的现金流量纳入公司合并现金流量表。</w:t>
      </w:r>
      <w:r>
        <w:rPr>
          <w:rFonts w:asciiTheme="minorEastAsia" w:hAnsiTheme="minorEastAsia" w:eastAsiaTheme="minorEastAsia"/>
          <w:color w:val="000000" w:themeColor="text1"/>
          <w14:textFill>
            <w14:solidFill>
              <w14:schemeClr w14:val="tx1"/>
            </w14:solidFill>
          </w14:textFill>
        </w:rPr>
        <w:t xml:space="preserve">    </w:t>
      </w:r>
    </w:p>
    <w:p w14:paraId="00010E54">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因处置部分股权投资或其他原因丧失了对被投资方控制权时，对于处置后的剩余股权投资，本公司按照其在丧失控制权日的公允价值进行重新计量。本公司将处置股权取得的对价与剩余股权公允价值之和，减去按原持股比例计算应享有原有子公司自购买日或合并日开始持续计算的净资产的份额与商誉之和的差额，计入丧失控制权当期的投资收益，同时冲减商誉。与原有子公司股权投资相关的其他综合收益等，本公司在丧失控制权时转为当期投资收益。</w:t>
      </w:r>
    </w:p>
    <w:p w14:paraId="438F55CD">
      <w:pPr>
        <w:tabs>
          <w:tab w:val="left" w:pos="0"/>
        </w:tabs>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②</w:t>
      </w:r>
      <w:r>
        <w:rPr>
          <w:rFonts w:hint="eastAsia" w:asciiTheme="minorEastAsia" w:hAnsiTheme="minorEastAsia" w:eastAsiaTheme="minorEastAsia"/>
          <w:color w:val="000000" w:themeColor="text1"/>
          <w14:textFill>
            <w14:solidFill>
              <w14:schemeClr w14:val="tx1"/>
            </w14:solidFill>
          </w14:textFill>
        </w:rPr>
        <w:t>分步处置子公司</w:t>
      </w:r>
    </w:p>
    <w:p w14:paraId="6CDB7688">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本公司通过多次交易分步处置对子公司股权投资直至丧失控制权的，如处置对子公司股权投资的各项交易的条款、条件以及经济影响符合以下一种或多种情况，本公司将多次交易事项作为一揽子交易进行会计处理：</w:t>
      </w:r>
    </w:p>
    <w:p w14:paraId="3A5F3E09">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ⅰ．这些交易是同时或者在考虑了彼此影响的情况下订立的；</w:t>
      </w:r>
    </w:p>
    <w:p w14:paraId="72DBB835">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ⅱ．这些交易整体才能达成一项完整的商业结果；</w:t>
      </w:r>
    </w:p>
    <w:p w14:paraId="7236BA65">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ⅲ．一项交易的发生取决于其他至少一项交易的发生；</w:t>
      </w:r>
    </w:p>
    <w:p w14:paraId="38999952">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ⅳ．一项交易单独看是不经济的，但是和其他交易一并考虑时是经济的。</w:t>
      </w:r>
    </w:p>
    <w:p w14:paraId="779BB687">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处置对子公司股权投资直至丧失控制权的各项交易属于一揽子交易的，本公司将各项交易作为一项处置子公司并丧失控制权的交易进行会计处理；但是，在丧失控制权之前每一次处置价款与处置投资对应的享有该子公司净资产份额的差额，本公司在合并财务报表中确认为其他综合收益，在丧失控制权时一并转入丧失控制权当期的损益。</w:t>
      </w:r>
    </w:p>
    <w:p w14:paraId="2BB64DC8">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处置对子公司股权投资直至丧失控制权的各项交易不属于一揽子交易的，在丧失控制权之前，本公司按不丧失控制权的情况下部分处置对子公司的股权投资的相关政策进行会计处理；在丧失控制权时，按处置子公司一般处理方法进行会计处理。</w:t>
      </w:r>
    </w:p>
    <w:p w14:paraId="0BD2CB80">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（8）购买子公司少数股权</w:t>
      </w:r>
    </w:p>
    <w:p w14:paraId="764F33AC">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本公司因购买少数股权新取得的长期股权投资成本与按照新增持股比例计算应享有子公司自购买日（或合并日）开始持续计算的净资产份额之间的差额，调整合并资产负债表中的资本公积中的股本溢价，资本公积中的股本溢价不足冲减的，调整留存收益。</w:t>
      </w:r>
    </w:p>
    <w:p w14:paraId="0D541698">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9</w:t>
      </w:r>
      <w:r>
        <w:rPr>
          <w:rFonts w:hint="eastAsia" w:asciiTheme="minorEastAsia" w:hAnsiTheme="minorEastAsia" w:eastAsiaTheme="minorEastAsia"/>
          <w:color w:val="000000" w:themeColor="text1"/>
          <w14:textFill>
            <w14:solidFill>
              <w14:schemeClr w14:val="tx1"/>
            </w14:solidFill>
          </w14:textFill>
        </w:rPr>
        <w:t>）不丧失控制权的情况下部分处置对子公司的股权投资</w:t>
      </w:r>
    </w:p>
    <w:p w14:paraId="6DF36D14">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本公司在不丧失控制权的情况下因部分处置对子公司的长期股权投资而取得的处置价款与处置长期股权投资相对应享有子公司自购买日或合并日开始持续计算的净资产份额之间的差额，调整合并资产负债表中的资本公积中的股本溢价，资本公积中的股本溢价不足冲减的，调整留存收益。</w:t>
      </w:r>
    </w:p>
    <w:p w14:paraId="66A2DDA3">
      <w:pPr>
        <w:pStyle w:val="4"/>
        <w:numPr>
          <w:ilvl w:val="0"/>
          <w:numId w:val="33"/>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合营安排</w:t>
      </w:r>
      <w:r>
        <w:rPr>
          <w:rFonts w:hint="eastAsia" w:ascii="宋体" w:hAnsi="宋体"/>
          <w:color w:val="000000" w:themeColor="text1"/>
          <w14:textFill>
            <w14:solidFill>
              <w14:schemeClr w14:val="tx1"/>
            </w14:solidFill>
          </w14:textFill>
        </w:rPr>
        <w:t>分类</w:t>
      </w:r>
      <w:r>
        <w:rPr>
          <w:rFonts w:hint="eastAsia" w:ascii="宋体" w:hAnsi="宋体"/>
          <w:color w:val="000000" w:themeColor="text1"/>
          <w:szCs w:val="21"/>
          <w14:textFill>
            <w14:solidFill>
              <w14:schemeClr w14:val="tx1"/>
            </w14:solidFill>
          </w14:textFill>
        </w:rPr>
        <w:t>及共同经营会计处理方法</w:t>
      </w:r>
    </w:p>
    <w:sdt>
      <w:sdtPr>
        <w:rPr>
          <w:rFonts w:hint="eastAsia"/>
          <w:color w:val="000000" w:themeColor="text1"/>
          <w14:textFill>
            <w14:solidFill>
              <w14:schemeClr w14:val="tx1"/>
            </w14:solidFill>
          </w14:textFill>
        </w:rPr>
        <w:alias w:val="是否适用：合营安排分类及共同经营会计处理方法[双击切换]"/>
        <w:tag w:val="_GBC_f94c8519453541fe9de852d3064d61d5"/>
        <w:id w:val="182633245"/>
        <w:placeholder>
          <w:docPart w:val="GBC22222222222222222222222222222"/>
        </w:placeholder>
      </w:sdtPr>
      <w:sdtEndPr>
        <w:rPr>
          <w:rFonts w:hint="eastAsia"/>
          <w:color w:val="000000" w:themeColor="text1"/>
          <w14:textFill>
            <w14:solidFill>
              <w14:schemeClr w14:val="tx1"/>
            </w14:solidFill>
          </w14:textFill>
        </w:rPr>
      </w:sdtEndPr>
      <w:sdtContent>
        <w:p w14:paraId="111DB4E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合营安排分类及共同经营会计处理方法"/>
        <w:tag w:val="_GBC_cf67ede4230c4056b34792c6a0db55e2"/>
        <w:id w:val="-2050830855"/>
        <w:placeholder>
          <w:docPart w:val="GBC22222222222222222222222222222"/>
        </w:placeholder>
      </w:sdtPr>
      <w:sdtEndPr>
        <w:rPr>
          <w:color w:val="auto"/>
        </w:rPr>
      </w:sdtEndPr>
      <w:sdtContent>
        <w:sdt>
          <w:sdtPr>
            <w:rPr>
              <w:color w:val="000000" w:themeColor="text1"/>
              <w14:textFill>
                <w14:solidFill>
                  <w14:schemeClr w14:val="tx1"/>
                </w14:solidFill>
              </w14:textFill>
            </w:rPr>
            <w:alias w:val="合营安排分类及共同经营会计处理方法"/>
            <w:tag w:val="_GBC_cf67ede4230c4056b34792c6a0db55e2"/>
            <w:id w:val="-575588706"/>
          </w:sdtPr>
          <w:sdtEndPr>
            <w:rPr>
              <w:color w:val="auto"/>
            </w:rPr>
          </w:sdtEndPr>
          <w:sdtContent>
            <w:p w14:paraId="7D112C5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合营安排，是指一项由两个或两个以上的参与方共同控制的安排。本公司根据在合营安排中享有的权利和承担的义务，将合营安排分为共同经营和合营企业。</w:t>
              </w:r>
            </w:p>
            <w:p w14:paraId="16DE971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（1）共同经营</w:t>
              </w:r>
            </w:p>
            <w:p w14:paraId="0EE8C0C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当本公司是合营安排的合营方，享有该安排相关资产且承担该安排相关负债时，为共同经营。</w:t>
              </w:r>
            </w:p>
            <w:p w14:paraId="282674E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确认与共同经营中利益份额相关的下列项目，并按照相关企业会计准则的规定进行会计处理：①确认本公司单独所持有的资产，以及按本公司份额确认共同持有的资产；②确认本公司单独所承担的负债，以及按本公司份额确认共同承担的负债；③确认出售本公司享有的共同经营产出份额所产生的收入；④按本公司份额确认共同经营因出售产出所产生的收入；⑤确认单独所发生的费用，以及按本公司份额确认共同经营发生的费用。</w:t>
              </w:r>
            </w:p>
            <w:p w14:paraId="665E6ED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当本公司作为合营方向共同经营投出或出售资产（该资产不构成业务，下同）、或者自共同经营购买资产时，在该等资产出售给第三方之前，本公司仅确认因该交易产生的损益中归属于共同经营其他参与方的部分。该等资产发生符合《企业会计准则第 8 号——资产减值》等规定的资产减值损失的，对于由本公司向共同经营投出或出售资产的情况，本公司全额确认该损失；对于本公司自共同经营购买资产的情况，本公司按承担的份额确认该损失。 </w:t>
              </w:r>
            </w:p>
            <w:p w14:paraId="4FCF3A8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（2）合营企业</w:t>
              </w:r>
            </w:p>
            <w:p w14:paraId="5C04E94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合营企业，是指本公司仅对该安排的净资产享有权利的合营安排。本公司对合营企业的投资采用权益法核算，相关会计政策如下：</w:t>
              </w:r>
            </w:p>
            <w:p w14:paraId="4376A81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（1）初始投资成本确定</w:t>
              </w:r>
            </w:p>
            <w:p w14:paraId="6C6A2E6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①对于本公司合并取得的长期股权投资，如为同一控制下的企业合并，按照取得被合并方所有者权益账面价值的份额确认为初始成本；如为非同一控制下的企业合并，按购买日确定的合并成本确认为初始成本；</w:t>
              </w:r>
            </w:p>
            <w:p w14:paraId="560FFCC2">
              <w:pPr>
                <w:spacing w:line="360" w:lineRule="auto"/>
                <w:ind w:firstLine="420" w:firstLineChars="20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②</w:t>
              </w:r>
              <w:r>
                <w:rPr>
                  <w:rFonts w:hint="eastAsia"/>
                  <w:color w:val="000000" w:themeColor="text1"/>
                  <w14:textFill>
                    <w14:solidFill>
                      <w14:schemeClr w14:val="tx1"/>
                    </w14:solidFill>
                  </w14:textFill>
                </w:rPr>
                <w:t>本公司对于除合并形成的长期股权投资外的其他股权投资，以支付现金取得的长期股权投资，初始投资成本为实际支付的购买价款；以发行权益性证券取得的长期股权投资，初始投资成本为发行权益性证券的公允价值；通过债务重组取得的长期股权投资，其初始投资成本按照《企业会计准则第12号——债务重组》的有关规定确定；非货币性资产交换取得，初始投资成本根据准则相关规定确定。</w:t>
              </w:r>
            </w:p>
            <w:p w14:paraId="2B78DE99">
              <w:pPr>
                <w:pStyle w:val="55"/>
                <w:numPr>
                  <w:ilvl w:val="0"/>
                  <w:numId w:val="34"/>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后续计量及损益确认方法</w:t>
              </w:r>
            </w:p>
            <w:p w14:paraId="5D8C8554">
              <w:pPr>
                <w:spacing w:line="360" w:lineRule="auto"/>
                <w:ind w:firstLine="420" w:firstLineChars="20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①</w:t>
              </w:r>
              <w:r>
                <w:rPr>
                  <w:rFonts w:hint="eastAsia"/>
                  <w:color w:val="000000" w:themeColor="text1"/>
                  <w14:textFill>
                    <w14:solidFill>
                      <w14:schemeClr w14:val="tx1"/>
                    </w14:solidFill>
                  </w14:textFill>
                </w:rPr>
                <w:t>成本法核算</w:t>
              </w:r>
            </w:p>
            <w:p w14:paraId="0080278E">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能够对被投资单位实施控制的长期股权投资采用成本法核算。采用成本法核算的长期股权投资，除追加或收回投资外，账面价值一般不变。对被投资企业宣告分派的利润或现金股利，本公司计算应分得的部分，确认为投资收益。 </w:t>
              </w:r>
            </w:p>
            <w:p w14:paraId="70A212D5">
              <w:pPr>
                <w:pStyle w:val="55"/>
                <w:numPr>
                  <w:ilvl w:val="0"/>
                  <w:numId w:val="35"/>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权益法核算   </w:t>
              </w:r>
            </w:p>
            <w:p w14:paraId="7AEB0928">
              <w:pPr>
                <w:pStyle w:val="55"/>
                <w:spacing w:line="360" w:lineRule="auto"/>
                <w:ind w:left="105"/>
                <w:rPr>
                  <w:color w:val="000000" w:themeColor="text1"/>
                  <w14:textFill>
                    <w14:solidFill>
                      <w14:schemeClr w14:val="tx1"/>
                    </w14:solidFill>
                  </w14:textFill>
                </w:rPr>
              </w:pPr>
              <w:r>
                <w:rPr>
                  <w:rFonts w:hint="eastAsia"/>
                  <w:color w:val="000000" w:themeColor="text1"/>
                  <w14:textFill>
                    <w14:solidFill>
                      <w14:schemeClr w14:val="tx1"/>
                    </w14:solidFill>
                  </w14:textFill>
                </w:rPr>
                <w:t>本公司对联营企业和合营企业的长期股权投资采用权益法核算。采用权益法核算时，长期股权投资的初始投资成本大于投资时应享有被投资单位可辨认净资产公允价值份额的，不调整长期股权投资的初始投资成本；初始投资成本小于投资时应享有被投资单位可辨认净资产公允价值份额的，其差额计入当期损益，同时调整长期股权投资的成本。</w:t>
              </w:r>
            </w:p>
            <w:p w14:paraId="5A9D6DBD">
              <w:pPr>
                <w:pStyle w:val="55"/>
                <w:spacing w:line="360" w:lineRule="auto"/>
                <w:ind w:left="105"/>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采用权益法核算时，本公司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资本公积。本公司在确认应享有被投资单位净损益的份额时，以取得投资时被投资单位各项可辨认资产等的公允价值为基础，对被投资单位的净利润进行调整后确认。被投资单位采用的会计政策及会计期间与本公司不一致的，按照本公司的会计政策及会计期间对被投资单位的财务报表进行调整，并据以确认投资收益和其他综合收益。 </w:t>
              </w:r>
            </w:p>
            <w:p w14:paraId="0F5BBB71">
              <w:pPr>
                <w:pStyle w:val="55"/>
                <w:spacing w:line="360" w:lineRule="auto"/>
                <w:ind w:left="105"/>
                <w:rPr>
                  <w:color w:val="000000" w:themeColor="text1"/>
                  <w14:textFill>
                    <w14:solidFill>
                      <w14:schemeClr w14:val="tx1"/>
                    </w14:solidFill>
                  </w14:textFill>
                </w:rPr>
              </w:pPr>
              <w:r>
                <w:rPr>
                  <w:rFonts w:hint="eastAsia"/>
                  <w:color w:val="000000" w:themeColor="text1"/>
                  <w14:textFill>
                    <w14:solidFill>
                      <w14:schemeClr w14:val="tx1"/>
                    </w14:solidFill>
                  </w14:textFill>
                </w:rPr>
                <w:t>本公司在确认应分担被投资单位发生的净亏损时，以长期股权投资的账面价值和其他实质上构成对被投资单位净投资的长期权益减记至零为限。此外，如本公司对被投资单位负有承担额外损失的义务，则按预计承担的义务确认预计负债，计入当期投资损失。被投资单位以后期间实现净利润的，本公司在收益分享额弥补未确认的亏损分担额后，恢复确认收益分享额。</w:t>
              </w:r>
            </w:p>
            <w:p w14:paraId="72979EED">
              <w:pPr>
                <w:pStyle w:val="55"/>
                <w:numPr>
                  <w:ilvl w:val="0"/>
                  <w:numId w:val="34"/>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长期股权投资核算方法的转换 </w:t>
              </w:r>
            </w:p>
            <w:p w14:paraId="78B1C92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①公允价值计量转权益法核算：本公司原持有的对被投资单位的股权投资（不具有控制、共同控制或重大影响的），按照金融工具确认和计量准则进行会计处理的，因追加投资等原因导致持股比例上升，能够对被投资单位施加共同控制或重大影响的，在转按权益法核算时，本公司按照金融工具确认和计量准则确定的原股权投资的公允价值加上为取得新增投资而应支付对价的公允价值，作为改按权益法核算的初始投资成本。</w:t>
              </w:r>
            </w:p>
            <w:p w14:paraId="02982AD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②公允价值计量或权益法核算转成本法核算：本公司原持有的对被投资单位不具有控制、共同控制或重大影响的按照金融工具确认和计量准则进行会计处理的权益性投资，或者原持有对联营企业、合营企业的长期股权投资，因追加投资等原因，能够对被投资单位实施控制的，按有关企业合并形成的长期股权投资进行会计处理。</w:t>
              </w:r>
            </w:p>
            <w:p w14:paraId="0AB448F1">
              <w:pPr>
                <w:spacing w:line="360" w:lineRule="auto"/>
                <w:ind w:firstLine="420" w:firstLineChars="20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③</w:t>
              </w:r>
              <w:r>
                <w:rPr>
                  <w:rFonts w:hint="eastAsia"/>
                  <w:color w:val="000000" w:themeColor="text1"/>
                  <w14:textFill>
                    <w14:solidFill>
                      <w14:schemeClr w14:val="tx1"/>
                    </w14:solidFill>
                  </w14:textFill>
                </w:rPr>
                <w:t>权益法核算转公允价值计量：本公司原持有的对被投资单位具有共同控制或重大影响的长期股权投资，因部分处置等原因导致持股比例下降，不能再对被投资单位实施共同控制或重大影响的，改按金融工具确认和计量准则对剩余股权投资进行会计处理，其在丧失共同控制或重大影响之日的公允价值与账面价值之间的差额计入当期损益。</w:t>
              </w:r>
            </w:p>
            <w:p w14:paraId="3633F1E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④成本法转权益法或公允价值计量： 本公司因处置部分权益性投资等原因丧失了对被投资单位的控制的，在编制个别财务报表时，处置后的剩余股权能够对被投资单位实施共同控制或施加重大影响的，本公司改按权益法核算，并对该剩余股权视同自取得时即采用权益法核算进行调整；处置后的剩余股权不能对被投资单位实施共同控制或施加重大影响的，本公司改按《企业会计准则第22号——金融工具确认和计量》的有关规定进行会计处理，其在丧失控制之日的公允价值与账面价值间的差额计入当期损益。在编制合并财务报表时，按照《企业会计准则第33号——合并财务报表》的有关规定进行会计处理。</w:t>
              </w:r>
            </w:p>
            <w:p w14:paraId="1EED1012">
              <w:pPr>
                <w:pStyle w:val="55"/>
                <w:numPr>
                  <w:ilvl w:val="0"/>
                  <w:numId w:val="34"/>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确定对被投资单位具有共同控制、重大影响的依据</w:t>
              </w:r>
            </w:p>
            <w:p w14:paraId="3A1AEC3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共同控制，是指按照相关约定对某项安排所共有的控制，并且该安排的相关活动必须经过分享控制权的参与方一致同意后才能决策。如果所有参与方或一组参与方必须一致行动才能决定某项安排的相关活动，则认为所有参与方或一组参与方集体控制该安排。在判断是否存在共同控制时，首先判断是否由所有参与方或参与方组合集体控制该安排，其次再判断该安排相关活动的决策是否必须经过这些集体控制该安排的参与方一致同意。如果存在两个或两个以上的参与方组合能够集体控制某项安排的，不构成共同控制。判断是否存在共同控制时，不考虑享有的保护性权利。</w:t>
              </w:r>
            </w:p>
            <w:p w14:paraId="5A6CCF6B">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重大影响，是指投资方对被投资单位的财务和经营政策有参与决策的权力，但并不能 够控制或者与其他方一起共同控制这些政策的制定。本公司在确定能否对被投资单位施加重大影响时，考虑直接或间接持有被投资单位的表决权股份以及本公司及其他方持有的当期可执行潜在表决权在假定转换为对被投资方单位的股权后产生的影响，包括被投资单位发行的当期可转换的认股权证、股份期权及可转换公司债券等的影响。</w:t>
              </w:r>
            </w:p>
            <w:p w14:paraId="051765E9">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当本公司直接或通过子公司间接拥有被投资单位20%（含20%）以上但低于50%的表决权股份时，一般认为对被投资单位具有重大影响，除非有明确证据表明该种情况下不能参与被投资单位的生产经营决策，不形成重大影响。</w:t>
              </w:r>
            </w:p>
            <w:p w14:paraId="2AE86FA5">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本公司通常通过以下一种或几种情形来判断是否对被投资单位具有重大影响：</w:t>
              </w:r>
            </w:p>
            <w:p w14:paraId="6C6B384A">
              <w:pPr>
                <w:pStyle w:val="55"/>
                <w:numPr>
                  <w:ilvl w:val="0"/>
                  <w:numId w:val="36"/>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在被投资单位的董事会或类似权力机构中派有代表。</w:t>
              </w:r>
            </w:p>
            <w:p w14:paraId="63B2FCFB">
              <w:pPr>
                <w:pStyle w:val="55"/>
                <w:numPr>
                  <w:ilvl w:val="0"/>
                  <w:numId w:val="36"/>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参与被投资单位财务和经营政策制定过程。</w:t>
              </w:r>
            </w:p>
            <w:p w14:paraId="3E0267DD">
              <w:pPr>
                <w:pStyle w:val="55"/>
                <w:numPr>
                  <w:ilvl w:val="0"/>
                  <w:numId w:val="37"/>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与被投资单位之间发生重要交易。</w:t>
              </w:r>
            </w:p>
            <w:p w14:paraId="469EF255">
              <w:pPr>
                <w:pStyle w:val="55"/>
                <w:numPr>
                  <w:ilvl w:val="0"/>
                  <w:numId w:val="37"/>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向被投资单位派出管理人员。</w:t>
              </w:r>
            </w:p>
            <w:p w14:paraId="7A98E751">
              <w:pPr>
                <w:pStyle w:val="55"/>
                <w:numPr>
                  <w:ilvl w:val="0"/>
                  <w:numId w:val="37"/>
                </w:numPr>
                <w:spacing w:line="360" w:lineRule="auto"/>
                <w:ind w:firstLineChars="0"/>
                <w:rPr>
                  <w:b/>
                  <w:bCs w:val="0"/>
                  <w:color w:val="000000" w:themeColor="text1"/>
                  <w14:textFill>
                    <w14:solidFill>
                      <w14:schemeClr w14:val="tx1"/>
                    </w14:solidFill>
                  </w14:textFill>
                </w:rPr>
              </w:pPr>
              <w:r>
                <w:rPr>
                  <w:rFonts w:hint="eastAsia"/>
                  <w:color w:val="000000" w:themeColor="text1"/>
                  <w14:textFill>
                    <w14:solidFill>
                      <w14:schemeClr w14:val="tx1"/>
                    </w14:solidFill>
                  </w14:textFill>
                </w:rPr>
                <w:t>向被投资单位提供关键技术资料。</w:t>
              </w:r>
            </w:p>
            <w:p w14:paraId="349BBF64">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存在上述一种或多种情形并不意味着本公司一定对被投资单位具有重大影响，本公司需要综合考虑所有事实和情况来做出恰当的判断。</w:t>
              </w:r>
            </w:p>
            <w:p w14:paraId="18B838D0">
              <w:pPr>
                <w:pStyle w:val="55"/>
                <w:numPr>
                  <w:ilvl w:val="0"/>
                  <w:numId w:val="34"/>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长期股权投资处置 </w:t>
              </w:r>
            </w:p>
            <w:p w14:paraId="3BB27B21">
              <w:pPr>
                <w:spacing w:line="360" w:lineRule="auto"/>
                <w:ind w:firstLine="105" w:firstLineChars="50"/>
                <w:rPr>
                  <w:b/>
                  <w:bCs w:val="0"/>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本公司处置长期股权投资时，将投资账面价值与实际取得价款之间的差额计入当期损益。采用权益法核算的长期股权投资，在处置该项投资时，采用与被投资单位直接处置相关资产或负债相同的基础，按相应比例对原计入其他综合收益的部分进行会计处理。</w:t>
              </w:r>
            </w:p>
          </w:sdtContent>
        </w:sdt>
      </w:sdtContent>
    </w:sdt>
    <w:p w14:paraId="492A8012">
      <w:pPr>
        <w:rPr>
          <w:color w:val="000000" w:themeColor="text1"/>
          <w14:textFill>
            <w14:solidFill>
              <w14:schemeClr w14:val="tx1"/>
            </w14:solidFill>
          </w14:textFill>
        </w:rPr>
      </w:pPr>
    </w:p>
    <w:p w14:paraId="7E801FA2">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现金及现金等价物的确定标准</w:t>
      </w:r>
    </w:p>
    <w:sdt>
      <w:sdtPr>
        <w:rPr>
          <w:rFonts w:hint="eastAsia"/>
          <w:color w:val="000000" w:themeColor="text1"/>
          <w14:textFill>
            <w14:solidFill>
              <w14:schemeClr w14:val="tx1"/>
            </w14:solidFill>
          </w14:textFill>
        </w:rPr>
        <w:alias w:val="现金及现金等价物的确定标准"/>
        <w:tag w:val="_GBC_54f6bc3e44e840bc85cb3872600823b5"/>
        <w:id w:val="802810821"/>
        <w:placeholder>
          <w:docPart w:val="GBC22222222222222222222222222222"/>
        </w:placeholder>
      </w:sdtPr>
      <w:sdtEndPr>
        <w:rPr>
          <w:rFonts w:hint="default"/>
          <w:color w:val="000000" w:themeColor="text1"/>
          <w14:textFill>
            <w14:solidFill>
              <w14:schemeClr w14:val="tx1"/>
            </w14:solidFill>
          </w14:textFill>
        </w:rPr>
      </w:sdtEndPr>
      <w:sdtContent>
        <w:p w14:paraId="07913003">
          <w:pPr>
            <w:spacing w:line="360" w:lineRule="auto"/>
            <w:ind w:firstLine="420" w:firstLineChars="200"/>
            <w:rPr>
              <w:color w:val="000000" w:themeColor="text1"/>
              <w14:textFill>
                <w14:solidFill>
                  <w14:schemeClr w14:val="tx1"/>
                </w14:solidFill>
              </w14:textFill>
            </w:rPr>
          </w:pPr>
          <w:sdt>
            <w:sdtPr>
              <w:rPr>
                <w:color w:val="000000" w:themeColor="text1"/>
                <w14:textFill>
                  <w14:solidFill>
                    <w14:schemeClr w14:val="tx1"/>
                  </w14:solidFill>
                </w14:textFill>
              </w:rPr>
              <w:alias w:val="现金及现金等价物的确定标准"/>
              <w:tag w:val="_GBC_54f6bc3e44e840bc85cb3872600823b5"/>
              <w:id w:val="-1690674009"/>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本公司编制现金流量表时所确定的现金，是指公司库存现金以及可以随时用于支付的存款。本公司在编制现金流量表时所确定的现金等价物，是指本公司持有的期限短、流动性强、易于转换为已知金额现金、价值变动风险很小的投资。</w:t>
              </w:r>
            </w:sdtContent>
          </w:sdt>
        </w:p>
      </w:sdtContent>
    </w:sdt>
    <w:p w14:paraId="67EBA579">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外币业务和外币报表折算</w:t>
      </w:r>
    </w:p>
    <w:sdt>
      <w:sdtPr>
        <w:rPr>
          <w:rFonts w:hint="eastAsia"/>
          <w:color w:val="000000" w:themeColor="text1"/>
          <w14:textFill>
            <w14:solidFill>
              <w14:schemeClr w14:val="tx1"/>
            </w14:solidFill>
          </w14:textFill>
        </w:rPr>
        <w:alias w:val="是否适用：外币业务和外币报表折算[双击切换]"/>
        <w:tag w:val="_GBC_cd1fc5c05f5e49ed9ea2fffe41d0d113"/>
        <w:id w:val="1656796596"/>
        <w:placeholder>
          <w:docPart w:val="GBC22222222222222222222222222222"/>
        </w:placeholder>
      </w:sdtPr>
      <w:sdtEndPr>
        <w:rPr>
          <w:rFonts w:hint="eastAsia"/>
          <w:color w:val="000000" w:themeColor="text1"/>
          <w14:textFill>
            <w14:solidFill>
              <w14:schemeClr w14:val="tx1"/>
            </w14:solidFill>
          </w14:textFill>
        </w:rPr>
      </w:sdtEndPr>
      <w:sdtContent>
        <w:p w14:paraId="5638109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rFonts w:hint="eastAsia"/>
          <w:color w:val="000000" w:themeColor="text1"/>
          <w14:textFill>
            <w14:solidFill>
              <w14:schemeClr w14:val="tx1"/>
            </w14:solidFill>
          </w14:textFill>
        </w:rPr>
        <w:alias w:val="外币业务核算方法"/>
        <w:tag w:val="_GBC_1703fe5fc56b42a8972c0906a4ac6d6b"/>
        <w:id w:val="545725595"/>
        <w:placeholder>
          <w:docPart w:val="GBC22222222222222222222222222222"/>
        </w:placeholder>
      </w:sdtPr>
      <w:sdtEndPr>
        <w:rPr>
          <w:rFonts w:hint="eastAsia"/>
          <w:color w:val="000000" w:themeColor="text1"/>
          <w14:textFill>
            <w14:solidFill>
              <w14:schemeClr w14:val="tx1"/>
            </w14:solidFill>
          </w14:textFill>
        </w:rPr>
      </w:sdtEndPr>
      <w:sdtContent>
        <w:sdt>
          <w:sdtPr>
            <w:rPr>
              <w:color w:val="000000" w:themeColor="text1"/>
              <w14:textFill>
                <w14:solidFill>
                  <w14:schemeClr w14:val="tx1"/>
                </w14:solidFill>
              </w14:textFill>
            </w:rPr>
            <w:alias w:val="外币业务核算方法"/>
            <w:tag w:val="_GBC_1703fe5fc56b42a8972c0906a4ac6d6b"/>
            <w:id w:val="425000311"/>
          </w:sdtPr>
          <w:sdtEndPr>
            <w:rPr>
              <w:color w:val="000000" w:themeColor="text1"/>
              <w14:textFill>
                <w14:solidFill>
                  <w14:schemeClr w14:val="tx1"/>
                </w14:solidFill>
              </w14:textFill>
            </w:rPr>
          </w:sdtEndPr>
          <w:sdtContent>
            <w:p w14:paraId="4BD33D1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（1）外币业务折算</w:t>
              </w:r>
            </w:p>
            <w:p w14:paraId="54114E2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本公司对发生的外币交易，采用交易发生日即期汇率折合本位币入账。</w:t>
              </w:r>
            </w:p>
            <w:p w14:paraId="01DAF5F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资产负债表日外币货币性项目按资产负债表日即期汇率折算，因该日的即期汇率与初始确</w:t>
              </w:r>
            </w:p>
            <w:p w14:paraId="3F6AC563">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认时或者前一资产负债表日即期汇率不同而产生的汇兑差额，除符合资本化条件的外币专门借款的汇兑差额在资本化期间予以资本化计入相关资产的成本外，均计入当期损益。</w:t>
              </w:r>
            </w:p>
            <w:p w14:paraId="2AE70016">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以历史成本计量的外币非货币性项目，仍采用交易发生日的即期汇率折算，不改变其记账本位币金额。以公允价值计量的外币非货币性项目，采用公允价值确定日的即期汇率折算，折算后的记账本位币金额与原记账本位币金额的差额，作为公允价值变动(含汇率变动)处理，计入当期损益或确认为其他综合收益并计入资本公积。</w:t>
              </w:r>
            </w:p>
            <w:p w14:paraId="0A4366A4">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（2）外币财务报表折算</w:t>
              </w:r>
            </w:p>
            <w:p w14:paraId="7B35FDCF">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本公司的控股子公司、合营企业、联营企业等，若采用与本公司不同的记账本位币，需对其外币财务报表折算后，再进行会计核算及合并财务报表的编报。 </w:t>
              </w:r>
            </w:p>
            <w:p w14:paraId="540EAC08">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资产负债表中的资产和负债项目，采用资产负债表日的即期汇率折算，所有者权益项目除“未分配利润”项目外，其他项目采用发生时的即期汇率折算。利润表中的收入和费用项目，采用交易发生日的即期汇率折算。折算产生的外币财务报表折算差额，在资产负债表中所有者权益项目其他综合收益下列示。</w:t>
              </w:r>
            </w:p>
            <w:p w14:paraId="481AEC6E">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外币现金流量按照系统合理方法确定的，采用交易发生日的即期汇率折算。汇率变动对现金的影响额，在现金流量表中单独列示。</w:t>
              </w:r>
            </w:p>
            <w:p w14:paraId="3FE221F7">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处置境外经营时，与该境外经营有关的外币报表折算差额，全部或按处置该境外经营的比例转入处置当期损益。</w:t>
              </w:r>
            </w:p>
          </w:sdtContent>
        </w:sdt>
      </w:sdtContent>
    </w:sdt>
    <w:p w14:paraId="613DCCC8">
      <w:pPr>
        <w:rPr>
          <w:color w:val="000000" w:themeColor="text1"/>
          <w14:textFill>
            <w14:solidFill>
              <w14:schemeClr w14:val="tx1"/>
            </w14:solidFill>
          </w14:textFill>
        </w:rPr>
      </w:pPr>
    </w:p>
    <w:p w14:paraId="1AE5FC82">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金融工具</w:t>
      </w:r>
    </w:p>
    <w:sdt>
      <w:sdtPr>
        <w:rPr>
          <w:rFonts w:hint="eastAsia"/>
          <w:color w:val="000000" w:themeColor="text1"/>
          <w14:textFill>
            <w14:solidFill>
              <w14:schemeClr w14:val="tx1"/>
            </w14:solidFill>
          </w14:textFill>
        </w:rPr>
        <w:alias w:val="是否适用：金融工具_重要会计政策和估计[双击切换]"/>
        <w:tag w:val="_GBC_285bdf73a629411f9c5d05731712b876"/>
        <w:id w:val="-1416170266"/>
        <w:placeholder>
          <w:docPart w:val="GBC22222222222222222222222222222"/>
        </w:placeholder>
      </w:sdtPr>
      <w:sdtEndPr>
        <w:rPr>
          <w:rFonts w:hint="eastAsia"/>
          <w:color w:val="000000" w:themeColor="text1"/>
          <w14:textFill>
            <w14:solidFill>
              <w14:schemeClr w14:val="tx1"/>
            </w14:solidFill>
          </w14:textFill>
        </w:rPr>
      </w:sdtEndPr>
      <w:sdtContent>
        <w:p w14:paraId="0414D7A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rFonts w:hint="eastAsia"/>
          <w:color w:val="000000" w:themeColor="text1"/>
          <w14:textFill>
            <w14:solidFill>
              <w14:schemeClr w14:val="tx1"/>
            </w14:solidFill>
          </w14:textFill>
        </w:rPr>
        <w:alias w:val="金融资产和金融负债的核算方法"/>
        <w:tag w:val="_GBC_b358067bbe2a49bf880c383a5db50d8a"/>
        <w:id w:val="-93944781"/>
        <w:placeholder>
          <w:docPart w:val="GBC22222222222222222222222222222"/>
        </w:placeholder>
      </w:sdtPr>
      <w:sdtEndPr>
        <w:rPr>
          <w:rFonts w:hint="eastAsia"/>
          <w:color w:val="000000" w:themeColor="text1"/>
          <w14:textFill>
            <w14:solidFill>
              <w14:schemeClr w14:val="tx1"/>
            </w14:solidFill>
          </w14:textFill>
        </w:rPr>
      </w:sdtEndPr>
      <w:sdtContent>
        <w:p w14:paraId="21F4F0F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金融工具，是指形成一方的金融资产并形成其他方的金融负债或权益工具的合同。在本公司成为金融工具合同的一方时确认一项金融资产或金融负债、权益工具。   </w:t>
          </w:r>
        </w:p>
        <w:p w14:paraId="70A8760E">
          <w:pPr>
            <w:pStyle w:val="55"/>
            <w:numPr>
              <w:ilvl w:val="0"/>
              <w:numId w:val="38"/>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金融资产的分类、确认和计量 </w:t>
          </w:r>
        </w:p>
        <w:p w14:paraId="7F58A68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初始确认金融资产时，本公司根据管理金融资产的业务模式和金融资产的合同现金流量特征将金融资产划分为：以摊余成本计量的金融资产；以公允价值计量且其变动计入其他综合收益的金融资产；以公允价值计量且其变动计入当期损益的金融资产。</w:t>
          </w:r>
        </w:p>
        <w:p w14:paraId="3B5B90F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金融资产在初始确认时以公允价值计量。对于以公允价值计量且其变动计入当期损益的金融资产，相关交易费用直接计入当期损益；对于其他类别的金融资产，相关交易费用计入初始确认金额。因销售产品或提供劳务而产生的、未包含或不考虑重大融资成分的应收账款或应收票据等，本公司按照预期有权收取的对价金额作为初始确认金额。</w:t>
          </w:r>
        </w:p>
        <w:p w14:paraId="6C64F923">
          <w:pPr>
            <w:spacing w:line="360" w:lineRule="auto"/>
            <w:ind w:firstLine="525" w:firstLineChars="25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(1)本公司持有的债务工具： </w:t>
          </w:r>
        </w:p>
        <w:p w14:paraId="3B662C39">
          <w:pPr>
            <w:spacing w:line="360" w:lineRule="auto"/>
            <w:ind w:firstLine="525" w:firstLineChars="25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①</w:t>
          </w:r>
          <w:r>
            <w:rPr>
              <w:rFonts w:hint="eastAsia"/>
              <w:color w:val="000000" w:themeColor="text1"/>
              <w14:textFill>
                <w14:solidFill>
                  <w14:schemeClr w14:val="tx1"/>
                </w14:solidFill>
              </w14:textFill>
            </w:rPr>
            <w:t xml:space="preserve">以摊余成本计量的金融资产    </w:t>
          </w:r>
        </w:p>
        <w:p w14:paraId="754586E5">
          <w:pPr>
            <w:pStyle w:val="55"/>
            <w:spacing w:line="360" w:lineRule="auto"/>
            <w:ind w:left="105"/>
            <w:rPr>
              <w:color w:val="000000" w:themeColor="text1"/>
              <w14:textFill>
                <w14:solidFill>
                  <w14:schemeClr w14:val="tx1"/>
                </w14:solidFill>
              </w14:textFill>
            </w:rPr>
          </w:pPr>
          <w:r>
            <w:rPr>
              <w:rFonts w:hint="eastAsia"/>
              <w:color w:val="000000" w:themeColor="text1"/>
              <w14:textFill>
                <w14:solidFill>
                  <w14:schemeClr w14:val="tx1"/>
                </w14:solidFill>
              </w14:textFill>
            </w:rPr>
            <w:t>本公司管理此类金融资产的业务模式为以收取合同现金流量为目标，且此类金融资产的合同现金流量特征与基本借贷安排相一致，即在特定日期产生的现金流量，仅为对本金和以未偿付本金金额为基础的利息的支付。本公司对于此类金融资产按照实际利率法确认利息收入，按照摊余成本进行后续计量，其摊销或减值产生的利得或损失，计入当期损益。本公司的此类金融资产主要包括货币资金、应收票据、应收账款、其他应收款、债权投资和长期应收款等，本公司将自资产负债表日起一年内(含一年)到期的债权投资和长期应收款，列示为一年内到期的非流动资产；取得时期限在一年内(含一年)的债权投资列示为其他流动资产。</w:t>
          </w:r>
        </w:p>
        <w:p w14:paraId="550DC6D1">
          <w:pPr>
            <w:spacing w:line="360" w:lineRule="auto"/>
            <w:ind w:firstLine="525" w:firstLineChars="25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②</w:t>
          </w:r>
          <w:r>
            <w:rPr>
              <w:rFonts w:hint="eastAsia"/>
              <w:color w:val="000000" w:themeColor="text1"/>
              <w14:textFill>
                <w14:solidFill>
                  <w14:schemeClr w14:val="tx1"/>
                </w14:solidFill>
              </w14:textFill>
            </w:rPr>
            <w:t>以公允价值计量且其变动计入其他综合收益的金融资产</w:t>
          </w:r>
        </w:p>
        <w:p w14:paraId="27A62515">
          <w:pPr>
            <w:pStyle w:val="55"/>
            <w:spacing w:line="360" w:lineRule="auto"/>
            <w:ind w:left="105"/>
            <w:rPr>
              <w:color w:val="000000" w:themeColor="text1"/>
              <w14:textFill>
                <w14:solidFill>
                  <w14:schemeClr w14:val="tx1"/>
                </w14:solidFill>
              </w14:textFill>
            </w:rPr>
          </w:pPr>
          <w:r>
            <w:rPr>
              <w:rFonts w:hint="eastAsia"/>
              <w:color w:val="000000" w:themeColor="text1"/>
              <w14:textFill>
                <w14:solidFill>
                  <w14:schemeClr w14:val="tx1"/>
                </w14:solidFill>
              </w14:textFill>
            </w:rPr>
            <w:t>本公司管理此类金融资产的业务模式为既以收取合同现金流量为目标又以出售为目标，且此类金融资产的合同现金流量特征与基本借贷安排相一致。此类金融资产按照公允价值计量且其变动计入其他综合收益，但减值损失或利得、汇兑损益和按照实际利率法计算的利息收入计入当期损益。本公司的此类金融资产主要包括应收款项融资、其他债权投资等，本公司将自资产负债表日起一年内(含一年)到期的其他债权投资，列示为一年内到期的非流动资产；取得时期限在一年内(含一年)的其他债权投资列示为其他流动资产。</w:t>
          </w:r>
        </w:p>
        <w:p w14:paraId="7E50F2D3">
          <w:pPr>
            <w:pStyle w:val="55"/>
            <w:numPr>
              <w:ilvl w:val="0"/>
              <w:numId w:val="36"/>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以公允价值计量且其变动计入当期损益的金融资产</w:t>
          </w:r>
        </w:p>
        <w:p w14:paraId="6DB14220">
          <w:pPr>
            <w:pStyle w:val="55"/>
            <w:spacing w:line="360" w:lineRule="auto"/>
            <w:ind w:left="105"/>
            <w:rPr>
              <w:color w:val="000000" w:themeColor="text1"/>
              <w14:textFill>
                <w14:solidFill>
                  <w14:schemeClr w14:val="tx1"/>
                </w14:solidFill>
              </w14:textFill>
            </w:rPr>
          </w:pPr>
          <w:r>
            <w:rPr>
              <w:rFonts w:hint="eastAsia"/>
              <w:color w:val="000000" w:themeColor="text1"/>
              <w14:textFill>
                <w14:solidFill>
                  <w14:schemeClr w14:val="tx1"/>
                </w14:solidFill>
              </w14:textFill>
            </w:rPr>
            <w:t>本公司将上述以摊余成本计量的金融资产和以公允价值计量且其变动计入其他综合收益的金融资产之外的金融资产，分类为以公允价值计量且其变动计入当期损益的金融资产，列示为交易性金融资产。此外，在初始确认时，本公司为了消除或显著减少会计错配，将部分金融资产指定为以公允价值计量且其变动计入当期损益的金融资产。对于此类金融资产，本公司采用公允价值进行后续计量，公允价值变动计入当期损益。自资产负债表日起超过一年到期且预期持有超过一年的此类金融资产，列示为其他非流动金融资产。</w:t>
          </w:r>
        </w:p>
        <w:p w14:paraId="035C4110">
          <w:pPr>
            <w:pStyle w:val="55"/>
            <w:numPr>
              <w:ilvl w:val="0"/>
              <w:numId w:val="38"/>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本公司的权益工具投资：</w:t>
          </w:r>
        </w:p>
        <w:p w14:paraId="3527AA06">
          <w:pPr>
            <w:spacing w:line="360" w:lineRule="auto"/>
            <w:ind w:firstLine="105" w:firstLineChars="5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本公司将对其没有控制、共同控制和重大影响的权益工具投资分类为以公允价值计量且其变动计入当期损益的金融资产，列示为交易性金融资产；自资产负债表日起预期持有超过一年的，列示为其他非流动金融资产。 </w:t>
          </w:r>
        </w:p>
        <w:p w14:paraId="59B20E0A">
          <w:pPr>
            <w:spacing w:line="360" w:lineRule="auto"/>
            <w:ind w:firstLine="105" w:firstLineChars="5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此外，本公司将部分非交易性权益工具投资指定为以公允价值计量且其变动计入其他综合收益的金融资产，列示为其他权益工具投资，且该指定一经作出不得撤销。本公司将该类金融资产的相关股利收入计入当期损益，公允价值变动计入其他综合收益。当该金融资产终止确认时，本公司将之前计入其他综合收益的累计利得或损失直接转入留存收益，不计入当期损益。 </w:t>
          </w:r>
        </w:p>
        <w:p w14:paraId="3EADE73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（2）金融负债的分类、确认和计量 </w:t>
          </w:r>
        </w:p>
        <w:p w14:paraId="40A36264">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本公司根据所发行金融工具的合同条款及其所反映的经济实质而非仅以法律形式，结合金融负债和权益工具的定义，在初始确认时将该金融工具或其组成部分分类为金融负债或权益工具。        </w:t>
          </w:r>
        </w:p>
        <w:p w14:paraId="1F91E75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金融负债于初始确认时分类为以公允价值计量且其变动计入当期损益的金融负债和其他金融负债。</w:t>
          </w:r>
        </w:p>
        <w:p w14:paraId="3D217BB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以公允价值计量且其变动计入当期损益的金融负债，按照公允价值进行后续计量，公允价值变动形成的利得或损失以及与该金融负债相关的利息支出计入当期损益。本公司以公允价值计量且其变动计入当期损益的金融负债主要包括交易性金融负债。</w:t>
          </w:r>
        </w:p>
        <w:p w14:paraId="4D9B4F7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其他金融负债，采用实际利率法按照摊余成本进行后续计量。本公司的其他金融负债主要为以摊余成本计量的金融负债，包括应付票据及应付账款、其他应付款、借款及应付债券等。该类金融负债按其公允价值扣除交易费用后的金额进行初始计量，并采用实际利率法进行后续计量。期限在一年以下(含一年)的，列示为流动负债；期限在一年以上但自资产负债表日起一年内(含一年)到期的，列示为一年内到期的非流动负债；其余列示为非流动负债。</w:t>
          </w:r>
        </w:p>
        <w:p w14:paraId="7A2890E1">
          <w:pPr>
            <w:pStyle w:val="55"/>
            <w:numPr>
              <w:ilvl w:val="0"/>
              <w:numId w:val="38"/>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金融负债与权益工具的区分及相关处理方法</w:t>
          </w:r>
        </w:p>
        <w:p w14:paraId="7B62C9A3">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按照以下原则区分金融负债与权益工具：①如果本公司不能无条件地避免以交付现金或其他金融资产来履行一项合同义务，则该合同义务符合金融负债的定义。有些金融工具虽然没有明确地包含交付现金或其他金融资产义务的条款和条件，但有可能通过其他条款和条件间接地形成合同义务。②如果一项金融工具须用或可用本公司自身权益工具进行结算，需要考虑用于结算该工具的本公司自身权益工具，是作为现金或其他金融资产的替代品，还是为了使该工具持有方享有在本公司扣除所有负债后的资产中的剩余权益。如果是前者，该工具是本公司的金融负债；如果是后者，该工具是本公司的权益工具。在某些情况下，一项金融工具合同规定本公司须用或可用自身权益工具结算该金融工具，其中合同权利或合同义务的金额等于可获取或需交付的自身权益工具的数量乘以其结算时的公允价值，则无论该合同权利或义务的金额是固定的，还是完全或部分地基于除本公司自身权益工具的市场价格以外的变量（例如利率、某种商品的价格或某项金融工具的价格）的变动而变动，该合同分类为金融负债。 </w:t>
          </w:r>
        </w:p>
        <w:p w14:paraId="5294A663">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在合并报表中对金融工具（或其组成部分）进行分类时，考虑了集团成员和金融工具持有方之间达成的所有条款和条件。如果集团作为一个整体由于该工具而承担了交付现金、其他金融资产或者以其他导致该工具成为金融负债的方式进行结算的义务，则将该工具分类为金融负债。</w:t>
          </w:r>
        </w:p>
        <w:p w14:paraId="0295E95E">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金融工具或其组成部分属于金融负债的，相关利息、股利（或股息）、利得或损失，以及赎回或再融资产生的利得或损失等，本公司计入当期损益。</w:t>
          </w:r>
        </w:p>
        <w:p w14:paraId="6E40BB7A">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金融工具或其组成部分属于权益工具的，其发行（含再融资）、回购、出售或注销时，公司作为权益的变动处理；公司不确认权益工具的公允价值变动，与权益性交易相关的交易费用从权益中扣减；公司对权益工具持有方的分配作为利润分配处理，发放的股票股利不影响股东权益总额。</w:t>
          </w:r>
          <w:r>
            <w:rPr>
              <w:color w:val="000000" w:themeColor="text1"/>
              <w14:textFill>
                <w14:solidFill>
                  <w14:schemeClr w14:val="tx1"/>
                </w14:solidFill>
              </w14:textFill>
            </w:rPr>
            <w:t xml:space="preserve"> </w:t>
          </w:r>
        </w:p>
        <w:p w14:paraId="157D9503">
          <w:pPr>
            <w:pStyle w:val="55"/>
            <w:numPr>
              <w:ilvl w:val="0"/>
              <w:numId w:val="38"/>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金融资产转移的确认依据和计量方法</w:t>
          </w:r>
        </w:p>
        <w:p w14:paraId="4E2116F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将满足下列条件之一的金融资产，予以终止确认：①收取该金融资产现金流量的合同权利终止；②该金融资产已转移，且将金融资产所有权上几乎所有的风险和报酬转移给转入方；③该金融资产已转移，虽然本公司既没有转移也没有保留金融资产所有权上几乎所有的风险和报酬，但是放弃了对该金融资产的控制。若本公司既没有转移也没有保留金融资产所有权上几乎所有的风险和报酬，且未放弃对该金融资产的控制的，按照继续涉入所转移金融资产的程度确认有关金融资产，并相应确认有关负债。继续涉入所转移金融资产的程度，是指该金融资产价值变动使企业面临的风险水平。</w:t>
          </w:r>
        </w:p>
        <w:p w14:paraId="44652D1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其他权益工具投资终止确认时，本公司将其账面价值与收到的对价以及原直接计入其他综合收益的公允价值变动累计额之和的差额，计入留存收益；其余金融资产终止确认时，其账面价值与收到的对价以及原直接计入其他综合收益的公允价值变动累计额之和的差额，计入当期损益。  </w:t>
          </w:r>
        </w:p>
        <w:p w14:paraId="23B2EE1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对采用附追索权方式出售的金融资产，或将持有的金融资产背书转让，需确定该金融资产所有权上几乎所有的风险和报酬是否已经转移。已将该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则继续判断企业是否对该资产保留了控制，并根据前面各段所述的原则进行会计处理。      </w:t>
          </w:r>
        </w:p>
        <w:p w14:paraId="007A4B1C">
          <w:pPr>
            <w:pStyle w:val="55"/>
            <w:numPr>
              <w:ilvl w:val="0"/>
              <w:numId w:val="38"/>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金融负债终止确认 </w:t>
          </w:r>
        </w:p>
        <w:p w14:paraId="690CE83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金融负债（或其一部分）的现时义务已经解除的，本公司终止确认该金融负债（或该部分金融负债）。本公司（借入方）与借出方签订协议，以承担新金融负债的方式替换原金融负债，且新金融负债与原金融负债的合同条款实质上不同的，终止确认原金融负债，同时确认一项新金融负债。本公司对原金融负债（或其一部分）的合同条款作出实质性修改的，终止确认原金融负债，同时按照修改后的条款确认一项新金融负债。</w:t>
          </w:r>
        </w:p>
        <w:p w14:paraId="26F1324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金融负债（或其一部分）终止确认的，本公司将其账面价值与支付的对价（包括转出的非现金资产或承担的负债）之间的差额，计入当期损益。</w:t>
          </w:r>
        </w:p>
        <w:p w14:paraId="287219BB">
          <w:pPr>
            <w:pStyle w:val="55"/>
            <w:numPr>
              <w:ilvl w:val="0"/>
              <w:numId w:val="38"/>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金融资产和金融负债的抵销</w:t>
          </w:r>
        </w:p>
        <w:p w14:paraId="1AD11B2B">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当本公司具有抵销已确认金额的金融资产和金融负债的法定权利，且该种法定权利是当前可执行的，同时本公司计划以净额结算或同时变现该金融资产和清偿该金融负债时，金融资产和金融负债以相互抵销后的净额在资产负债表内列示。除此以外，本公司的金融资产和金融负债在资产负债表内分别列示，不予相互抵销。</w:t>
          </w:r>
        </w:p>
        <w:p w14:paraId="2E0D7F6B">
          <w:pPr>
            <w:pStyle w:val="55"/>
            <w:numPr>
              <w:ilvl w:val="0"/>
              <w:numId w:val="38"/>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金融资产和金融负债的公允价值的确定方法 </w:t>
          </w:r>
        </w:p>
        <w:p w14:paraId="4E1AC53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公允价值，是指市场参与者在计量日发生的有序交易中，出售一项资产所能收到或者转移一项负债所需支付的价格。金融工具存在活跃市场的，本公司采用活跃市场中的报价确定其公允价值。活跃市场中的报价是指易于定期从交易所、经纪商、行业协会、定价服务机构等获得的价格，且代表了在公平交易中实际发生的市场交易的价格。金融工具不存在活跃市场的，本公司采用估值技术确定其公允价值。估值技术包括参考熟悉情况并自愿交易的各方最近进行的市场交易中使用的价格、参照实质上相同的其他金融工具当前的公允价值、现金流量折现法和期权定价模型等。在估值时，公司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输入值。</w:t>
          </w:r>
        </w:p>
        <w:p w14:paraId="19D1A18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综上，本公司将公允价值计量所使用的输入值划分为三个层次，并首先使用第一层次输入值，其次使用第二层次输入值，最后使用第三层次输入值。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    </w:t>
          </w:r>
        </w:p>
        <w:p w14:paraId="6F4A5505">
          <w:pPr>
            <w:pStyle w:val="55"/>
            <w:numPr>
              <w:ilvl w:val="0"/>
              <w:numId w:val="38"/>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金融资产减值 </w:t>
          </w:r>
        </w:p>
        <w:p w14:paraId="78805353">
          <w:pPr>
            <w:spacing w:line="360" w:lineRule="auto"/>
            <w:ind w:firstLine="105" w:firstLineChars="5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本公司对于以摊余成本计量的金融资产、以公允价值计量且其变动计入其他综合收益的债权投资、合同资产、租赁应收款、贷款承诺及财务担保合同等，以预期信用损失为基础确认损失准备。</w:t>
          </w:r>
          <w:r>
            <w:rPr>
              <w:color w:val="000000" w:themeColor="text1"/>
              <w14:textFill>
                <w14:solidFill>
                  <w14:schemeClr w14:val="tx1"/>
                </w14:solidFill>
              </w14:textFill>
            </w:rPr>
            <w:t xml:space="preserve"> </w:t>
          </w:r>
        </w:p>
        <w:p w14:paraId="1BB8355B">
          <w:pPr>
            <w:pStyle w:val="55"/>
            <w:numPr>
              <w:ilvl w:val="0"/>
              <w:numId w:val="39"/>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预期信用损失的计量</w:t>
          </w:r>
        </w:p>
        <w:p w14:paraId="142EF43B">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公司考虑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4E00CCDF">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在每个资产负债表日，本公司对于处于不同阶段的金融工具的预期信用损失分别进行计量。金融工具自初始确认后信用风险未显著增加的，处于第一阶段，本公司按照未来12 个月内的预期信用损失计量损失准备；金融工具自初始确认后信用风险已显著增加但尚未发生信用减值的，处于第二阶段，本公司按照该工具整个存续期的预期信用损失计量损失准备；金融工具自初始确认后已经发生信用减值的，处于第三阶段，本公司按照该工具整个存续期的预期信用损失计量损失准备。</w:t>
          </w:r>
        </w:p>
        <w:p w14:paraId="4572885B">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对于在资产负债表日具有较低信用风险的金融工具，本公司假设其信用风险自初始确认后并未显著增加，按照未来12 个月内的预期信用损失计量损失准备。</w:t>
          </w:r>
        </w:p>
        <w:p w14:paraId="0A579EA0">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对于处于第一阶段和第二阶段、以及较低信用风险的金融工具，按照其未扣除减值准备的账面余额和实际利率计算利息收入。对于处于第三阶段的金融工具，按照其账面余额减已计提减值准备后的摊余成本和实际利率计算利息收入。</w:t>
          </w:r>
        </w:p>
        <w:p w14:paraId="166AB51E">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本公司对于因销售商品、提供劳务等日常经营活动形成的应收票据、应收账款、合同资产、应收款项融资，无论是否存在重大融资成分，均按照整个存续期的预期信用损失计量损失准备。       </w:t>
          </w:r>
        </w:p>
        <w:p w14:paraId="6BEA27A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A  应收款项：</w:t>
          </w:r>
        </w:p>
        <w:p w14:paraId="2DC7A1C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于存在客观证据表明存在减值，以及其他适用于单项评估的应收票据、应收账款，其他应收款、应收款项融资及长期应收款等单独进行减值测试，确认预期信用损失，计提单项减值准备。对于不存在减值客观证据的应收票据、应收账款、其他应收款及应收款项融资或当单项金融资产无法以合理成本评估预期信用损失的信息时，公司依据信用风险特征将应收票据、应收账款、其他应收款、应收款项融资等划分为若干组合，在组合基础上计算预期信用损失，确定组合的依据如下： </w:t>
          </w:r>
        </w:p>
        <w:p w14:paraId="6E09944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a、应收票据确定组合的依据如下：   </w:t>
          </w:r>
        </w:p>
        <w:tbl>
          <w:tblPr>
            <w:tblStyle w:val="37"/>
            <w:tblW w:w="0" w:type="auto"/>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53F423B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008A7530">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应收票据组合1--银行承兑汇票</w:t>
                </w:r>
              </w:p>
            </w:tc>
            <w:tc>
              <w:tcPr>
                <w:tcW w:w="4644" w:type="dxa"/>
                <w:tcBorders>
                  <w:top w:val="single" w:color="auto" w:sz="8" w:space="0"/>
                  <w:left w:val="single" w:color="auto" w:sz="6" w:space="0"/>
                  <w:bottom w:val="single" w:color="auto" w:sz="6" w:space="0"/>
                  <w:right w:val="nil"/>
                </w:tcBorders>
                <w:vAlign w:val="center"/>
              </w:tcPr>
              <w:p w14:paraId="5ABE5C9F">
                <w:pPr>
                  <w:rPr>
                    <w:color w:val="000000" w:themeColor="text1"/>
                    <w14:textFill>
                      <w14:solidFill>
                        <w14:schemeClr w14:val="tx1"/>
                      </w14:solidFill>
                    </w14:textFill>
                  </w:rPr>
                </w:pPr>
                <w:r>
                  <w:rPr>
                    <w:rFonts w:hint="eastAsia"/>
                    <w:color w:val="000000" w:themeColor="text1"/>
                    <w14:textFill>
                      <w14:solidFill>
                        <w14:schemeClr w14:val="tx1"/>
                      </w14:solidFill>
                    </w14:textFill>
                  </w:rPr>
                  <w:t>信用等级较低的银行</w:t>
                </w:r>
              </w:p>
            </w:tc>
          </w:tr>
          <w:tr w14:paraId="2533A04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580B149F">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应收票据组合2--商业承兑汇票</w:t>
                </w:r>
              </w:p>
            </w:tc>
            <w:tc>
              <w:tcPr>
                <w:tcW w:w="4644" w:type="dxa"/>
                <w:tcBorders>
                  <w:top w:val="single" w:color="auto" w:sz="6" w:space="0"/>
                  <w:left w:val="single" w:color="auto" w:sz="6" w:space="0"/>
                  <w:bottom w:val="single" w:color="auto" w:sz="8" w:space="0"/>
                  <w:right w:val="nil"/>
                </w:tcBorders>
                <w:vAlign w:val="center"/>
              </w:tcPr>
              <w:p w14:paraId="3C22FC3E">
                <w:pPr>
                  <w:rPr>
                    <w:color w:val="000000" w:themeColor="text1"/>
                    <w14:textFill>
                      <w14:solidFill>
                        <w14:schemeClr w14:val="tx1"/>
                      </w14:solidFill>
                    </w14:textFill>
                  </w:rPr>
                </w:pPr>
                <w:r>
                  <w:rPr>
                    <w:rFonts w:hint="eastAsia"/>
                    <w:color w:val="000000" w:themeColor="text1"/>
                    <w14:textFill>
                      <w14:solidFill>
                        <w14:schemeClr w14:val="tx1"/>
                      </w14:solidFill>
                    </w14:textFill>
                  </w:rPr>
                  <w:t>信用等级较低的企业</w:t>
                </w:r>
              </w:p>
            </w:tc>
          </w:tr>
        </w:tbl>
        <w:p w14:paraId="4E9870E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对于划分为组合的应收票据，公司参考历史信用损失经验，结合当前状况以及对未来经济状况的预测，通过违约风险敞口和整个存续期预期信用损失率，计算预期信用损失。</w:t>
          </w:r>
        </w:p>
        <w:p w14:paraId="4897AD43">
          <w:pPr>
            <w:spacing w:line="360" w:lineRule="auto"/>
            <w:ind w:firstLine="525" w:firstLineChars="25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b、应收账款确定组合的依据如下：   </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2C87D55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7DDEC066">
                <w:pPr>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应收账款组合1 </w:t>
                </w:r>
              </w:p>
            </w:tc>
            <w:tc>
              <w:tcPr>
                <w:tcW w:w="4644" w:type="dxa"/>
                <w:tcBorders>
                  <w:top w:val="single" w:color="auto" w:sz="8" w:space="0"/>
                  <w:left w:val="single" w:color="auto" w:sz="6" w:space="0"/>
                  <w:bottom w:val="single" w:color="auto" w:sz="6" w:space="0"/>
                  <w:right w:val="nil"/>
                </w:tcBorders>
                <w:vAlign w:val="center"/>
              </w:tcPr>
              <w:p w14:paraId="6587F9D2">
                <w:pPr>
                  <w:rPr>
                    <w:color w:val="000000" w:themeColor="text1"/>
                    <w14:textFill>
                      <w14:solidFill>
                        <w14:schemeClr w14:val="tx1"/>
                      </w14:solidFill>
                    </w14:textFill>
                  </w:rPr>
                </w:pPr>
                <w:r>
                  <w:rPr>
                    <w:rFonts w:hint="eastAsia"/>
                    <w:color w:val="000000" w:themeColor="text1"/>
                    <w14:textFill>
                      <w14:solidFill>
                        <w14:schemeClr w14:val="tx1"/>
                      </w14:solidFill>
                    </w14:textFill>
                  </w:rPr>
                  <w:t>合并报表范围内关联方组合</w:t>
                </w:r>
              </w:p>
            </w:tc>
          </w:tr>
          <w:tr w14:paraId="673C6DD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72113616">
                <w:pPr>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应收账款组合2 </w:t>
                </w:r>
              </w:p>
            </w:tc>
            <w:tc>
              <w:tcPr>
                <w:tcW w:w="4644" w:type="dxa"/>
                <w:tcBorders>
                  <w:top w:val="single" w:color="auto" w:sz="6" w:space="0"/>
                  <w:left w:val="single" w:color="auto" w:sz="6" w:space="0"/>
                  <w:bottom w:val="single" w:color="auto" w:sz="8" w:space="0"/>
                  <w:right w:val="nil"/>
                </w:tcBorders>
                <w:vAlign w:val="center"/>
              </w:tcPr>
              <w:p w14:paraId="1954DA03">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应收外部客户款项</w:t>
                </w:r>
              </w:p>
            </w:tc>
          </w:tr>
        </w:tbl>
        <w:p w14:paraId="10A992E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对于划分为组合的应收账款，公司参考历史信用损失经验，结合当前状况以及对未来经济状况的预测，编制应收账款逾期天数与整个存续期预期信用损失率对照表，计算预期信用损失。        </w:t>
          </w:r>
        </w:p>
        <w:p w14:paraId="144EDF9F">
          <w:pPr>
            <w:spacing w:line="360" w:lineRule="auto"/>
            <w:ind w:firstLine="525" w:firstLineChars="25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c、其他应收款确定组合的依据如下：    </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7D49E0D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30E59CAC">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其他应收款组合1</w:t>
                </w:r>
              </w:p>
            </w:tc>
            <w:tc>
              <w:tcPr>
                <w:tcW w:w="4644" w:type="dxa"/>
                <w:tcBorders>
                  <w:top w:val="single" w:color="auto" w:sz="8" w:space="0"/>
                  <w:left w:val="single" w:color="auto" w:sz="6" w:space="0"/>
                  <w:bottom w:val="single" w:color="auto" w:sz="6" w:space="0"/>
                  <w:right w:val="nil"/>
                </w:tcBorders>
                <w:vAlign w:val="center"/>
              </w:tcPr>
              <w:p w14:paraId="73B83804">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应收股利</w:t>
                </w:r>
              </w:p>
            </w:tc>
          </w:tr>
          <w:tr w14:paraId="2665503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6" w:space="0"/>
                  <w:right w:val="single" w:color="auto" w:sz="6" w:space="0"/>
                </w:tcBorders>
                <w:vAlign w:val="center"/>
              </w:tcPr>
              <w:p w14:paraId="1644A8C0">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其他应收款组合2</w:t>
                </w:r>
              </w:p>
            </w:tc>
            <w:tc>
              <w:tcPr>
                <w:tcW w:w="4644" w:type="dxa"/>
                <w:tcBorders>
                  <w:top w:val="single" w:color="auto" w:sz="6" w:space="0"/>
                  <w:left w:val="single" w:color="auto" w:sz="6" w:space="0"/>
                  <w:bottom w:val="single" w:color="auto" w:sz="6" w:space="0"/>
                  <w:right w:val="nil"/>
                </w:tcBorders>
                <w:vAlign w:val="center"/>
              </w:tcPr>
              <w:p w14:paraId="630A8A37">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应收利息</w:t>
                </w:r>
              </w:p>
            </w:tc>
          </w:tr>
          <w:tr w14:paraId="058B195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6" w:space="0"/>
                  <w:right w:val="single" w:color="auto" w:sz="6" w:space="0"/>
                </w:tcBorders>
                <w:vAlign w:val="center"/>
              </w:tcPr>
              <w:p w14:paraId="17C3784C">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其他应收款组合3</w:t>
                </w:r>
              </w:p>
            </w:tc>
            <w:tc>
              <w:tcPr>
                <w:tcW w:w="4644" w:type="dxa"/>
                <w:tcBorders>
                  <w:top w:val="single" w:color="auto" w:sz="6" w:space="0"/>
                  <w:left w:val="single" w:color="auto" w:sz="6" w:space="0"/>
                  <w:bottom w:val="single" w:color="auto" w:sz="6" w:space="0"/>
                  <w:right w:val="nil"/>
                </w:tcBorders>
                <w:vAlign w:val="center"/>
              </w:tcPr>
              <w:p w14:paraId="40EAAA11">
                <w:pPr>
                  <w:rPr>
                    <w:color w:val="000000" w:themeColor="text1"/>
                    <w14:textFill>
                      <w14:solidFill>
                        <w14:schemeClr w14:val="tx1"/>
                      </w14:solidFill>
                    </w14:textFill>
                  </w:rPr>
                </w:pPr>
                <w:r>
                  <w:rPr>
                    <w:rFonts w:hint="eastAsia"/>
                    <w:color w:val="000000" w:themeColor="text1"/>
                    <w14:textFill>
                      <w14:solidFill>
                        <w14:schemeClr w14:val="tx1"/>
                      </w14:solidFill>
                    </w14:textFill>
                  </w:rPr>
                  <w:t>合并范围内关联方组合</w:t>
                </w:r>
              </w:p>
            </w:tc>
          </w:tr>
          <w:tr w14:paraId="4E06BBE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44578C79">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其他应收款组合4</w:t>
                </w:r>
              </w:p>
            </w:tc>
            <w:tc>
              <w:tcPr>
                <w:tcW w:w="4644" w:type="dxa"/>
                <w:tcBorders>
                  <w:top w:val="single" w:color="auto" w:sz="6" w:space="0"/>
                  <w:left w:val="single" w:color="auto" w:sz="6" w:space="0"/>
                  <w:bottom w:val="single" w:color="auto" w:sz="8" w:space="0"/>
                  <w:right w:val="nil"/>
                </w:tcBorders>
                <w:vAlign w:val="center"/>
              </w:tcPr>
              <w:p w14:paraId="6DB4D971">
                <w:pPr>
                  <w:rPr>
                    <w:color w:val="000000" w:themeColor="text1"/>
                    <w14:textFill>
                      <w14:solidFill>
                        <w14:schemeClr w14:val="tx1"/>
                      </w14:solidFill>
                    </w14:textFill>
                  </w:rPr>
                </w:pPr>
                <w:r>
                  <w:rPr>
                    <w:rFonts w:hint="eastAsia"/>
                    <w:color w:val="000000" w:themeColor="text1"/>
                    <w14:textFill>
                      <w14:solidFill>
                        <w14:schemeClr w14:val="tx1"/>
                      </w14:solidFill>
                    </w14:textFill>
                  </w:rPr>
                  <w:t>信用风险组合</w:t>
                </w:r>
              </w:p>
            </w:tc>
          </w:tr>
        </w:tbl>
        <w:p w14:paraId="7364B1A3">
          <w:pPr>
            <w:rPr>
              <w:color w:val="000000" w:themeColor="text1"/>
              <w14:textFill>
                <w14:solidFill>
                  <w14:schemeClr w14:val="tx1"/>
                </w14:solidFill>
              </w14:textFill>
            </w:rPr>
          </w:pPr>
          <w:r>
            <w:rPr>
              <w:color w:val="000000" w:themeColor="text1"/>
              <w14:textFill>
                <w14:solidFill>
                  <w14:schemeClr w14:val="tx1"/>
                </w14:solidFill>
              </w14:textFill>
            </w:rPr>
            <w:t xml:space="preserve"> </w:t>
          </w:r>
        </w:p>
        <w:p w14:paraId="78FFB70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对于划分为组合的其他应收款，公司参考历史信用损失经验，结合当前状况以及对未来经济状况的预测，通过违约风险敞口和未来12个月内或整个存续期预期信用损失率，计算预期信用损失。    </w:t>
          </w:r>
        </w:p>
        <w:p w14:paraId="051E128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d、应收款项融资确定组合的依据如下：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2295BBE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6DB90C9F">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应收款项融资组合1--银行承兑汇票</w:t>
                </w:r>
              </w:p>
            </w:tc>
            <w:tc>
              <w:tcPr>
                <w:tcW w:w="4644" w:type="dxa"/>
                <w:tcBorders>
                  <w:top w:val="single" w:color="auto" w:sz="8" w:space="0"/>
                  <w:left w:val="single" w:color="auto" w:sz="6" w:space="0"/>
                  <w:bottom w:val="single" w:color="auto" w:sz="6" w:space="0"/>
                  <w:right w:val="nil"/>
                </w:tcBorders>
                <w:vAlign w:val="center"/>
              </w:tcPr>
              <w:p w14:paraId="6F261237">
                <w:pPr>
                  <w:rPr>
                    <w:color w:val="000000" w:themeColor="text1"/>
                    <w14:textFill>
                      <w14:solidFill>
                        <w14:schemeClr w14:val="tx1"/>
                      </w14:solidFill>
                    </w14:textFill>
                  </w:rPr>
                </w:pPr>
                <w:r>
                  <w:rPr>
                    <w:rFonts w:hint="eastAsia"/>
                    <w:color w:val="000000" w:themeColor="text1"/>
                    <w14:textFill>
                      <w14:solidFill>
                        <w14:schemeClr w14:val="tx1"/>
                      </w14:solidFill>
                    </w14:textFill>
                  </w:rPr>
                  <w:t>信用等级较高的银行</w:t>
                </w:r>
              </w:p>
            </w:tc>
          </w:tr>
          <w:tr w14:paraId="0B9EE52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65561A07">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应收款项融资组合2--商业承兑汇票</w:t>
                </w:r>
              </w:p>
            </w:tc>
            <w:tc>
              <w:tcPr>
                <w:tcW w:w="4644" w:type="dxa"/>
                <w:tcBorders>
                  <w:top w:val="single" w:color="auto" w:sz="6" w:space="0"/>
                  <w:left w:val="single" w:color="auto" w:sz="6" w:space="0"/>
                  <w:bottom w:val="single" w:color="auto" w:sz="8" w:space="0"/>
                  <w:right w:val="nil"/>
                </w:tcBorders>
                <w:vAlign w:val="center"/>
              </w:tcPr>
              <w:p w14:paraId="33317694">
                <w:pPr>
                  <w:rPr>
                    <w:color w:val="000000" w:themeColor="text1"/>
                    <w14:textFill>
                      <w14:solidFill>
                        <w14:schemeClr w14:val="tx1"/>
                      </w14:solidFill>
                    </w14:textFill>
                  </w:rPr>
                </w:pPr>
                <w:r>
                  <w:rPr>
                    <w:rFonts w:hint="eastAsia"/>
                    <w:color w:val="000000" w:themeColor="text1"/>
                    <w14:textFill>
                      <w14:solidFill>
                        <w14:schemeClr w14:val="tx1"/>
                      </w14:solidFill>
                    </w14:textFill>
                  </w:rPr>
                  <w:t>信用等级较高的企业</w:t>
                </w:r>
              </w:p>
            </w:tc>
          </w:tr>
        </w:tbl>
        <w:p w14:paraId="604433E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对于划分为组合的应收款项融资，公司参考历史信用损失经验，结合当前状况以及对未来经济状况的预测，通过违约风险敞口和整个存续期预期信用损失率，计算预期信用损失。  </w:t>
          </w:r>
        </w:p>
        <w:p w14:paraId="69C9FDC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e、长期应收款确定组合的依据如下：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6C8A130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0518C73C">
                <w:pPr>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长期应收款组合1</w:t>
                </w:r>
                <w:r>
                  <w:rPr>
                    <w:color w:val="000000" w:themeColor="text1"/>
                    <w14:textFill>
                      <w14:solidFill>
                        <w14:schemeClr w14:val="tx1"/>
                      </w14:solidFill>
                    </w14:textFill>
                  </w:rPr>
                  <w:t xml:space="preserve"> </w:t>
                </w:r>
              </w:p>
            </w:tc>
            <w:tc>
              <w:tcPr>
                <w:tcW w:w="4644" w:type="dxa"/>
                <w:tcBorders>
                  <w:top w:val="single" w:color="auto" w:sz="8" w:space="0"/>
                  <w:left w:val="single" w:color="auto" w:sz="6" w:space="0"/>
                  <w:bottom w:val="single" w:color="auto" w:sz="6" w:space="0"/>
                  <w:right w:val="nil"/>
                </w:tcBorders>
                <w:vAlign w:val="center"/>
              </w:tcPr>
              <w:p w14:paraId="229FEE6A">
                <w:pPr>
                  <w:rPr>
                    <w:color w:val="000000" w:themeColor="text1"/>
                    <w14:textFill>
                      <w14:solidFill>
                        <w14:schemeClr w14:val="tx1"/>
                      </w14:solidFill>
                    </w14:textFill>
                  </w:rPr>
                </w:pPr>
                <w:r>
                  <w:rPr>
                    <w:rFonts w:hint="eastAsia"/>
                    <w:color w:val="000000" w:themeColor="text1"/>
                    <w14:textFill>
                      <w14:solidFill>
                        <w14:schemeClr w14:val="tx1"/>
                      </w14:solidFill>
                    </w14:textFill>
                  </w:rPr>
                  <w:t>借款保证金</w:t>
                </w:r>
              </w:p>
            </w:tc>
          </w:tr>
          <w:tr w14:paraId="34F5CA9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0808C811">
                <w:pPr>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长期应收款组合2</w:t>
                </w:r>
              </w:p>
            </w:tc>
            <w:tc>
              <w:tcPr>
                <w:tcW w:w="4644" w:type="dxa"/>
                <w:tcBorders>
                  <w:top w:val="single" w:color="auto" w:sz="6" w:space="0"/>
                  <w:left w:val="single" w:color="auto" w:sz="6" w:space="0"/>
                  <w:bottom w:val="single" w:color="auto" w:sz="8" w:space="0"/>
                  <w:right w:val="nil"/>
                </w:tcBorders>
                <w:vAlign w:val="center"/>
              </w:tcPr>
              <w:p w14:paraId="53EFE374">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tr>
        </w:tbl>
        <w:p w14:paraId="5469901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对于划分为组合的长期应收款，公司参考历史信用损失经验，结合当前状况以及对未来经济状况的预测，通过违约风险敞口和整个存续期预期信用损失率，计算预期信用损失。    </w:t>
          </w:r>
        </w:p>
        <w:p w14:paraId="70CAAE8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公司基于账龄确认信用风险特征组合的账龄计算方法如下：</w:t>
          </w:r>
        </w:p>
        <w:tbl>
          <w:tblPr>
            <w:tblStyle w:val="37"/>
            <w:tblW w:w="8897"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809"/>
            <w:gridCol w:w="3544"/>
            <w:gridCol w:w="3544"/>
          </w:tblGrid>
          <w:tr w14:paraId="5A734D4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8" w:space="0"/>
                  <w:left w:val="nil"/>
                  <w:bottom w:val="single" w:color="auto" w:sz="6" w:space="0"/>
                  <w:right w:val="single" w:color="auto" w:sz="6" w:space="0"/>
                </w:tcBorders>
                <w:vAlign w:val="center"/>
              </w:tcPr>
              <w:p w14:paraId="2A958260">
                <w:pPr>
                  <w:rPr>
                    <w:color w:val="000000" w:themeColor="text1"/>
                    <w14:textFill>
                      <w14:solidFill>
                        <w14:schemeClr w14:val="tx1"/>
                      </w14:solidFill>
                    </w14:textFill>
                  </w:rPr>
                </w:pPr>
                <w:r>
                  <w:rPr>
                    <w:rFonts w:hint="eastAsia"/>
                    <w:color w:val="000000" w:themeColor="text1"/>
                    <w14:textFill>
                      <w14:solidFill>
                        <w14:schemeClr w14:val="tx1"/>
                      </w14:solidFill>
                    </w14:textFill>
                  </w:rPr>
                  <w:t>账龄</w:t>
                </w:r>
              </w:p>
            </w:tc>
            <w:tc>
              <w:tcPr>
                <w:tcW w:w="3544" w:type="dxa"/>
                <w:tcBorders>
                  <w:top w:val="single" w:color="auto" w:sz="8" w:space="0"/>
                  <w:left w:val="single" w:color="auto" w:sz="6" w:space="0"/>
                  <w:bottom w:val="single" w:color="auto" w:sz="6" w:space="0"/>
                  <w:right w:val="single" w:color="auto" w:sz="6" w:space="0"/>
                </w:tcBorders>
                <w:vAlign w:val="center"/>
              </w:tcPr>
              <w:p w14:paraId="44B76BED">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应收账款计提比例（%）</w:t>
                </w:r>
              </w:p>
            </w:tc>
            <w:tc>
              <w:tcPr>
                <w:tcW w:w="3544" w:type="dxa"/>
                <w:tcBorders>
                  <w:top w:val="single" w:color="auto" w:sz="8" w:space="0"/>
                  <w:left w:val="single" w:color="auto" w:sz="6" w:space="0"/>
                  <w:bottom w:val="single" w:color="auto" w:sz="6" w:space="0"/>
                  <w:right w:val="nil"/>
                </w:tcBorders>
                <w:vAlign w:val="center"/>
              </w:tcPr>
              <w:p w14:paraId="4BB42EC6">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其他应收款计提比例（%）</w:t>
                </w:r>
              </w:p>
            </w:tc>
          </w:tr>
          <w:tr w14:paraId="379939E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146967FB">
                <w:pPr>
                  <w:rPr>
                    <w:color w:val="000000" w:themeColor="text1"/>
                    <w14:textFill>
                      <w14:solidFill>
                        <w14:schemeClr w14:val="tx1"/>
                      </w14:solidFill>
                    </w14:textFill>
                  </w:rPr>
                </w:pPr>
                <w:r>
                  <w:rPr>
                    <w:rFonts w:hint="eastAsia"/>
                    <w:color w:val="000000" w:themeColor="text1"/>
                    <w14:textFill>
                      <w14:solidFill>
                        <w14:schemeClr w14:val="tx1"/>
                      </w14:solidFill>
                    </w14:textFill>
                  </w:rPr>
                  <w:t>1年以内</w:t>
                </w:r>
              </w:p>
            </w:tc>
            <w:tc>
              <w:tcPr>
                <w:tcW w:w="3544" w:type="dxa"/>
                <w:tcBorders>
                  <w:top w:val="single" w:color="auto" w:sz="6" w:space="0"/>
                  <w:left w:val="single" w:color="auto" w:sz="6" w:space="0"/>
                  <w:bottom w:val="single" w:color="auto" w:sz="6" w:space="0"/>
                  <w:right w:val="single" w:color="auto" w:sz="6" w:space="0"/>
                </w:tcBorders>
                <w:vAlign w:val="center"/>
              </w:tcPr>
              <w:p w14:paraId="2AC6B5F7">
                <w:pPr>
                  <w:rPr>
                    <w:color w:val="000000" w:themeColor="text1"/>
                    <w14:textFill>
                      <w14:solidFill>
                        <w14:schemeClr w14:val="tx1"/>
                      </w14:solidFill>
                    </w14:textFill>
                  </w:rPr>
                </w:pPr>
                <w:r>
                  <w:rPr>
                    <w:rFonts w:hint="eastAsia"/>
                    <w:color w:val="000000" w:themeColor="text1"/>
                    <w14:textFill>
                      <w14:solidFill>
                        <w14:schemeClr w14:val="tx1"/>
                      </w14:solidFill>
                    </w14:textFill>
                  </w:rPr>
                  <w:t>5.00</w:t>
                </w:r>
              </w:p>
            </w:tc>
            <w:tc>
              <w:tcPr>
                <w:tcW w:w="3544" w:type="dxa"/>
                <w:tcBorders>
                  <w:top w:val="single" w:color="auto" w:sz="6" w:space="0"/>
                  <w:left w:val="single" w:color="auto" w:sz="6" w:space="0"/>
                  <w:bottom w:val="single" w:color="auto" w:sz="6" w:space="0"/>
                  <w:right w:val="nil"/>
                </w:tcBorders>
                <w:vAlign w:val="center"/>
              </w:tcPr>
              <w:p w14:paraId="243F9DE6">
                <w:pPr>
                  <w:rPr>
                    <w:color w:val="000000" w:themeColor="text1"/>
                    <w14:textFill>
                      <w14:solidFill>
                        <w14:schemeClr w14:val="tx1"/>
                      </w14:solidFill>
                    </w14:textFill>
                  </w:rPr>
                </w:pPr>
                <w:r>
                  <w:rPr>
                    <w:rFonts w:hint="eastAsia"/>
                    <w:color w:val="000000" w:themeColor="text1"/>
                    <w14:textFill>
                      <w14:solidFill>
                        <w14:schemeClr w14:val="tx1"/>
                      </w14:solidFill>
                    </w14:textFill>
                  </w:rPr>
                  <w:t>5.00</w:t>
                </w:r>
              </w:p>
            </w:tc>
          </w:tr>
          <w:tr w14:paraId="7258A00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0C4E1E7F">
                <w:pPr>
                  <w:rPr>
                    <w:color w:val="000000" w:themeColor="text1"/>
                    <w14:textFill>
                      <w14:solidFill>
                        <w14:schemeClr w14:val="tx1"/>
                      </w14:solidFill>
                    </w14:textFill>
                  </w:rPr>
                </w:pPr>
                <w:r>
                  <w:rPr>
                    <w:rFonts w:hint="eastAsia"/>
                    <w:color w:val="000000" w:themeColor="text1"/>
                    <w14:textFill>
                      <w14:solidFill>
                        <w14:schemeClr w14:val="tx1"/>
                      </w14:solidFill>
                    </w14:textFill>
                  </w:rPr>
                  <w:t>1-2年</w:t>
                </w:r>
              </w:p>
            </w:tc>
            <w:tc>
              <w:tcPr>
                <w:tcW w:w="3544" w:type="dxa"/>
                <w:tcBorders>
                  <w:top w:val="single" w:color="auto" w:sz="6" w:space="0"/>
                  <w:left w:val="single" w:color="auto" w:sz="6" w:space="0"/>
                  <w:bottom w:val="single" w:color="auto" w:sz="6" w:space="0"/>
                  <w:right w:val="single" w:color="auto" w:sz="6" w:space="0"/>
                </w:tcBorders>
                <w:vAlign w:val="center"/>
              </w:tcPr>
              <w:p w14:paraId="2BF492A1">
                <w:pPr>
                  <w:rPr>
                    <w:color w:val="000000" w:themeColor="text1"/>
                    <w14:textFill>
                      <w14:solidFill>
                        <w14:schemeClr w14:val="tx1"/>
                      </w14:solidFill>
                    </w14:textFill>
                  </w:rPr>
                </w:pPr>
                <w:r>
                  <w:rPr>
                    <w:rFonts w:hint="eastAsia"/>
                    <w:color w:val="000000" w:themeColor="text1"/>
                    <w14:textFill>
                      <w14:solidFill>
                        <w14:schemeClr w14:val="tx1"/>
                      </w14:solidFill>
                    </w14:textFill>
                  </w:rPr>
                  <w:t>10.00</w:t>
                </w:r>
              </w:p>
            </w:tc>
            <w:tc>
              <w:tcPr>
                <w:tcW w:w="3544" w:type="dxa"/>
                <w:tcBorders>
                  <w:top w:val="single" w:color="auto" w:sz="6" w:space="0"/>
                  <w:left w:val="single" w:color="auto" w:sz="6" w:space="0"/>
                  <w:bottom w:val="single" w:color="auto" w:sz="6" w:space="0"/>
                  <w:right w:val="nil"/>
                </w:tcBorders>
                <w:vAlign w:val="center"/>
              </w:tcPr>
              <w:p w14:paraId="60A9EF92">
                <w:pPr>
                  <w:rPr>
                    <w:color w:val="000000" w:themeColor="text1"/>
                    <w14:textFill>
                      <w14:solidFill>
                        <w14:schemeClr w14:val="tx1"/>
                      </w14:solidFill>
                    </w14:textFill>
                  </w:rPr>
                </w:pPr>
                <w:r>
                  <w:rPr>
                    <w:rFonts w:hint="eastAsia"/>
                    <w:color w:val="000000" w:themeColor="text1"/>
                    <w14:textFill>
                      <w14:solidFill>
                        <w14:schemeClr w14:val="tx1"/>
                      </w14:solidFill>
                    </w14:textFill>
                  </w:rPr>
                  <w:t>10.00</w:t>
                </w:r>
              </w:p>
            </w:tc>
          </w:tr>
          <w:tr w14:paraId="246141D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4CFF631D">
                <w:pPr>
                  <w:rPr>
                    <w:color w:val="000000" w:themeColor="text1"/>
                    <w14:textFill>
                      <w14:solidFill>
                        <w14:schemeClr w14:val="tx1"/>
                      </w14:solidFill>
                    </w14:textFill>
                  </w:rPr>
                </w:pPr>
                <w:r>
                  <w:rPr>
                    <w:rFonts w:hint="eastAsia"/>
                    <w:color w:val="000000" w:themeColor="text1"/>
                    <w14:textFill>
                      <w14:solidFill>
                        <w14:schemeClr w14:val="tx1"/>
                      </w14:solidFill>
                    </w14:textFill>
                  </w:rPr>
                  <w:t>2-3年</w:t>
                </w:r>
              </w:p>
            </w:tc>
            <w:tc>
              <w:tcPr>
                <w:tcW w:w="3544" w:type="dxa"/>
                <w:tcBorders>
                  <w:top w:val="single" w:color="auto" w:sz="6" w:space="0"/>
                  <w:left w:val="single" w:color="auto" w:sz="6" w:space="0"/>
                  <w:bottom w:val="single" w:color="auto" w:sz="6" w:space="0"/>
                  <w:right w:val="single" w:color="auto" w:sz="6" w:space="0"/>
                </w:tcBorders>
                <w:vAlign w:val="center"/>
              </w:tcPr>
              <w:p w14:paraId="7C8A2912">
                <w:pPr>
                  <w:rPr>
                    <w:color w:val="000000" w:themeColor="text1"/>
                    <w14:textFill>
                      <w14:solidFill>
                        <w14:schemeClr w14:val="tx1"/>
                      </w14:solidFill>
                    </w14:textFill>
                  </w:rPr>
                </w:pPr>
                <w:r>
                  <w:rPr>
                    <w:rFonts w:hint="eastAsia"/>
                    <w:color w:val="000000" w:themeColor="text1"/>
                    <w14:textFill>
                      <w14:solidFill>
                        <w14:schemeClr w14:val="tx1"/>
                      </w14:solidFill>
                    </w14:textFill>
                  </w:rPr>
                  <w:t>20.00</w:t>
                </w:r>
              </w:p>
            </w:tc>
            <w:tc>
              <w:tcPr>
                <w:tcW w:w="3544" w:type="dxa"/>
                <w:tcBorders>
                  <w:top w:val="single" w:color="auto" w:sz="6" w:space="0"/>
                  <w:left w:val="single" w:color="auto" w:sz="6" w:space="0"/>
                  <w:bottom w:val="single" w:color="auto" w:sz="6" w:space="0"/>
                  <w:right w:val="nil"/>
                </w:tcBorders>
                <w:vAlign w:val="center"/>
              </w:tcPr>
              <w:p w14:paraId="5B569A10">
                <w:pPr>
                  <w:rPr>
                    <w:color w:val="000000" w:themeColor="text1"/>
                    <w14:textFill>
                      <w14:solidFill>
                        <w14:schemeClr w14:val="tx1"/>
                      </w14:solidFill>
                    </w14:textFill>
                  </w:rPr>
                </w:pPr>
                <w:r>
                  <w:rPr>
                    <w:rFonts w:hint="eastAsia"/>
                    <w:color w:val="000000" w:themeColor="text1"/>
                    <w14:textFill>
                      <w14:solidFill>
                        <w14:schemeClr w14:val="tx1"/>
                      </w14:solidFill>
                    </w14:textFill>
                  </w:rPr>
                  <w:t>20.00</w:t>
                </w:r>
              </w:p>
            </w:tc>
          </w:tr>
          <w:tr w14:paraId="36BDC0B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8" w:space="0"/>
                  <w:right w:val="single" w:color="auto" w:sz="6" w:space="0"/>
                </w:tcBorders>
                <w:vAlign w:val="center"/>
              </w:tcPr>
              <w:p w14:paraId="42278968">
                <w:pPr>
                  <w:rPr>
                    <w:color w:val="000000" w:themeColor="text1"/>
                    <w14:textFill>
                      <w14:solidFill>
                        <w14:schemeClr w14:val="tx1"/>
                      </w14:solidFill>
                    </w14:textFill>
                  </w:rPr>
                </w:pPr>
                <w:r>
                  <w:rPr>
                    <w:rFonts w:hint="eastAsia"/>
                    <w:color w:val="000000" w:themeColor="text1"/>
                    <w14:textFill>
                      <w14:solidFill>
                        <w14:schemeClr w14:val="tx1"/>
                      </w14:solidFill>
                    </w14:textFill>
                  </w:rPr>
                  <w:t>3年以上</w:t>
                </w:r>
              </w:p>
            </w:tc>
            <w:tc>
              <w:tcPr>
                <w:tcW w:w="3544" w:type="dxa"/>
                <w:tcBorders>
                  <w:top w:val="single" w:color="auto" w:sz="6" w:space="0"/>
                  <w:left w:val="single" w:color="auto" w:sz="6" w:space="0"/>
                  <w:bottom w:val="single" w:color="auto" w:sz="8" w:space="0"/>
                  <w:right w:val="single" w:color="auto" w:sz="6" w:space="0"/>
                </w:tcBorders>
                <w:vAlign w:val="center"/>
              </w:tcPr>
              <w:p w14:paraId="01CF2C62">
                <w:pPr>
                  <w:rPr>
                    <w:color w:val="000000" w:themeColor="text1"/>
                    <w14:textFill>
                      <w14:solidFill>
                        <w14:schemeClr w14:val="tx1"/>
                      </w14:solidFill>
                    </w14:textFill>
                  </w:rPr>
                </w:pPr>
                <w:r>
                  <w:rPr>
                    <w:rFonts w:hint="eastAsia"/>
                    <w:color w:val="000000" w:themeColor="text1"/>
                    <w14:textFill>
                      <w14:solidFill>
                        <w14:schemeClr w14:val="tx1"/>
                      </w14:solidFill>
                    </w14:textFill>
                  </w:rPr>
                  <w:t>50.00</w:t>
                </w:r>
              </w:p>
            </w:tc>
            <w:tc>
              <w:tcPr>
                <w:tcW w:w="3544" w:type="dxa"/>
                <w:tcBorders>
                  <w:top w:val="single" w:color="auto" w:sz="6" w:space="0"/>
                  <w:left w:val="single" w:color="auto" w:sz="6" w:space="0"/>
                  <w:bottom w:val="single" w:color="auto" w:sz="8" w:space="0"/>
                  <w:right w:val="nil"/>
                </w:tcBorders>
                <w:vAlign w:val="center"/>
              </w:tcPr>
              <w:p w14:paraId="03E657AA">
                <w:pPr>
                  <w:rPr>
                    <w:color w:val="000000" w:themeColor="text1"/>
                    <w14:textFill>
                      <w14:solidFill>
                        <w14:schemeClr w14:val="tx1"/>
                      </w14:solidFill>
                    </w14:textFill>
                  </w:rPr>
                </w:pPr>
                <w:r>
                  <w:rPr>
                    <w:rFonts w:hint="eastAsia"/>
                    <w:color w:val="000000" w:themeColor="text1"/>
                    <w14:textFill>
                      <w14:solidFill>
                        <w14:schemeClr w14:val="tx1"/>
                      </w14:solidFill>
                    </w14:textFill>
                  </w:rPr>
                  <w:t>50.00</w:t>
                </w:r>
              </w:p>
            </w:tc>
          </w:tr>
        </w:tbl>
        <w:p w14:paraId="28981B66">
          <w:pPr>
            <w:rPr>
              <w:color w:val="000000" w:themeColor="text1"/>
              <w14:textFill>
                <w14:solidFill>
                  <w14:schemeClr w14:val="tx1"/>
                </w14:solidFill>
              </w14:textFill>
            </w:rPr>
          </w:pPr>
          <w:r>
            <w:rPr>
              <w:color w:val="000000" w:themeColor="text1"/>
              <w14:textFill>
                <w14:solidFill>
                  <w14:schemeClr w14:val="tx1"/>
                </w14:solidFill>
              </w14:textFill>
            </w:rPr>
            <w:t xml:space="preserve"> </w:t>
          </w:r>
        </w:p>
        <w:p w14:paraId="7318FC1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B 债权投资、其他债权投资</w:t>
          </w:r>
        </w:p>
        <w:p w14:paraId="42D7D5E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对于债权投资和其他债权投资，本公司按照投资的性质，根据交易对手和风险敞口的各种类型，通过违约风险敞口和未来12个月内或整个存续期预期信用损失率，计算预期信用损失。        </w:t>
          </w:r>
        </w:p>
        <w:p w14:paraId="404E9B42">
          <w:pPr>
            <w:spacing w:line="360" w:lineRule="auto"/>
            <w:ind w:firstLine="420" w:firstLineChars="20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②</w:t>
          </w:r>
          <w:r>
            <w:rPr>
              <w:rFonts w:hint="eastAsia"/>
              <w:color w:val="000000" w:themeColor="text1"/>
              <w14:textFill>
                <w14:solidFill>
                  <w14:schemeClr w14:val="tx1"/>
                </w14:solidFill>
              </w14:textFill>
            </w:rPr>
            <w:t xml:space="preserve">具有较低的信用风险 </w:t>
          </w:r>
        </w:p>
        <w:p w14:paraId="2EED4CA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如果金融工具的违约风险较低，借款人在短期内履行其合同现金流量义务的能力很强，并且即便较长时期内经济形势和经营环境存在不利变化但未必一定降低借款人履行其合同现金流量义务的能力，该金融工具被视为具有较低的信用风险。</w:t>
          </w:r>
        </w:p>
        <w:p w14:paraId="60710243">
          <w:pPr>
            <w:spacing w:line="360" w:lineRule="auto"/>
            <w:ind w:firstLine="420" w:firstLineChars="20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③</w:t>
          </w:r>
          <w:r>
            <w:rPr>
              <w:rFonts w:hint="eastAsia"/>
              <w:color w:val="000000" w:themeColor="text1"/>
              <w14:textFill>
                <w14:solidFill>
                  <w14:schemeClr w14:val="tx1"/>
                </w14:solidFill>
              </w14:textFill>
            </w:rPr>
            <w:t>信用风险显著增加</w:t>
          </w:r>
        </w:p>
        <w:p w14:paraId="0895C5C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通过比较金融工具在资产负债表日所确定的预计存续期内的违约概率与在初始确认时所确定的预计存续期内的违约概率，以确定金融工具预计存续期内发生违约概率的相对变化，以评估金融工具的信用风险自初始确认后是否已显著增加。</w:t>
          </w:r>
        </w:p>
        <w:p w14:paraId="19F529D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在确定信用风险自初始确认后是否显著增加时，本公司考虑无须付出不必要的额外成本或努力即可获得的合理且有依据的信息，包括前瞻性信息。本公司考虑的信息包括：</w:t>
          </w:r>
        </w:p>
        <w:p w14:paraId="0DC9034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A. 信用风险变化所导致的内部价格指标是否发生显著变化；</w:t>
          </w:r>
        </w:p>
        <w:p w14:paraId="146DDA2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B. 预期将导致债务人履行其偿债义务的能力是否发生显著变化的业务、财务或经济状况的不利变化；</w:t>
          </w:r>
        </w:p>
        <w:p w14:paraId="5ECDAB9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C. 债务人经营成果实际或预期是否发生显著变化；债务人所处的监管、经济或技术环境是否发生显著不利变化；</w:t>
          </w:r>
        </w:p>
        <w:p w14:paraId="082074D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D. 作为债务抵押的担保物价值或第三方提供的担保或信用增级质量是否发生显著变化。这些变化预期将降低债务人按合同规定期限还款的经济动机或者影响违约概率；</w:t>
          </w:r>
        </w:p>
        <w:p w14:paraId="081236B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E. 预期将降低债务人按合同约定期限还款的经济动机是否发生显著变化；</w:t>
          </w:r>
        </w:p>
        <w:p w14:paraId="16F5F30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F. 借款合同的预期变更，包括预计违反合同的行为是否可能导致的合同义务的免除或修订、给予免息期、利率跳升、要求追加抵押品或担保或者对金融工具的合同框架做出其他变更；      </w:t>
          </w:r>
        </w:p>
        <w:p w14:paraId="7CCB488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G. 债务人预期表现和还款行为是否发生显著变化；</w:t>
          </w:r>
        </w:p>
        <w:p w14:paraId="005AB80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H. 合同付款是否发生逾期超过（含）30日。</w:t>
          </w:r>
        </w:p>
        <w:p w14:paraId="7E870F7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根据金融工具的性质，本公司以单项金融工具或金融工具组合为基础评估信用风险是否显著增加。以金融工具组合为基础进行评估时，本公司可基于共同信用风险特征对金融工具进行分类，例如逾期信息和信用风险评级。</w:t>
          </w:r>
        </w:p>
        <w:p w14:paraId="4BCDFFB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通常情况下，如果逾期超过30日，本公司确定金融工具的信用风险已经显著增加。除非本公司无需付出过多成本或努力即可获得合理且有依据的信息，证明虽然超过合同约定的付款期限30天，但信用风险自初始确认以来并未显著增加。</w:t>
          </w:r>
        </w:p>
        <w:p w14:paraId="291F53C8">
          <w:pPr>
            <w:spacing w:line="360" w:lineRule="auto"/>
            <w:ind w:firstLine="420" w:firstLineChars="20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④</w:t>
          </w:r>
          <w:r>
            <w:rPr>
              <w:rFonts w:hint="eastAsia"/>
              <w:color w:val="000000" w:themeColor="text1"/>
              <w14:textFill>
                <w14:solidFill>
                  <w14:schemeClr w14:val="tx1"/>
                </w14:solidFill>
              </w14:textFill>
            </w:rPr>
            <w:t>已发生信用减值的金融资产</w:t>
          </w:r>
        </w:p>
        <w:p w14:paraId="7DDADC3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在资产负债表日评估以摊余成本计量的金融资产和以公允价值计量且其变动计入其他综合收益的债权投资是否已发生信用减值。当对金融资产预期未来现金流量具有不利影响的一项或多项事件发生时，该金融资产成为已发生信用减值的金融资产。金融资产已发生信用减值的证据包括下列可观察信息：发行方或债务人发生重大财务困难；债务人违反合同，如偿付利息或本金违约或逾期等；债权人出于与债务人财务困难有关的经济或合同考虑，给予债务人在任何其他情况下都不会做出的让步；债务人很可能破产或进行其他财务重组；发行方或债务人财务困难导致该金融资产的活跃市场消失；以大幅折扣购买或源生一项金融资产，该折扣反映了发生信用损失的事实。</w:t>
          </w:r>
        </w:p>
        <w:p w14:paraId="5612A3DC">
          <w:pPr>
            <w:spacing w:line="360" w:lineRule="auto"/>
            <w:ind w:firstLine="420" w:firstLineChars="20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⑤</w:t>
          </w:r>
          <w:r>
            <w:rPr>
              <w:rFonts w:hint="eastAsia"/>
              <w:color w:val="000000" w:themeColor="text1"/>
              <w14:textFill>
                <w14:solidFill>
                  <w14:schemeClr w14:val="tx1"/>
                </w14:solidFill>
              </w14:textFill>
            </w:rPr>
            <w:t>预期信用损失准备的列报</w:t>
          </w:r>
        </w:p>
        <w:p w14:paraId="5900256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为反映金融工具的信用风险自初始确认后的变化，本公司在每个资产负债表日重新计量预期信用损失，由此形成的损失准备的增加或转回金额，应当作为减值损失或利得计入当期损益。对于以摊余成本计量的金融资产，损失准备抵减该金融资产在资产负债表中列示的账面价值；对于以公允价值计量且其变动计入其他综合收益的债权投资，本公司在其他综合收益中确认其损失准备，不抵减该金融资产的账面价值。</w:t>
          </w:r>
        </w:p>
        <w:p w14:paraId="7A09EAC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⑥核销</w:t>
          </w:r>
        </w:p>
        <w:p w14:paraId="2EA0EB2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如果本公司不再合理预期金融资产合同现金流量能够全部或部分收回，则直接减记该金融资产的账面余额，这种减记构成相关金融资产的终止确认。这种情况通常发生在本公司确定债务人没有资产或收入来源可产生足够的现金流量以偿还将被减记的金额。已减记的金融资产以后又收回的，作为减值损失的转回计入收回当期的损益。</w:t>
          </w:r>
        </w:p>
      </w:sdtContent>
    </w:sdt>
    <w:p w14:paraId="6E69B1FF">
      <w:pPr>
        <w:rPr>
          <w:color w:val="000000" w:themeColor="text1"/>
          <w14:textFill>
            <w14:solidFill>
              <w14:schemeClr w14:val="tx1"/>
            </w14:solidFill>
          </w14:textFill>
        </w:rPr>
      </w:pPr>
    </w:p>
    <w:p w14:paraId="67DE6F62">
      <w:pPr>
        <w:pStyle w:val="4"/>
        <w:numPr>
          <w:ilvl w:val="0"/>
          <w:numId w:val="33"/>
        </w:numPr>
        <w:rPr>
          <w:rFonts w:hint="eastAsia" w:ascii="宋体" w:hAnsi="宋体" w:cs="宋体"/>
          <w:color w:val="000000" w:themeColor="text1"/>
          <w:kern w:val="0"/>
          <w:szCs w:val="21"/>
          <w14:textFill>
            <w14:solidFill>
              <w14:schemeClr w14:val="tx1"/>
            </w14:solidFill>
          </w14:textFill>
        </w:rPr>
      </w:pPr>
      <w:bookmarkStart w:id="135" w:name="_Hlk533667757"/>
      <w:bookmarkStart w:id="136" w:name="_Hlk167809825"/>
      <w:r>
        <w:rPr>
          <w:rFonts w:hint="eastAsia" w:ascii="宋体" w:hAnsi="宋体" w:cs="宋体"/>
          <w:color w:val="000000" w:themeColor="text1"/>
          <w:kern w:val="0"/>
          <w:szCs w:val="21"/>
          <w14:textFill>
            <w14:solidFill>
              <w14:schemeClr w14:val="tx1"/>
            </w14:solidFill>
          </w14:textFill>
        </w:rPr>
        <w:t>应收票据</w:t>
      </w:r>
    </w:p>
    <w:sdt>
      <w:sdtPr>
        <w:rPr>
          <w:color w:val="000000" w:themeColor="text1"/>
          <w14:textFill>
            <w14:solidFill>
              <w14:schemeClr w14:val="tx1"/>
            </w14:solidFill>
          </w14:textFill>
        </w:rPr>
        <w:alias w:val="是否适用：应收票据_重要会计政策和估计[双击切换]"/>
        <w:tag w:val="_GBC_aefda35d1a7148f0844e33d721703cda"/>
        <w:id w:val="28926776"/>
        <w:placeholder>
          <w:docPart w:val="GBC22222222222222222222222222222"/>
        </w:placeholder>
      </w:sdtPr>
      <w:sdtEndPr>
        <w:rPr>
          <w:color w:val="000000" w:themeColor="text1"/>
          <w14:textFill>
            <w14:solidFill>
              <w14:schemeClr w14:val="tx1"/>
            </w14:solidFill>
          </w14:textFill>
        </w:rPr>
      </w:sdtEndPr>
      <w:sdtContent>
        <w:p w14:paraId="5B63E43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135"/>
    <w:p w14:paraId="22379F46">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按照信用风险特征组合计提坏账准备的组合类别及确定依据</w:t>
      </w:r>
    </w:p>
    <w:sdt>
      <w:sdtPr>
        <w:rPr>
          <w:color w:val="000000" w:themeColor="text1"/>
          <w14:textFill>
            <w14:solidFill>
              <w14:schemeClr w14:val="tx1"/>
            </w14:solidFill>
          </w14:textFill>
        </w:rPr>
        <w:alias w:val="是否适用：应收票据按照信用风险特征组合计提坏账准备的组合类别及确定依据[双击切换]"/>
        <w:tag w:val="_GBC_6949617b516947f48c32672b1d486a5b"/>
        <w:id w:val="-1097866509"/>
        <w:placeholder>
          <w:docPart w:val="GBC22222222222222222222222222222"/>
        </w:placeholder>
      </w:sdtPr>
      <w:sdtEndPr>
        <w:rPr>
          <w:color w:val="000000" w:themeColor="text1"/>
          <w14:textFill>
            <w14:solidFill>
              <w14:schemeClr w14:val="tx1"/>
            </w14:solidFill>
          </w14:textFill>
        </w:rPr>
      </w:sdtEndPr>
      <w:sdtContent>
        <w:p w14:paraId="4AE6133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应收票据按照信用风险特征组合计提坏账准备的组合类别及确定依据"/>
        <w:tag w:val="_GBC_1062e1c58d3c4ef4bca492c1e513cad2"/>
        <w:id w:val="-51079642"/>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应收票据按照信用风险特征组合计提坏账准备的组合类别及确定依据"/>
            <w:tag w:val="_GBC_1062e1c58d3c4ef4bca492c1e513cad2"/>
            <w:id w:val="-336694236"/>
          </w:sdtPr>
          <w:sdtEndPr>
            <w:rPr>
              <w:color w:val="000000" w:themeColor="text1"/>
              <w14:textFill>
                <w14:solidFill>
                  <w14:schemeClr w14:val="tx1"/>
                </w14:solidFill>
              </w14:textFill>
            </w:rPr>
          </w:sdtEndPr>
          <w:sdtContent>
            <w:p w14:paraId="6B71791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于存在客观证据表明存在减值，以及其他适用于单项评估的应收票据、应收账款，其他应收款、应收款项融资及长期应收款等单独进行减值测试，确认预期信用损失，计提单项减值准备。对于不存在减值客观证据的应收票据、应收账款、其他应收款及应收款项融资或当单项金融资产无法以合理成本评估预期信用损失的信息时，公司依据信用风险特征将应收票据、应收账款、其他应收款、应收款项融资等划分为若干组合，在组合基础上计算预期信用损失，确定组合的依据如下：    </w:t>
              </w:r>
            </w:p>
            <w:p w14:paraId="2DF4149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a、应收票据确定组合的依据如下：</w:t>
              </w:r>
            </w:p>
            <w:tbl>
              <w:tblPr>
                <w:tblStyle w:val="37"/>
                <w:tblW w:w="0" w:type="auto"/>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52205F9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07C63E92">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应收票据组合1--</w:t>
                    </w:r>
                    <w:r>
                      <w:rPr>
                        <w:color w:val="000000" w:themeColor="text1"/>
                        <w14:textFill>
                          <w14:solidFill>
                            <w14:schemeClr w14:val="tx1"/>
                          </w14:solidFill>
                        </w14:textFill>
                      </w:rPr>
                      <w:t>银行承兑汇票</w:t>
                    </w:r>
                  </w:p>
                </w:tc>
                <w:tc>
                  <w:tcPr>
                    <w:tcW w:w="4644" w:type="dxa"/>
                    <w:tcBorders>
                      <w:top w:val="single" w:color="auto" w:sz="8" w:space="0"/>
                      <w:left w:val="single" w:color="auto" w:sz="6" w:space="0"/>
                      <w:bottom w:val="single" w:color="auto" w:sz="6" w:space="0"/>
                      <w:right w:val="nil"/>
                    </w:tcBorders>
                    <w:vAlign w:val="center"/>
                  </w:tcPr>
                  <w:p w14:paraId="5B5B217B">
                    <w:pPr>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w:t>
                    </w:r>
                    <w:r>
                      <w:rPr>
                        <w:color w:val="000000" w:themeColor="text1"/>
                        <w14:textFill>
                          <w14:solidFill>
                            <w14:schemeClr w14:val="tx1"/>
                          </w14:solidFill>
                        </w14:textFill>
                      </w:rPr>
                      <w:t>较低的银行</w:t>
                    </w:r>
                  </w:p>
                </w:tc>
              </w:tr>
              <w:tr w14:paraId="384E4DC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3F004A59">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应收票据组合2--</w:t>
                    </w:r>
                    <w:r>
                      <w:rPr>
                        <w:color w:val="000000" w:themeColor="text1"/>
                        <w14:textFill>
                          <w14:solidFill>
                            <w14:schemeClr w14:val="tx1"/>
                          </w14:solidFill>
                        </w14:textFill>
                      </w:rPr>
                      <w:t>商业承兑汇票</w:t>
                    </w:r>
                  </w:p>
                </w:tc>
                <w:tc>
                  <w:tcPr>
                    <w:tcW w:w="4644" w:type="dxa"/>
                    <w:tcBorders>
                      <w:top w:val="single" w:color="auto" w:sz="6" w:space="0"/>
                      <w:left w:val="single" w:color="auto" w:sz="6" w:space="0"/>
                      <w:bottom w:val="single" w:color="auto" w:sz="8" w:space="0"/>
                      <w:right w:val="nil"/>
                    </w:tcBorders>
                    <w:vAlign w:val="center"/>
                  </w:tcPr>
                  <w:p w14:paraId="0931030A">
                    <w:pPr>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等级较低</w:t>
                    </w:r>
                    <w:r>
                      <w:rPr>
                        <w:color w:val="000000" w:themeColor="text1"/>
                        <w14:textFill>
                          <w14:solidFill>
                            <w14:schemeClr w14:val="tx1"/>
                          </w14:solidFill>
                        </w14:textFill>
                      </w:rPr>
                      <w:t>的企业</w:t>
                    </w:r>
                  </w:p>
                </w:tc>
              </w:tr>
            </w:tbl>
            <w:p w14:paraId="2F0ABF82">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对于划分为组合的应收票据，公司参考历史信用损失经验，结合当前状况以及对未来经济状况的预测，通过违约风险敞口和整个存续期预期信用损失率，计算预期信用损失。</w:t>
              </w:r>
            </w:p>
            <w:p w14:paraId="4A61AD8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b、应收账款确定组合的依据如下：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52DDEF5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2049E816">
                    <w:pPr>
                      <w:rPr>
                        <w:color w:val="000000" w:themeColor="text1"/>
                        <w14:textFill>
                          <w14:solidFill>
                            <w14:schemeClr w14:val="tx1"/>
                          </w14:solidFill>
                        </w14:textFill>
                      </w:rPr>
                    </w:pPr>
                    <w:r>
                      <w:rPr>
                        <w:color w:val="000000" w:themeColor="text1"/>
                        <w14:textFill>
                          <w14:solidFill>
                            <w14:schemeClr w14:val="tx1"/>
                          </w14:solidFill>
                        </w14:textFill>
                      </w:rPr>
                      <w:t>应收账款组合</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 xml:space="preserve"> </w:t>
                    </w:r>
                  </w:p>
                </w:tc>
                <w:tc>
                  <w:tcPr>
                    <w:tcW w:w="4644" w:type="dxa"/>
                    <w:tcBorders>
                      <w:top w:val="single" w:color="auto" w:sz="8" w:space="0"/>
                      <w:left w:val="single" w:color="auto" w:sz="6" w:space="0"/>
                      <w:bottom w:val="single" w:color="auto" w:sz="6" w:space="0"/>
                      <w:right w:val="nil"/>
                    </w:tcBorders>
                    <w:vAlign w:val="center"/>
                  </w:tcPr>
                  <w:p w14:paraId="4E594CA3">
                    <w:pPr>
                      <w:rPr>
                        <w:color w:val="000000" w:themeColor="text1"/>
                        <w14:textFill>
                          <w14:solidFill>
                            <w14:schemeClr w14:val="tx1"/>
                          </w14:solidFill>
                        </w14:textFill>
                      </w:rPr>
                    </w:pPr>
                    <w:r>
                      <w:rPr>
                        <w:rFonts w:hint="eastAsia"/>
                        <w:color w:val="000000" w:themeColor="text1"/>
                        <w14:textFill>
                          <w14:solidFill>
                            <w14:schemeClr w14:val="tx1"/>
                          </w14:solidFill>
                        </w14:textFill>
                      </w:rPr>
                      <w:t>合并报表范围内关联方组合</w:t>
                    </w:r>
                  </w:p>
                </w:tc>
              </w:tr>
              <w:tr w14:paraId="3752FC2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2733CC8D">
                    <w:pPr>
                      <w:rPr>
                        <w:color w:val="000000" w:themeColor="text1"/>
                        <w14:textFill>
                          <w14:solidFill>
                            <w14:schemeClr w14:val="tx1"/>
                          </w14:solidFill>
                        </w14:textFill>
                      </w:rPr>
                    </w:pPr>
                    <w:r>
                      <w:rPr>
                        <w:color w:val="000000" w:themeColor="text1"/>
                        <w14:textFill>
                          <w14:solidFill>
                            <w14:schemeClr w14:val="tx1"/>
                          </w14:solidFill>
                        </w14:textFill>
                      </w:rPr>
                      <w:t>应收账款组合</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 </w:t>
                    </w:r>
                  </w:p>
                </w:tc>
                <w:tc>
                  <w:tcPr>
                    <w:tcW w:w="4644" w:type="dxa"/>
                    <w:tcBorders>
                      <w:top w:val="single" w:color="auto" w:sz="6" w:space="0"/>
                      <w:left w:val="single" w:color="auto" w:sz="6" w:space="0"/>
                      <w:bottom w:val="single" w:color="auto" w:sz="8" w:space="0"/>
                      <w:right w:val="nil"/>
                    </w:tcBorders>
                    <w:vAlign w:val="center"/>
                  </w:tcPr>
                  <w:p w14:paraId="093AFEF0">
                    <w:pPr>
                      <w:rPr>
                        <w:color w:val="000000" w:themeColor="text1"/>
                        <w14:textFill>
                          <w14:solidFill>
                            <w14:schemeClr w14:val="tx1"/>
                          </w14:solidFill>
                        </w14:textFill>
                      </w:rPr>
                    </w:pPr>
                    <w:r>
                      <w:rPr>
                        <w:color w:val="000000" w:themeColor="text1"/>
                        <w14:textFill>
                          <w14:solidFill>
                            <w14:schemeClr w14:val="tx1"/>
                          </w14:solidFill>
                        </w14:textFill>
                      </w:rPr>
                      <w:t>应收</w:t>
                    </w:r>
                    <w:r>
                      <w:rPr>
                        <w:rFonts w:hint="eastAsia"/>
                        <w:color w:val="000000" w:themeColor="text1"/>
                        <w14:textFill>
                          <w14:solidFill>
                            <w14:schemeClr w14:val="tx1"/>
                          </w14:solidFill>
                        </w14:textFill>
                      </w:rPr>
                      <w:t>外部客户款项</w:t>
                    </w:r>
                  </w:p>
                </w:tc>
              </w:tr>
            </w:tbl>
            <w:p w14:paraId="059F47A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对于划分为组合的应收账款，公司参考历史信用损失经验，结合当前状况以及对未来经济状况的预测，编制应收账款逾期天数与整个存续期预期信用损失率对照表，计算预期信用损失。</w:t>
              </w:r>
            </w:p>
            <w:p w14:paraId="4A8C4D9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c、其他应收款确定组合的依据如下：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008B971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038AADF3">
                    <w:pPr>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1</w:t>
                    </w:r>
                  </w:p>
                </w:tc>
                <w:tc>
                  <w:tcPr>
                    <w:tcW w:w="4644" w:type="dxa"/>
                    <w:tcBorders>
                      <w:top w:val="single" w:color="auto" w:sz="8" w:space="0"/>
                      <w:left w:val="single" w:color="auto" w:sz="6" w:space="0"/>
                      <w:bottom w:val="single" w:color="auto" w:sz="6" w:space="0"/>
                      <w:right w:val="nil"/>
                    </w:tcBorders>
                    <w:vAlign w:val="center"/>
                  </w:tcPr>
                  <w:p w14:paraId="7A3FE6F1">
                    <w:pPr>
                      <w:rPr>
                        <w:color w:val="000000" w:themeColor="text1"/>
                        <w14:textFill>
                          <w14:solidFill>
                            <w14:schemeClr w14:val="tx1"/>
                          </w14:solidFill>
                        </w14:textFill>
                      </w:rPr>
                    </w:pPr>
                    <w:r>
                      <w:rPr>
                        <w:color w:val="000000" w:themeColor="text1"/>
                        <w14:textFill>
                          <w14:solidFill>
                            <w14:schemeClr w14:val="tx1"/>
                          </w14:solidFill>
                        </w14:textFill>
                      </w:rPr>
                      <w:t>应收股利</w:t>
                    </w:r>
                  </w:p>
                </w:tc>
              </w:tr>
              <w:tr w14:paraId="73295BC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6" w:space="0"/>
                      <w:right w:val="single" w:color="auto" w:sz="6" w:space="0"/>
                    </w:tcBorders>
                    <w:vAlign w:val="center"/>
                  </w:tcPr>
                  <w:p w14:paraId="062F808F">
                    <w:pPr>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2</w:t>
                    </w:r>
                  </w:p>
                </w:tc>
                <w:tc>
                  <w:tcPr>
                    <w:tcW w:w="4644" w:type="dxa"/>
                    <w:tcBorders>
                      <w:top w:val="single" w:color="auto" w:sz="6" w:space="0"/>
                      <w:left w:val="single" w:color="auto" w:sz="6" w:space="0"/>
                      <w:bottom w:val="single" w:color="auto" w:sz="6" w:space="0"/>
                      <w:right w:val="nil"/>
                    </w:tcBorders>
                    <w:vAlign w:val="center"/>
                  </w:tcPr>
                  <w:p w14:paraId="67639A75">
                    <w:pPr>
                      <w:rPr>
                        <w:color w:val="000000" w:themeColor="text1"/>
                        <w14:textFill>
                          <w14:solidFill>
                            <w14:schemeClr w14:val="tx1"/>
                          </w14:solidFill>
                        </w14:textFill>
                      </w:rPr>
                    </w:pPr>
                    <w:r>
                      <w:rPr>
                        <w:color w:val="000000" w:themeColor="text1"/>
                        <w14:textFill>
                          <w14:solidFill>
                            <w14:schemeClr w14:val="tx1"/>
                          </w14:solidFill>
                        </w14:textFill>
                      </w:rPr>
                      <w:t>应收利息</w:t>
                    </w:r>
                  </w:p>
                </w:tc>
              </w:tr>
              <w:tr w14:paraId="46D8C95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6" w:space="0"/>
                      <w:right w:val="single" w:color="auto" w:sz="6" w:space="0"/>
                    </w:tcBorders>
                    <w:vAlign w:val="center"/>
                  </w:tcPr>
                  <w:p w14:paraId="14B35ACF">
                    <w:pPr>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3</w:t>
                    </w:r>
                  </w:p>
                </w:tc>
                <w:tc>
                  <w:tcPr>
                    <w:tcW w:w="4644" w:type="dxa"/>
                    <w:tcBorders>
                      <w:top w:val="single" w:color="auto" w:sz="6" w:space="0"/>
                      <w:left w:val="single" w:color="auto" w:sz="6" w:space="0"/>
                      <w:bottom w:val="single" w:color="auto" w:sz="6" w:space="0"/>
                      <w:right w:val="nil"/>
                    </w:tcBorders>
                    <w:vAlign w:val="center"/>
                  </w:tcPr>
                  <w:p w14:paraId="3FAF6595">
                    <w:pPr>
                      <w:rPr>
                        <w:color w:val="000000" w:themeColor="text1"/>
                        <w14:textFill>
                          <w14:solidFill>
                            <w14:schemeClr w14:val="tx1"/>
                          </w14:solidFill>
                        </w14:textFill>
                      </w:rPr>
                    </w:pPr>
                    <w:r>
                      <w:rPr>
                        <w:rFonts w:hint="eastAsia"/>
                        <w:color w:val="000000" w:themeColor="text1"/>
                        <w14:textFill>
                          <w14:solidFill>
                            <w14:schemeClr w14:val="tx1"/>
                          </w14:solidFill>
                        </w14:textFill>
                      </w:rPr>
                      <w:t>合并范围内关联方组合</w:t>
                    </w:r>
                  </w:p>
                </w:tc>
              </w:tr>
              <w:tr w14:paraId="53DCCBD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05AFE725">
                    <w:pPr>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4</w:t>
                    </w:r>
                  </w:p>
                </w:tc>
                <w:tc>
                  <w:tcPr>
                    <w:tcW w:w="4644" w:type="dxa"/>
                    <w:tcBorders>
                      <w:top w:val="single" w:color="auto" w:sz="6" w:space="0"/>
                      <w:left w:val="single" w:color="auto" w:sz="6" w:space="0"/>
                      <w:bottom w:val="single" w:color="auto" w:sz="8" w:space="0"/>
                      <w:right w:val="nil"/>
                    </w:tcBorders>
                    <w:vAlign w:val="center"/>
                  </w:tcPr>
                  <w:p w14:paraId="48432B31">
                    <w:pPr>
                      <w:rPr>
                        <w:color w:val="000000" w:themeColor="text1"/>
                        <w14:textFill>
                          <w14:solidFill>
                            <w14:schemeClr w14:val="tx1"/>
                          </w14:solidFill>
                        </w14:textFill>
                      </w:rPr>
                    </w:pPr>
                    <w:r>
                      <w:rPr>
                        <w:rFonts w:hint="eastAsia"/>
                        <w:color w:val="000000" w:themeColor="text1"/>
                        <w14:textFill>
                          <w14:solidFill>
                            <w14:schemeClr w14:val="tx1"/>
                          </w14:solidFill>
                        </w14:textFill>
                      </w:rPr>
                      <w:t>信用风险组合</w:t>
                    </w:r>
                  </w:p>
                </w:tc>
              </w:tr>
            </w:tbl>
            <w:p w14:paraId="5884FD87">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对于划分为组合的其他应收款，公司参考历史信用损失经验，结合当前状况以及对未来经济状况的预测，通过违约风险敞口和未来12个月内或整个存续期预期信用损失率，计算预期信用损失。</w:t>
              </w:r>
            </w:p>
            <w:p w14:paraId="00FEF8A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d、应收款项融资确定组合的依据如下：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03E8DE4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509561D3">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应收款项融资组合1--</w:t>
                    </w:r>
                    <w:r>
                      <w:rPr>
                        <w:color w:val="000000" w:themeColor="text1"/>
                        <w14:textFill>
                          <w14:solidFill>
                            <w14:schemeClr w14:val="tx1"/>
                          </w14:solidFill>
                        </w14:textFill>
                      </w:rPr>
                      <w:t>银行承兑汇票</w:t>
                    </w:r>
                  </w:p>
                </w:tc>
                <w:tc>
                  <w:tcPr>
                    <w:tcW w:w="4644" w:type="dxa"/>
                    <w:tcBorders>
                      <w:top w:val="single" w:color="auto" w:sz="8" w:space="0"/>
                      <w:left w:val="single" w:color="auto" w:sz="6" w:space="0"/>
                      <w:bottom w:val="single" w:color="auto" w:sz="6" w:space="0"/>
                      <w:right w:val="nil"/>
                    </w:tcBorders>
                    <w:vAlign w:val="center"/>
                  </w:tcPr>
                  <w:p w14:paraId="0DD6C8FA">
                    <w:pPr>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等级较高</w:t>
                    </w:r>
                    <w:r>
                      <w:rPr>
                        <w:color w:val="000000" w:themeColor="text1"/>
                        <w14:textFill>
                          <w14:solidFill>
                            <w14:schemeClr w14:val="tx1"/>
                          </w14:solidFill>
                        </w14:textFill>
                      </w:rPr>
                      <w:t>的银行</w:t>
                    </w:r>
                  </w:p>
                </w:tc>
              </w:tr>
              <w:tr w14:paraId="425AD78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17A46A98">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应收款项融资组合2--</w:t>
                    </w:r>
                    <w:r>
                      <w:rPr>
                        <w:color w:val="000000" w:themeColor="text1"/>
                        <w14:textFill>
                          <w14:solidFill>
                            <w14:schemeClr w14:val="tx1"/>
                          </w14:solidFill>
                        </w14:textFill>
                      </w:rPr>
                      <w:t>商业承兑汇票</w:t>
                    </w:r>
                  </w:p>
                </w:tc>
                <w:tc>
                  <w:tcPr>
                    <w:tcW w:w="4644" w:type="dxa"/>
                    <w:tcBorders>
                      <w:top w:val="single" w:color="auto" w:sz="6" w:space="0"/>
                      <w:left w:val="single" w:color="auto" w:sz="6" w:space="0"/>
                      <w:bottom w:val="single" w:color="auto" w:sz="8" w:space="0"/>
                      <w:right w:val="nil"/>
                    </w:tcBorders>
                    <w:vAlign w:val="center"/>
                  </w:tcPr>
                  <w:p w14:paraId="1999F50E">
                    <w:pPr>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等级较高</w:t>
                    </w:r>
                    <w:r>
                      <w:rPr>
                        <w:color w:val="000000" w:themeColor="text1"/>
                        <w14:textFill>
                          <w14:solidFill>
                            <w14:schemeClr w14:val="tx1"/>
                          </w14:solidFill>
                        </w14:textFill>
                      </w:rPr>
                      <w:t>的企业</w:t>
                    </w:r>
                  </w:p>
                </w:tc>
              </w:tr>
            </w:tbl>
            <w:p w14:paraId="68C7974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对于划分为组合的应收款项融资，公司参考历史信用损失经验，结合当前状况以及对未来经济状况的预测，通过违约风险敞口和整个存续期预期信用损失率，计算预期信用损失。</w:t>
              </w:r>
            </w:p>
            <w:p w14:paraId="320B2DC9">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e、长期应收款确定组合的依据如下：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40BAF56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71E84664">
                    <w:pPr>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长期应收款组合1</w:t>
                    </w:r>
                    <w:r>
                      <w:rPr>
                        <w:color w:val="000000" w:themeColor="text1"/>
                        <w14:textFill>
                          <w14:solidFill>
                            <w14:schemeClr w14:val="tx1"/>
                          </w14:solidFill>
                        </w14:textFill>
                      </w:rPr>
                      <w:t xml:space="preserve"> </w:t>
                    </w:r>
                  </w:p>
                </w:tc>
                <w:tc>
                  <w:tcPr>
                    <w:tcW w:w="4644" w:type="dxa"/>
                    <w:tcBorders>
                      <w:top w:val="single" w:color="auto" w:sz="8" w:space="0"/>
                      <w:left w:val="single" w:color="auto" w:sz="6" w:space="0"/>
                      <w:bottom w:val="single" w:color="auto" w:sz="6" w:space="0"/>
                      <w:right w:val="nil"/>
                    </w:tcBorders>
                    <w:vAlign w:val="center"/>
                  </w:tcPr>
                  <w:p w14:paraId="76E16A61">
                    <w:pPr>
                      <w:rPr>
                        <w:color w:val="000000" w:themeColor="text1"/>
                        <w14:textFill>
                          <w14:solidFill>
                            <w14:schemeClr w14:val="tx1"/>
                          </w14:solidFill>
                        </w14:textFill>
                      </w:rPr>
                    </w:pPr>
                    <w:r>
                      <w:rPr>
                        <w:rFonts w:hint="eastAsia"/>
                        <w:color w:val="000000" w:themeColor="text1"/>
                        <w14:textFill>
                          <w14:solidFill>
                            <w14:schemeClr w14:val="tx1"/>
                          </w14:solidFill>
                        </w14:textFill>
                      </w:rPr>
                      <w:t>借款保证金</w:t>
                    </w:r>
                  </w:p>
                </w:tc>
              </w:tr>
              <w:tr w14:paraId="198A0B1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5F65A5D1">
                    <w:pPr>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长期应收款组合2</w:t>
                    </w:r>
                  </w:p>
                </w:tc>
                <w:tc>
                  <w:tcPr>
                    <w:tcW w:w="4644" w:type="dxa"/>
                    <w:tcBorders>
                      <w:top w:val="single" w:color="auto" w:sz="6" w:space="0"/>
                      <w:left w:val="single" w:color="auto" w:sz="6" w:space="0"/>
                      <w:bottom w:val="single" w:color="auto" w:sz="8" w:space="0"/>
                      <w:right w:val="nil"/>
                    </w:tcBorders>
                    <w:vAlign w:val="center"/>
                  </w:tcPr>
                  <w:p w14:paraId="5997399C">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tr>
            </w:tbl>
            <w:p w14:paraId="777C66E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对于划分为组合的长期应收款，公司参考历史信用损失经验，结合当前状况以及对未来经济状况的预测，通过违约风险敞口和整个存续期预期信用损失率，计算预期信用损失。详见11.金融工具。</w:t>
              </w:r>
            </w:p>
          </w:sdtContent>
        </w:sdt>
      </w:sdtContent>
    </w:sdt>
    <w:p w14:paraId="7A843C53">
      <w:pPr>
        <w:rPr>
          <w:rFonts w:cs="Times New Roman"/>
          <w:b/>
          <w:bCs w:val="0"/>
          <w:color w:val="000000" w:themeColor="text1"/>
          <w:kern w:val="2"/>
          <w:szCs w:val="28"/>
          <w14:textFill>
            <w14:solidFill>
              <w14:schemeClr w14:val="tx1"/>
            </w14:solidFill>
          </w14:textFill>
        </w:rPr>
      </w:pPr>
    </w:p>
    <w:p w14:paraId="3E0B33F7">
      <w:pPr>
        <w:spacing w:line="360" w:lineRule="auto"/>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基于账龄确认信用风险特征组合的账龄计算方法</w:t>
      </w:r>
    </w:p>
    <w:sdt>
      <w:sdtPr>
        <w:rPr>
          <w:color w:val="000000" w:themeColor="text1"/>
          <w14:textFill>
            <w14:solidFill>
              <w14:schemeClr w14:val="tx1"/>
            </w14:solidFill>
          </w14:textFill>
        </w:rPr>
        <w:alias w:val="是否适用：应收票据基于账龄确认信用风险特征组合的账龄计算方法[双击切换]"/>
        <w:tag w:val="_GBC_65e77abc757c44a39f32a7fae1f5da22"/>
        <w:id w:val="-1744790521"/>
        <w:placeholder>
          <w:docPart w:val="GBC22222222222222222222222222222"/>
        </w:placeholder>
      </w:sdtPr>
      <w:sdtEndPr>
        <w:rPr>
          <w:color w:val="000000" w:themeColor="text1"/>
          <w14:textFill>
            <w14:solidFill>
              <w14:schemeClr w14:val="tx1"/>
            </w14:solidFill>
          </w14:textFill>
        </w:rPr>
      </w:sdtEndPr>
      <w:sdtContent>
        <w:p w14:paraId="4ED54F4A">
          <w:pPr>
            <w:spacing w:line="360" w:lineRule="auto"/>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应收票据基于账龄确认信用风险特征组合的账龄计算方法"/>
        <w:tag w:val="_GBC_394187d2c39247acae82ce34a8553271"/>
        <w:id w:val="349531732"/>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应收票据基于账龄确认信用风险特征组合的账龄计算方法"/>
            <w:tag w:val="_GBC_394187d2c39247acae82ce34a8553271"/>
            <w:id w:val="1718244843"/>
          </w:sdtPr>
          <w:sdtEndPr>
            <w:rPr>
              <w:color w:val="000000" w:themeColor="text1"/>
              <w14:textFill>
                <w14:solidFill>
                  <w14:schemeClr w14:val="tx1"/>
                </w14:solidFill>
              </w14:textFill>
            </w:rPr>
          </w:sdtEndPr>
          <w:sdtContent>
            <w:p w14:paraId="5DFBAB08">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公司基于账龄确认信用风险特征组合的账龄计算方法如下：</w:t>
              </w:r>
              <w:r>
                <w:rPr>
                  <w:color w:val="000000" w:themeColor="text1"/>
                  <w14:textFill>
                    <w14:solidFill>
                      <w14:schemeClr w14:val="tx1"/>
                    </w14:solidFill>
                  </w14:textFill>
                </w:rPr>
                <w:t xml:space="preserve"> </w:t>
              </w:r>
            </w:p>
            <w:tbl>
              <w:tblPr>
                <w:tblStyle w:val="37"/>
                <w:tblW w:w="8897"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809"/>
                <w:gridCol w:w="3544"/>
                <w:gridCol w:w="3544"/>
              </w:tblGrid>
              <w:tr w14:paraId="3D582EC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8" w:space="0"/>
                      <w:left w:val="nil"/>
                      <w:bottom w:val="single" w:color="auto" w:sz="6" w:space="0"/>
                      <w:right w:val="single" w:color="auto" w:sz="6" w:space="0"/>
                    </w:tcBorders>
                    <w:vAlign w:val="center"/>
                  </w:tcPr>
                  <w:p w14:paraId="1ADD3DA8">
                    <w:pPr>
                      <w:rPr>
                        <w:color w:val="000000" w:themeColor="text1"/>
                        <w14:textFill>
                          <w14:solidFill>
                            <w14:schemeClr w14:val="tx1"/>
                          </w14:solidFill>
                        </w14:textFill>
                      </w:rPr>
                    </w:pPr>
                    <w:r>
                      <w:rPr>
                        <w:rFonts w:hint="eastAsia"/>
                        <w:color w:val="000000" w:themeColor="text1"/>
                        <w14:textFill>
                          <w14:solidFill>
                            <w14:schemeClr w14:val="tx1"/>
                          </w14:solidFill>
                        </w14:textFill>
                      </w:rPr>
                      <w:t>账龄</w:t>
                    </w:r>
                  </w:p>
                </w:tc>
                <w:tc>
                  <w:tcPr>
                    <w:tcW w:w="3544" w:type="dxa"/>
                    <w:tcBorders>
                      <w:top w:val="single" w:color="auto" w:sz="8" w:space="0"/>
                      <w:left w:val="single" w:color="auto" w:sz="6" w:space="0"/>
                      <w:bottom w:val="single" w:color="auto" w:sz="6" w:space="0"/>
                      <w:right w:val="single" w:color="auto" w:sz="6" w:space="0"/>
                    </w:tcBorders>
                    <w:vAlign w:val="center"/>
                  </w:tcPr>
                  <w:p w14:paraId="34931127">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应收账款计提比例（%）</w:t>
                    </w:r>
                  </w:p>
                </w:tc>
                <w:tc>
                  <w:tcPr>
                    <w:tcW w:w="3544" w:type="dxa"/>
                    <w:tcBorders>
                      <w:top w:val="single" w:color="auto" w:sz="8" w:space="0"/>
                      <w:left w:val="single" w:color="auto" w:sz="6" w:space="0"/>
                      <w:bottom w:val="single" w:color="auto" w:sz="6" w:space="0"/>
                      <w:right w:val="nil"/>
                    </w:tcBorders>
                    <w:vAlign w:val="center"/>
                  </w:tcPr>
                  <w:p w14:paraId="0905C4B6">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其他应收款计提比例（%）</w:t>
                    </w:r>
                  </w:p>
                </w:tc>
              </w:tr>
              <w:tr w14:paraId="58BA05A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7B07EFD1">
                    <w:pPr>
                      <w:rPr>
                        <w:color w:val="000000" w:themeColor="text1"/>
                        <w14:textFill>
                          <w14:solidFill>
                            <w14:schemeClr w14:val="tx1"/>
                          </w14:solidFill>
                        </w14:textFill>
                      </w:rPr>
                    </w:pPr>
                    <w:r>
                      <w:rPr>
                        <w:rFonts w:hint="eastAsia"/>
                        <w:color w:val="000000" w:themeColor="text1"/>
                        <w14:textFill>
                          <w14:solidFill>
                            <w14:schemeClr w14:val="tx1"/>
                          </w14:solidFill>
                        </w14:textFill>
                      </w:rPr>
                      <w:t>1年以内</w:t>
                    </w:r>
                  </w:p>
                </w:tc>
                <w:tc>
                  <w:tcPr>
                    <w:tcW w:w="3544" w:type="dxa"/>
                    <w:tcBorders>
                      <w:top w:val="single" w:color="auto" w:sz="6" w:space="0"/>
                      <w:left w:val="single" w:color="auto" w:sz="6" w:space="0"/>
                      <w:bottom w:val="single" w:color="auto" w:sz="6" w:space="0"/>
                      <w:right w:val="single" w:color="auto" w:sz="6" w:space="0"/>
                    </w:tcBorders>
                    <w:vAlign w:val="center"/>
                  </w:tcPr>
                  <w:p w14:paraId="7A882F77">
                    <w:pPr>
                      <w:rPr>
                        <w:color w:val="000000" w:themeColor="text1"/>
                        <w14:textFill>
                          <w14:solidFill>
                            <w14:schemeClr w14:val="tx1"/>
                          </w14:solidFill>
                        </w14:textFill>
                      </w:rPr>
                    </w:pPr>
                    <w:r>
                      <w:rPr>
                        <w:rFonts w:hint="eastAsia"/>
                        <w:color w:val="000000" w:themeColor="text1"/>
                        <w14:textFill>
                          <w14:solidFill>
                            <w14:schemeClr w14:val="tx1"/>
                          </w14:solidFill>
                        </w14:textFill>
                      </w:rPr>
                      <w:t>5.00</w:t>
                    </w:r>
                  </w:p>
                </w:tc>
                <w:tc>
                  <w:tcPr>
                    <w:tcW w:w="3544" w:type="dxa"/>
                    <w:tcBorders>
                      <w:top w:val="single" w:color="auto" w:sz="6" w:space="0"/>
                      <w:left w:val="single" w:color="auto" w:sz="6" w:space="0"/>
                      <w:bottom w:val="single" w:color="auto" w:sz="6" w:space="0"/>
                      <w:right w:val="nil"/>
                    </w:tcBorders>
                    <w:vAlign w:val="center"/>
                  </w:tcPr>
                  <w:p w14:paraId="5591E2E3">
                    <w:pPr>
                      <w:rPr>
                        <w:color w:val="000000" w:themeColor="text1"/>
                        <w14:textFill>
                          <w14:solidFill>
                            <w14:schemeClr w14:val="tx1"/>
                          </w14:solidFill>
                        </w14:textFill>
                      </w:rPr>
                    </w:pPr>
                    <w:r>
                      <w:rPr>
                        <w:rFonts w:hint="eastAsia"/>
                        <w:color w:val="000000" w:themeColor="text1"/>
                        <w14:textFill>
                          <w14:solidFill>
                            <w14:schemeClr w14:val="tx1"/>
                          </w14:solidFill>
                        </w14:textFill>
                      </w:rPr>
                      <w:t>5.00</w:t>
                    </w:r>
                  </w:p>
                </w:tc>
              </w:tr>
              <w:tr w14:paraId="7FA807E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737742FC">
                    <w:pPr>
                      <w:rPr>
                        <w:color w:val="000000" w:themeColor="text1"/>
                        <w14:textFill>
                          <w14:solidFill>
                            <w14:schemeClr w14:val="tx1"/>
                          </w14:solidFill>
                        </w14:textFill>
                      </w:rPr>
                    </w:pPr>
                    <w:r>
                      <w:rPr>
                        <w:rFonts w:hint="eastAsia"/>
                        <w:color w:val="000000" w:themeColor="text1"/>
                        <w14:textFill>
                          <w14:solidFill>
                            <w14:schemeClr w14:val="tx1"/>
                          </w14:solidFill>
                        </w14:textFill>
                      </w:rPr>
                      <w:t>1-2年</w:t>
                    </w:r>
                  </w:p>
                </w:tc>
                <w:tc>
                  <w:tcPr>
                    <w:tcW w:w="3544" w:type="dxa"/>
                    <w:tcBorders>
                      <w:top w:val="single" w:color="auto" w:sz="6" w:space="0"/>
                      <w:left w:val="single" w:color="auto" w:sz="6" w:space="0"/>
                      <w:bottom w:val="single" w:color="auto" w:sz="6" w:space="0"/>
                      <w:right w:val="single" w:color="auto" w:sz="6" w:space="0"/>
                    </w:tcBorders>
                    <w:vAlign w:val="center"/>
                  </w:tcPr>
                  <w:p w14:paraId="4151B8A8">
                    <w:pPr>
                      <w:rPr>
                        <w:color w:val="000000" w:themeColor="text1"/>
                        <w14:textFill>
                          <w14:solidFill>
                            <w14:schemeClr w14:val="tx1"/>
                          </w14:solidFill>
                        </w14:textFill>
                      </w:rPr>
                    </w:pPr>
                    <w:r>
                      <w:rPr>
                        <w:rFonts w:hint="eastAsia"/>
                        <w:color w:val="000000" w:themeColor="text1"/>
                        <w14:textFill>
                          <w14:solidFill>
                            <w14:schemeClr w14:val="tx1"/>
                          </w14:solidFill>
                        </w14:textFill>
                      </w:rPr>
                      <w:t>10.00</w:t>
                    </w:r>
                  </w:p>
                </w:tc>
                <w:tc>
                  <w:tcPr>
                    <w:tcW w:w="3544" w:type="dxa"/>
                    <w:tcBorders>
                      <w:top w:val="single" w:color="auto" w:sz="6" w:space="0"/>
                      <w:left w:val="single" w:color="auto" w:sz="6" w:space="0"/>
                      <w:bottom w:val="single" w:color="auto" w:sz="6" w:space="0"/>
                      <w:right w:val="nil"/>
                    </w:tcBorders>
                    <w:vAlign w:val="center"/>
                  </w:tcPr>
                  <w:p w14:paraId="7725C94A">
                    <w:pPr>
                      <w:rPr>
                        <w:color w:val="000000" w:themeColor="text1"/>
                        <w14:textFill>
                          <w14:solidFill>
                            <w14:schemeClr w14:val="tx1"/>
                          </w14:solidFill>
                        </w14:textFill>
                      </w:rPr>
                    </w:pPr>
                    <w:r>
                      <w:rPr>
                        <w:rFonts w:hint="eastAsia"/>
                        <w:color w:val="000000" w:themeColor="text1"/>
                        <w14:textFill>
                          <w14:solidFill>
                            <w14:schemeClr w14:val="tx1"/>
                          </w14:solidFill>
                        </w14:textFill>
                      </w:rPr>
                      <w:t>10.00</w:t>
                    </w:r>
                  </w:p>
                </w:tc>
              </w:tr>
              <w:tr w14:paraId="177FB29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6C450C9A">
                    <w:pPr>
                      <w:rPr>
                        <w:color w:val="000000" w:themeColor="text1"/>
                        <w14:textFill>
                          <w14:solidFill>
                            <w14:schemeClr w14:val="tx1"/>
                          </w14:solidFill>
                        </w14:textFill>
                      </w:rPr>
                    </w:pPr>
                    <w:r>
                      <w:rPr>
                        <w:rFonts w:hint="eastAsia"/>
                        <w:color w:val="000000" w:themeColor="text1"/>
                        <w14:textFill>
                          <w14:solidFill>
                            <w14:schemeClr w14:val="tx1"/>
                          </w14:solidFill>
                        </w14:textFill>
                      </w:rPr>
                      <w:t>2-3年</w:t>
                    </w:r>
                  </w:p>
                </w:tc>
                <w:tc>
                  <w:tcPr>
                    <w:tcW w:w="3544" w:type="dxa"/>
                    <w:tcBorders>
                      <w:top w:val="single" w:color="auto" w:sz="6" w:space="0"/>
                      <w:left w:val="single" w:color="auto" w:sz="6" w:space="0"/>
                      <w:bottom w:val="single" w:color="auto" w:sz="6" w:space="0"/>
                      <w:right w:val="single" w:color="auto" w:sz="6" w:space="0"/>
                    </w:tcBorders>
                    <w:vAlign w:val="center"/>
                  </w:tcPr>
                  <w:p w14:paraId="30015360">
                    <w:pPr>
                      <w:rPr>
                        <w:color w:val="000000" w:themeColor="text1"/>
                        <w14:textFill>
                          <w14:solidFill>
                            <w14:schemeClr w14:val="tx1"/>
                          </w14:solidFill>
                        </w14:textFill>
                      </w:rPr>
                    </w:pPr>
                    <w:r>
                      <w:rPr>
                        <w:rFonts w:hint="eastAsia"/>
                        <w:color w:val="000000" w:themeColor="text1"/>
                        <w14:textFill>
                          <w14:solidFill>
                            <w14:schemeClr w14:val="tx1"/>
                          </w14:solidFill>
                        </w14:textFill>
                      </w:rPr>
                      <w:t>20.00</w:t>
                    </w:r>
                  </w:p>
                </w:tc>
                <w:tc>
                  <w:tcPr>
                    <w:tcW w:w="3544" w:type="dxa"/>
                    <w:tcBorders>
                      <w:top w:val="single" w:color="auto" w:sz="6" w:space="0"/>
                      <w:left w:val="single" w:color="auto" w:sz="6" w:space="0"/>
                      <w:bottom w:val="single" w:color="auto" w:sz="6" w:space="0"/>
                      <w:right w:val="nil"/>
                    </w:tcBorders>
                    <w:vAlign w:val="center"/>
                  </w:tcPr>
                  <w:p w14:paraId="3DE86537">
                    <w:pPr>
                      <w:rPr>
                        <w:color w:val="000000" w:themeColor="text1"/>
                        <w14:textFill>
                          <w14:solidFill>
                            <w14:schemeClr w14:val="tx1"/>
                          </w14:solidFill>
                        </w14:textFill>
                      </w:rPr>
                    </w:pPr>
                    <w:r>
                      <w:rPr>
                        <w:rFonts w:hint="eastAsia"/>
                        <w:color w:val="000000" w:themeColor="text1"/>
                        <w14:textFill>
                          <w14:solidFill>
                            <w14:schemeClr w14:val="tx1"/>
                          </w14:solidFill>
                        </w14:textFill>
                      </w:rPr>
                      <w:t>20.00</w:t>
                    </w:r>
                  </w:p>
                </w:tc>
              </w:tr>
              <w:tr w14:paraId="3C19E38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8" w:space="0"/>
                      <w:right w:val="single" w:color="auto" w:sz="6" w:space="0"/>
                    </w:tcBorders>
                    <w:vAlign w:val="center"/>
                  </w:tcPr>
                  <w:p w14:paraId="18F23860">
                    <w:pPr>
                      <w:rPr>
                        <w:color w:val="000000" w:themeColor="text1"/>
                        <w14:textFill>
                          <w14:solidFill>
                            <w14:schemeClr w14:val="tx1"/>
                          </w14:solidFill>
                        </w14:textFill>
                      </w:rPr>
                    </w:pPr>
                    <w:r>
                      <w:rPr>
                        <w:rFonts w:hint="eastAsia"/>
                        <w:color w:val="000000" w:themeColor="text1"/>
                        <w14:textFill>
                          <w14:solidFill>
                            <w14:schemeClr w14:val="tx1"/>
                          </w14:solidFill>
                        </w14:textFill>
                      </w:rPr>
                      <w:t>3年以上</w:t>
                    </w:r>
                  </w:p>
                </w:tc>
                <w:tc>
                  <w:tcPr>
                    <w:tcW w:w="3544" w:type="dxa"/>
                    <w:tcBorders>
                      <w:top w:val="single" w:color="auto" w:sz="6" w:space="0"/>
                      <w:left w:val="single" w:color="auto" w:sz="6" w:space="0"/>
                      <w:bottom w:val="single" w:color="auto" w:sz="8" w:space="0"/>
                      <w:right w:val="single" w:color="auto" w:sz="6" w:space="0"/>
                    </w:tcBorders>
                    <w:vAlign w:val="center"/>
                  </w:tcPr>
                  <w:p w14:paraId="1F696A3B">
                    <w:pPr>
                      <w:rPr>
                        <w:color w:val="000000" w:themeColor="text1"/>
                        <w14:textFill>
                          <w14:solidFill>
                            <w14:schemeClr w14:val="tx1"/>
                          </w14:solidFill>
                        </w14:textFill>
                      </w:rPr>
                    </w:pPr>
                    <w:r>
                      <w:rPr>
                        <w:rFonts w:hint="eastAsia"/>
                        <w:color w:val="000000" w:themeColor="text1"/>
                        <w14:textFill>
                          <w14:solidFill>
                            <w14:schemeClr w14:val="tx1"/>
                          </w14:solidFill>
                        </w14:textFill>
                      </w:rPr>
                      <w:t>50.00</w:t>
                    </w:r>
                  </w:p>
                </w:tc>
                <w:tc>
                  <w:tcPr>
                    <w:tcW w:w="3544" w:type="dxa"/>
                    <w:tcBorders>
                      <w:top w:val="single" w:color="auto" w:sz="6" w:space="0"/>
                      <w:left w:val="single" w:color="auto" w:sz="6" w:space="0"/>
                      <w:bottom w:val="single" w:color="auto" w:sz="8" w:space="0"/>
                      <w:right w:val="nil"/>
                    </w:tcBorders>
                    <w:vAlign w:val="center"/>
                  </w:tcPr>
                  <w:p w14:paraId="2A1D2B7B">
                    <w:pPr>
                      <w:rPr>
                        <w:color w:val="000000" w:themeColor="text1"/>
                        <w14:textFill>
                          <w14:solidFill>
                            <w14:schemeClr w14:val="tx1"/>
                          </w14:solidFill>
                        </w14:textFill>
                      </w:rPr>
                    </w:pPr>
                    <w:r>
                      <w:rPr>
                        <w:rFonts w:hint="eastAsia"/>
                        <w:color w:val="000000" w:themeColor="text1"/>
                        <w14:textFill>
                          <w14:solidFill>
                            <w14:schemeClr w14:val="tx1"/>
                          </w14:solidFill>
                        </w14:textFill>
                      </w:rPr>
                      <w:t>50.00</w:t>
                    </w:r>
                  </w:p>
                </w:tc>
              </w:tr>
            </w:tbl>
            <w:p w14:paraId="684FAB70">
              <w:pPr>
                <w:rPr>
                  <w:color w:val="000000" w:themeColor="text1"/>
                  <w14:textFill>
                    <w14:solidFill>
                      <w14:schemeClr w14:val="tx1"/>
                    </w14:solidFill>
                  </w14:textFill>
                </w:rPr>
              </w:pPr>
              <w:r>
                <w:rPr>
                  <w:rFonts w:hint="eastAsia"/>
                  <w:color w:val="000000" w:themeColor="text1"/>
                  <w14:textFill>
                    <w14:solidFill>
                      <w14:schemeClr w14:val="tx1"/>
                    </w14:solidFill>
                  </w14:textFill>
                </w:rPr>
                <w:t>详见11</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金融工具。</w:t>
              </w:r>
            </w:p>
          </w:sdtContent>
        </w:sdt>
      </w:sdtContent>
    </w:sdt>
    <w:p w14:paraId="5370D48F">
      <w:pPr>
        <w:rPr>
          <w:rFonts w:cs="Times New Roman"/>
          <w:b/>
          <w:bCs w:val="0"/>
          <w:color w:val="000000" w:themeColor="text1"/>
          <w:kern w:val="2"/>
          <w:szCs w:val="28"/>
          <w14:textFill>
            <w14:solidFill>
              <w14:schemeClr w14:val="tx1"/>
            </w14:solidFill>
          </w14:textFill>
        </w:rPr>
      </w:pPr>
    </w:p>
    <w:p w14:paraId="2A9748DE">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按照单项计提坏账准备的单项计提判断标准</w:t>
      </w:r>
    </w:p>
    <w:sdt>
      <w:sdtPr>
        <w:rPr>
          <w:color w:val="000000" w:themeColor="text1"/>
          <w14:textFill>
            <w14:solidFill>
              <w14:schemeClr w14:val="tx1"/>
            </w14:solidFill>
          </w14:textFill>
        </w:rPr>
        <w:alias w:val="是否适用：应收票据按照单项计提坏账准备的单项计提判断标准[双击切换]"/>
        <w:tag w:val="_GBC_1bf4baad09e74a3fb93e3d4c5a63530e"/>
        <w:id w:val="-388026101"/>
        <w:placeholder>
          <w:docPart w:val="GBC22222222222222222222222222222"/>
        </w:placeholder>
      </w:sdtPr>
      <w:sdtEndPr>
        <w:rPr>
          <w:color w:val="000000" w:themeColor="text1"/>
          <w14:textFill>
            <w14:solidFill>
              <w14:schemeClr w14:val="tx1"/>
            </w14:solidFill>
          </w14:textFill>
        </w:rPr>
      </w:sdtEndPr>
      <w:sdtContent>
        <w:p w14:paraId="08D33B1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应收票据按照单项计提坏账准备的单项计提判断标准"/>
        <w:tag w:val="_GBC_bda178db73f64a379756cf6dbe566e83"/>
        <w:id w:val="-1253734953"/>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应收票据按照单项计提坏账准备的单项计提判断标准"/>
            <w:tag w:val="_GBC_bda178db73f64a379756cf6dbe566e83"/>
            <w:id w:val="1887137006"/>
          </w:sdtPr>
          <w:sdtEndPr>
            <w:rPr>
              <w:color w:val="000000" w:themeColor="text1"/>
              <w14:textFill>
                <w14:solidFill>
                  <w14:schemeClr w14:val="tx1"/>
                </w14:solidFill>
              </w14:textFill>
            </w:rPr>
          </w:sdtEndPr>
          <w:sdtContent>
            <w:p w14:paraId="3DB9F7EB">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在确定信用风险自初始确认后是否显著增加时，本公司考虑无须付出不必要的额外成本或努力即可获得的合理且有依据的信息，包括前瞻性信息。本公司考虑的信息包括：</w:t>
              </w:r>
            </w:p>
            <w:p w14:paraId="2268D727">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A. 信用风险变化所导致的内部价格指标是否发生显著变化；</w:t>
              </w:r>
            </w:p>
            <w:p w14:paraId="2B12B269">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B. 预期将导致债务人履行其偿债义务的能力是否发生显著变化的业务、财务或经济状况的不利变化；</w:t>
              </w:r>
            </w:p>
            <w:p w14:paraId="07532550">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C. 债务人经营成果实际或预期是否发生显著变化；债务人所处的监管、经济或技术环境是否发生显著不利变化；</w:t>
              </w:r>
            </w:p>
            <w:p w14:paraId="1BCB2643">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D. 作为债务抵押的担保物价值或第三方提供的担保或信用增级质量是否发生显著变化。这些变化预期将降低债务人按合同规定期限还款的经济动机或者影响违约概率；</w:t>
              </w:r>
            </w:p>
            <w:p w14:paraId="5B8794A8">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E. 预期将降低债务人按合同约定期限还款的经济动机是否发生显著变化；</w:t>
              </w:r>
            </w:p>
            <w:p w14:paraId="7B5ED355">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F. 借款合同的预期变更，包括预计违反合同的行为是否可能导致的合同义务的免除或修订、给予免息期、利率跳升、要求追加抵押品或担保或者对金融工具的合同框架做出其他变更；</w:t>
              </w:r>
            </w:p>
            <w:p w14:paraId="7FDE7011">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G. 债务人预期表现和还款行为是否发生显著变化；</w:t>
              </w:r>
            </w:p>
            <w:p w14:paraId="137E36B0">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H. 合同付款是否发生逾期超过（含）30日。</w:t>
              </w:r>
            </w:p>
            <w:p w14:paraId="3F9B03CD">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根据金融工具的性质，本公司以单项金融工具或金融工具组合为基础评估信用风险是否显著增加。以金融工具组合为基础进行评估时，本公司可基于共同信用风险特征对金融工具进行分类，例如逾期信息和信用风险评级。</w:t>
              </w:r>
            </w:p>
            <w:p w14:paraId="2A8F0EB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通常情况下，如果逾期超过30日，本公司确定金融工具的信用风险已经显著增加。除非本公司无需付出过多成本或努力即可获得合理且有依据的信息，证明虽然超过合同约定的付款期限30天，但信用风险自初始确认以来并未显著增加。详见11.金融工具。</w:t>
              </w:r>
            </w:p>
          </w:sdtContent>
        </w:sdt>
      </w:sdtContent>
    </w:sdt>
    <w:p w14:paraId="4D354EA3">
      <w:pPr>
        <w:rPr>
          <w:color w:val="000000" w:themeColor="text1"/>
          <w14:textFill>
            <w14:solidFill>
              <w14:schemeClr w14:val="tx1"/>
            </w14:solidFill>
          </w14:textFill>
        </w:rPr>
      </w:pPr>
    </w:p>
    <w:p w14:paraId="1116A539">
      <w:pPr>
        <w:pStyle w:val="4"/>
        <w:numPr>
          <w:ilvl w:val="0"/>
          <w:numId w:val="33"/>
        </w:numPr>
        <w:rPr>
          <w:rFonts w:hint="eastAsia" w:ascii="宋体" w:hAnsi="宋体" w:cs="宋体"/>
          <w:color w:val="000000" w:themeColor="text1"/>
          <w:kern w:val="0"/>
          <w:szCs w:val="21"/>
          <w14:textFill>
            <w14:solidFill>
              <w14:schemeClr w14:val="tx1"/>
            </w14:solidFill>
          </w14:textFill>
        </w:rPr>
      </w:pPr>
      <w:bookmarkStart w:id="137" w:name="_Hlk152690378"/>
      <w:bookmarkStart w:id="138" w:name="_Hlk533667783"/>
      <w:r>
        <w:rPr>
          <w:rFonts w:hint="eastAsia" w:ascii="宋体" w:hAnsi="宋体" w:cs="宋体"/>
          <w:color w:val="000000" w:themeColor="text1"/>
          <w:kern w:val="0"/>
          <w:szCs w:val="21"/>
          <w14:textFill>
            <w14:solidFill>
              <w14:schemeClr w14:val="tx1"/>
            </w14:solidFill>
          </w14:textFill>
        </w:rPr>
        <w:t>应收账款</w:t>
      </w:r>
    </w:p>
    <w:sdt>
      <w:sdtPr>
        <w:rPr>
          <w:rFonts w:hint="eastAsia"/>
          <w:color w:val="000000" w:themeColor="text1"/>
          <w14:textFill>
            <w14:solidFill>
              <w14:schemeClr w14:val="tx1"/>
            </w14:solidFill>
          </w14:textFill>
        </w:rPr>
        <w:alias w:val="是否适用：应收账款_重要会计政策和估计[双击切换]"/>
        <w:tag w:val="_GBC_9bb0ad4fd90e4860a048c5c1b42cdc17"/>
        <w:id w:val="-109202942"/>
        <w:placeholder>
          <w:docPart w:val="GBC22222222222222222222222222222"/>
        </w:placeholder>
      </w:sdtPr>
      <w:sdtEndPr>
        <w:rPr>
          <w:rFonts w:hint="eastAsia"/>
          <w:color w:val="000000" w:themeColor="text1"/>
          <w14:textFill>
            <w14:solidFill>
              <w14:schemeClr w14:val="tx1"/>
            </w14:solidFill>
          </w14:textFill>
        </w:rPr>
      </w:sdtEndPr>
      <w:sdtContent>
        <w:p w14:paraId="2CCD45A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137"/>
    <w:bookmarkEnd w:id="138"/>
    <w:p w14:paraId="59F648F2">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按照信用风险特征组合计提坏账准备的组合类别及确定依据</w:t>
      </w:r>
    </w:p>
    <w:sdt>
      <w:sdtPr>
        <w:rPr>
          <w:color w:val="000000" w:themeColor="text1"/>
          <w14:textFill>
            <w14:solidFill>
              <w14:schemeClr w14:val="tx1"/>
            </w14:solidFill>
          </w14:textFill>
        </w:rPr>
        <w:alias w:val="是否适用：应收账款按照信用风险特征组合计提坏账准备的组合类别及确定依据[双击切换]"/>
        <w:tag w:val="_GBC_e449a3926afc4ff1a9407716d384d444"/>
        <w:id w:val="1703827800"/>
        <w:placeholder>
          <w:docPart w:val="GBC22222222222222222222222222222"/>
        </w:placeholder>
      </w:sdtPr>
      <w:sdtEndPr>
        <w:rPr>
          <w:color w:val="000000" w:themeColor="text1"/>
          <w14:textFill>
            <w14:solidFill>
              <w14:schemeClr w14:val="tx1"/>
            </w14:solidFill>
          </w14:textFill>
        </w:rPr>
      </w:sdtEndPr>
      <w:sdtContent>
        <w:p w14:paraId="585962F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应收账款按照信用风险特征组合计提坏账准备的组合类别及确定依据"/>
        <w:tag w:val="_GBC_16b22a4b7b8c483dac42f07fc6ac4bc2"/>
        <w:id w:val="-897360723"/>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应收账款按照信用风险特征组合计提坏账准备的组合类别及确定依据"/>
            <w:tag w:val="_GBC_16b22a4b7b8c483dac42f07fc6ac4bc2"/>
            <w:id w:val="1612554540"/>
          </w:sdtPr>
          <w:sdtEndPr>
            <w:rPr>
              <w:color w:val="000000" w:themeColor="text1"/>
              <w14:textFill>
                <w14:solidFill>
                  <w14:schemeClr w14:val="tx1"/>
                </w14:solidFill>
              </w14:textFill>
            </w:rPr>
          </w:sdtEndPr>
          <w:sdtContent>
            <w:p w14:paraId="5AB8A31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存在客观证据表明存在减值，以及其他适用于单项评估的应收票据、应收账款，其他应收款、应收款项融资及长期应收款等单独进行减值测试，确认预期信用损失，计提单项减值准备。对于不存在减值客观证据的应收票据、应收账款、其他应收款及应收款项融资或当单项金融资产无法以合理成本评估预期信用损失的信息时，公司依据信用风险特征将应收票据、应收账款、其他应收款、应收款项融资等划分为若干组合，在组合基础上计算预期信用损失，确定组合的依据如下：</w:t>
              </w:r>
            </w:p>
            <w:p w14:paraId="78565C42">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a、应收票据确定组合的依据如下：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4B2856D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241E502E">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应收票据组合1--</w:t>
                    </w:r>
                    <w:r>
                      <w:rPr>
                        <w:color w:val="000000" w:themeColor="text1"/>
                        <w14:textFill>
                          <w14:solidFill>
                            <w14:schemeClr w14:val="tx1"/>
                          </w14:solidFill>
                        </w14:textFill>
                      </w:rPr>
                      <w:t>银行承兑汇票</w:t>
                    </w:r>
                  </w:p>
                </w:tc>
                <w:tc>
                  <w:tcPr>
                    <w:tcW w:w="4644" w:type="dxa"/>
                    <w:tcBorders>
                      <w:top w:val="single" w:color="auto" w:sz="8" w:space="0"/>
                      <w:left w:val="single" w:color="auto" w:sz="6" w:space="0"/>
                      <w:bottom w:val="single" w:color="auto" w:sz="6" w:space="0"/>
                      <w:right w:val="nil"/>
                    </w:tcBorders>
                    <w:vAlign w:val="center"/>
                  </w:tcPr>
                  <w:p w14:paraId="39F6C675">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w:t>
                    </w:r>
                    <w:r>
                      <w:rPr>
                        <w:color w:val="000000" w:themeColor="text1"/>
                        <w14:textFill>
                          <w14:solidFill>
                            <w14:schemeClr w14:val="tx1"/>
                          </w14:solidFill>
                        </w14:textFill>
                      </w:rPr>
                      <w:t>较低的银行</w:t>
                    </w:r>
                  </w:p>
                </w:tc>
              </w:tr>
              <w:tr w14:paraId="4432CEF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65992663">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应收票据组合2--</w:t>
                    </w:r>
                    <w:r>
                      <w:rPr>
                        <w:color w:val="000000" w:themeColor="text1"/>
                        <w14:textFill>
                          <w14:solidFill>
                            <w14:schemeClr w14:val="tx1"/>
                          </w14:solidFill>
                        </w14:textFill>
                      </w:rPr>
                      <w:t>商业承兑汇票</w:t>
                    </w:r>
                  </w:p>
                </w:tc>
                <w:tc>
                  <w:tcPr>
                    <w:tcW w:w="4644" w:type="dxa"/>
                    <w:tcBorders>
                      <w:top w:val="single" w:color="auto" w:sz="6" w:space="0"/>
                      <w:left w:val="single" w:color="auto" w:sz="6" w:space="0"/>
                      <w:bottom w:val="single" w:color="auto" w:sz="8" w:space="0"/>
                      <w:right w:val="nil"/>
                    </w:tcBorders>
                    <w:vAlign w:val="center"/>
                  </w:tcPr>
                  <w:p w14:paraId="3F629675">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等级较低</w:t>
                    </w:r>
                    <w:r>
                      <w:rPr>
                        <w:color w:val="000000" w:themeColor="text1"/>
                        <w14:textFill>
                          <w14:solidFill>
                            <w14:schemeClr w14:val="tx1"/>
                          </w14:solidFill>
                        </w14:textFill>
                      </w:rPr>
                      <w:t>的企业</w:t>
                    </w:r>
                  </w:p>
                </w:tc>
              </w:tr>
            </w:tbl>
            <w:p w14:paraId="10A5064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对于划分为组合的应收票据，公司参考历史信用损失经验，结合当前状况以及对未来经济状况的预测，通过违约风险敞口和整个存续期预期信用损失率，计算预期信用损失。</w:t>
              </w:r>
            </w:p>
            <w:p w14:paraId="6C3A7FA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b、应收账款确定组合的依据如下：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3B6090C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1B3FB356">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应收账款组合</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 xml:space="preserve"> </w:t>
                    </w:r>
                  </w:p>
                </w:tc>
                <w:tc>
                  <w:tcPr>
                    <w:tcW w:w="4644" w:type="dxa"/>
                    <w:tcBorders>
                      <w:top w:val="single" w:color="auto" w:sz="8" w:space="0"/>
                      <w:left w:val="single" w:color="auto" w:sz="6" w:space="0"/>
                      <w:bottom w:val="single" w:color="auto" w:sz="6" w:space="0"/>
                      <w:right w:val="nil"/>
                    </w:tcBorders>
                    <w:vAlign w:val="center"/>
                  </w:tcPr>
                  <w:p w14:paraId="75CFAE59">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合并报表范围内关联方组合</w:t>
                    </w:r>
                  </w:p>
                </w:tc>
              </w:tr>
              <w:tr w14:paraId="69C3DDD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02A00E13">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应收账款组合</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 </w:t>
                    </w:r>
                  </w:p>
                </w:tc>
                <w:tc>
                  <w:tcPr>
                    <w:tcW w:w="4644" w:type="dxa"/>
                    <w:tcBorders>
                      <w:top w:val="single" w:color="auto" w:sz="6" w:space="0"/>
                      <w:left w:val="single" w:color="auto" w:sz="6" w:space="0"/>
                      <w:bottom w:val="single" w:color="auto" w:sz="8" w:space="0"/>
                      <w:right w:val="nil"/>
                    </w:tcBorders>
                    <w:vAlign w:val="center"/>
                  </w:tcPr>
                  <w:p w14:paraId="51489D35">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w:t>
                    </w:r>
                    <w:r>
                      <w:rPr>
                        <w:rFonts w:hint="eastAsia"/>
                        <w:color w:val="000000" w:themeColor="text1"/>
                        <w14:textFill>
                          <w14:solidFill>
                            <w14:schemeClr w14:val="tx1"/>
                          </w14:solidFill>
                        </w14:textFill>
                      </w:rPr>
                      <w:t>外部客户款项</w:t>
                    </w:r>
                  </w:p>
                </w:tc>
              </w:tr>
            </w:tbl>
            <w:p w14:paraId="1A22349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对于划分为组合的应收账款，公司参考历史信用损失经验，结合当前状况以及对未来经济状况的预测，编制应收账款逾期天数与整个存续期预期信用损失率对照表，计算预期信用损失。</w:t>
              </w:r>
            </w:p>
            <w:p w14:paraId="2D4809C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c、其他应收款确定组合的依据如下：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0E892F5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3FACD6DD">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1</w:t>
                    </w:r>
                  </w:p>
                </w:tc>
                <w:tc>
                  <w:tcPr>
                    <w:tcW w:w="4644" w:type="dxa"/>
                    <w:tcBorders>
                      <w:top w:val="single" w:color="auto" w:sz="8" w:space="0"/>
                      <w:left w:val="single" w:color="auto" w:sz="6" w:space="0"/>
                      <w:bottom w:val="single" w:color="auto" w:sz="6" w:space="0"/>
                      <w:right w:val="nil"/>
                    </w:tcBorders>
                    <w:vAlign w:val="center"/>
                  </w:tcPr>
                  <w:p w14:paraId="64BBAA82">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应收股利</w:t>
                    </w:r>
                  </w:p>
                </w:tc>
              </w:tr>
              <w:tr w14:paraId="347878A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6" w:space="0"/>
                      <w:right w:val="single" w:color="auto" w:sz="6" w:space="0"/>
                    </w:tcBorders>
                    <w:vAlign w:val="center"/>
                  </w:tcPr>
                  <w:p w14:paraId="3FEA0EF2">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2</w:t>
                    </w:r>
                  </w:p>
                </w:tc>
                <w:tc>
                  <w:tcPr>
                    <w:tcW w:w="4644" w:type="dxa"/>
                    <w:tcBorders>
                      <w:top w:val="single" w:color="auto" w:sz="6" w:space="0"/>
                      <w:left w:val="single" w:color="auto" w:sz="6" w:space="0"/>
                      <w:bottom w:val="single" w:color="auto" w:sz="6" w:space="0"/>
                      <w:right w:val="nil"/>
                    </w:tcBorders>
                    <w:vAlign w:val="center"/>
                  </w:tcPr>
                  <w:p w14:paraId="114C3ACD">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应收利息</w:t>
                    </w:r>
                  </w:p>
                </w:tc>
              </w:tr>
              <w:tr w14:paraId="480C4AF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6" w:space="0"/>
                      <w:right w:val="single" w:color="auto" w:sz="6" w:space="0"/>
                    </w:tcBorders>
                    <w:vAlign w:val="center"/>
                  </w:tcPr>
                  <w:p w14:paraId="0CB88E23">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3</w:t>
                    </w:r>
                  </w:p>
                </w:tc>
                <w:tc>
                  <w:tcPr>
                    <w:tcW w:w="4644" w:type="dxa"/>
                    <w:tcBorders>
                      <w:top w:val="single" w:color="auto" w:sz="6" w:space="0"/>
                      <w:left w:val="single" w:color="auto" w:sz="6" w:space="0"/>
                      <w:bottom w:val="single" w:color="auto" w:sz="6" w:space="0"/>
                      <w:right w:val="nil"/>
                    </w:tcBorders>
                    <w:vAlign w:val="center"/>
                  </w:tcPr>
                  <w:p w14:paraId="1F31796F">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合并范围内关联方组合</w:t>
                    </w:r>
                  </w:p>
                </w:tc>
              </w:tr>
              <w:tr w14:paraId="226A7A0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1AA42BE3">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4</w:t>
                    </w:r>
                  </w:p>
                </w:tc>
                <w:tc>
                  <w:tcPr>
                    <w:tcW w:w="4644" w:type="dxa"/>
                    <w:tcBorders>
                      <w:top w:val="single" w:color="auto" w:sz="6" w:space="0"/>
                      <w:left w:val="single" w:color="auto" w:sz="6" w:space="0"/>
                      <w:bottom w:val="single" w:color="auto" w:sz="8" w:space="0"/>
                      <w:right w:val="nil"/>
                    </w:tcBorders>
                    <w:vAlign w:val="center"/>
                  </w:tcPr>
                  <w:p w14:paraId="2734749D">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信用风险组合</w:t>
                    </w:r>
                  </w:p>
                </w:tc>
              </w:tr>
            </w:tbl>
            <w:p w14:paraId="03AA5AC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对于划分为组合的其他应收款，公司参考历史信用损失经验，结合当前状况以及对未来经济状况的预测，通过违约风险敞口和未来12个月内或整个存续期预期信用损失率，计算预期信用损失。 </w:t>
              </w:r>
            </w:p>
            <w:p w14:paraId="69D789C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d、应收款项融资确定组合的依据如下：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5FA6ED1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0CCE469B">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应收款项融资组合1--</w:t>
                    </w:r>
                    <w:r>
                      <w:rPr>
                        <w:color w:val="000000" w:themeColor="text1"/>
                        <w14:textFill>
                          <w14:solidFill>
                            <w14:schemeClr w14:val="tx1"/>
                          </w14:solidFill>
                        </w14:textFill>
                      </w:rPr>
                      <w:t>银行承兑汇票</w:t>
                    </w:r>
                  </w:p>
                </w:tc>
                <w:tc>
                  <w:tcPr>
                    <w:tcW w:w="4644" w:type="dxa"/>
                    <w:tcBorders>
                      <w:top w:val="single" w:color="auto" w:sz="8" w:space="0"/>
                      <w:left w:val="single" w:color="auto" w:sz="6" w:space="0"/>
                      <w:bottom w:val="single" w:color="auto" w:sz="6" w:space="0"/>
                      <w:right w:val="nil"/>
                    </w:tcBorders>
                    <w:vAlign w:val="center"/>
                  </w:tcPr>
                  <w:p w14:paraId="60776693">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等级较高</w:t>
                    </w:r>
                    <w:r>
                      <w:rPr>
                        <w:color w:val="000000" w:themeColor="text1"/>
                        <w14:textFill>
                          <w14:solidFill>
                            <w14:schemeClr w14:val="tx1"/>
                          </w14:solidFill>
                        </w14:textFill>
                      </w:rPr>
                      <w:t>的银行</w:t>
                    </w:r>
                  </w:p>
                </w:tc>
              </w:tr>
              <w:tr w14:paraId="57CD41E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21E192F3">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应收款项融资组合2--</w:t>
                    </w:r>
                    <w:r>
                      <w:rPr>
                        <w:color w:val="000000" w:themeColor="text1"/>
                        <w14:textFill>
                          <w14:solidFill>
                            <w14:schemeClr w14:val="tx1"/>
                          </w14:solidFill>
                        </w14:textFill>
                      </w:rPr>
                      <w:t>商业承兑汇票</w:t>
                    </w:r>
                  </w:p>
                </w:tc>
                <w:tc>
                  <w:tcPr>
                    <w:tcW w:w="4644" w:type="dxa"/>
                    <w:tcBorders>
                      <w:top w:val="single" w:color="auto" w:sz="6" w:space="0"/>
                      <w:left w:val="single" w:color="auto" w:sz="6" w:space="0"/>
                      <w:bottom w:val="single" w:color="auto" w:sz="8" w:space="0"/>
                      <w:right w:val="nil"/>
                    </w:tcBorders>
                    <w:vAlign w:val="center"/>
                  </w:tcPr>
                  <w:p w14:paraId="65CF2BB9">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等级较高</w:t>
                    </w:r>
                    <w:r>
                      <w:rPr>
                        <w:color w:val="000000" w:themeColor="text1"/>
                        <w14:textFill>
                          <w14:solidFill>
                            <w14:schemeClr w14:val="tx1"/>
                          </w14:solidFill>
                        </w14:textFill>
                      </w:rPr>
                      <w:t>的企业</w:t>
                    </w:r>
                  </w:p>
                </w:tc>
              </w:tr>
            </w:tbl>
            <w:p w14:paraId="6AB2082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对于划分为组合的应收款项融资，公司参考历史信用损失经验，结合当前状况以及对未来经济状况的预测，通过违约风险敞口和整个存续期预期信用损失率，计算预期信用损失。</w:t>
              </w:r>
            </w:p>
            <w:p w14:paraId="78672C9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e、长期应收款确定组合的依据如下：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42B2389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2927651E">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长期应收款组合1</w:t>
                    </w:r>
                    <w:r>
                      <w:rPr>
                        <w:color w:val="000000" w:themeColor="text1"/>
                        <w14:textFill>
                          <w14:solidFill>
                            <w14:schemeClr w14:val="tx1"/>
                          </w14:solidFill>
                        </w14:textFill>
                      </w:rPr>
                      <w:t xml:space="preserve"> </w:t>
                    </w:r>
                  </w:p>
                </w:tc>
                <w:tc>
                  <w:tcPr>
                    <w:tcW w:w="4644" w:type="dxa"/>
                    <w:tcBorders>
                      <w:top w:val="single" w:color="auto" w:sz="8" w:space="0"/>
                      <w:left w:val="single" w:color="auto" w:sz="6" w:space="0"/>
                      <w:bottom w:val="single" w:color="auto" w:sz="6" w:space="0"/>
                      <w:right w:val="nil"/>
                    </w:tcBorders>
                    <w:vAlign w:val="center"/>
                  </w:tcPr>
                  <w:p w14:paraId="675F00E5">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借款保证金</w:t>
                    </w:r>
                  </w:p>
                </w:tc>
              </w:tr>
              <w:tr w14:paraId="01D3077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4A31EC2B">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长期应收款组合2</w:t>
                    </w:r>
                  </w:p>
                </w:tc>
                <w:tc>
                  <w:tcPr>
                    <w:tcW w:w="4644" w:type="dxa"/>
                    <w:tcBorders>
                      <w:top w:val="single" w:color="auto" w:sz="6" w:space="0"/>
                      <w:left w:val="single" w:color="auto" w:sz="6" w:space="0"/>
                      <w:bottom w:val="single" w:color="auto" w:sz="8" w:space="0"/>
                      <w:right w:val="nil"/>
                    </w:tcBorders>
                    <w:vAlign w:val="center"/>
                  </w:tcPr>
                  <w:p w14:paraId="783E1C5D">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tr>
            </w:tbl>
            <w:p w14:paraId="7836DC5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对于划分为组合的长期应收款，公司参考历史信用损失经验，结合当前状况以及对未来经济状况的预测，通过违约风险敞口和整个存续期预期信用损失率，计算预期信用损失。详见11.金融工具”。</w:t>
              </w:r>
            </w:p>
          </w:sdtContent>
        </w:sdt>
      </w:sdtContent>
    </w:sdt>
    <w:p w14:paraId="6BB01FC4">
      <w:pPr>
        <w:rPr>
          <w:rFonts w:cs="Times New Roman"/>
          <w:b/>
          <w:bCs w:val="0"/>
          <w:color w:val="000000" w:themeColor="text1"/>
          <w:kern w:val="2"/>
          <w:szCs w:val="28"/>
          <w14:textFill>
            <w14:solidFill>
              <w14:schemeClr w14:val="tx1"/>
            </w14:solidFill>
          </w14:textFill>
        </w:rPr>
      </w:pPr>
    </w:p>
    <w:p w14:paraId="5EBF8F86">
      <w:pPr>
        <w:spacing w:line="360" w:lineRule="auto"/>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基于账龄确认信用风险特征组合的账龄计算方法</w:t>
      </w:r>
    </w:p>
    <w:sdt>
      <w:sdtPr>
        <w:rPr>
          <w:color w:val="000000" w:themeColor="text1"/>
          <w14:textFill>
            <w14:solidFill>
              <w14:schemeClr w14:val="tx1"/>
            </w14:solidFill>
          </w14:textFill>
        </w:rPr>
        <w:alias w:val="是否适用：应收账款基于账龄确认信用风险特征组合的账龄计算方法[双击切换]"/>
        <w:tag w:val="_GBC_a30f82acbfab40128924b158366b4a73"/>
        <w:id w:val="-1065100771"/>
        <w:placeholder>
          <w:docPart w:val="GBC22222222222222222222222222222"/>
        </w:placeholder>
      </w:sdtPr>
      <w:sdtEndPr>
        <w:rPr>
          <w:color w:val="000000" w:themeColor="text1"/>
          <w14:textFill>
            <w14:solidFill>
              <w14:schemeClr w14:val="tx1"/>
            </w14:solidFill>
          </w14:textFill>
        </w:rPr>
      </w:sdtEndPr>
      <w:sdtContent>
        <w:p w14:paraId="75F1E21D">
          <w:pPr>
            <w:spacing w:line="360" w:lineRule="auto"/>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应收账款基于账龄确认信用风险特征组合的账龄计算方法"/>
        <w:tag w:val="_GBC_b5bf8a2c04eb4b5b905005b0fbc7b697"/>
        <w:id w:val="100930018"/>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应收账款基于账龄确认信用风险特征组合的账龄计算方法"/>
            <w:tag w:val="_GBC_b5bf8a2c04eb4b5b905005b0fbc7b697"/>
            <w:id w:val="-1053769070"/>
          </w:sdtPr>
          <w:sdtEndPr>
            <w:rPr>
              <w:color w:val="000000" w:themeColor="text1"/>
              <w14:textFill>
                <w14:solidFill>
                  <w14:schemeClr w14:val="tx1"/>
                </w14:solidFill>
              </w14:textFill>
            </w:rPr>
          </w:sdtEndPr>
          <w:sdtContent>
            <w:p w14:paraId="33F6B9EA">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公司基于账龄确认信用风险特征组合的账龄计算方法如下：</w:t>
              </w:r>
              <w:r>
                <w:rPr>
                  <w:color w:val="000000" w:themeColor="text1"/>
                  <w14:textFill>
                    <w14:solidFill>
                      <w14:schemeClr w14:val="tx1"/>
                    </w14:solidFill>
                  </w14:textFill>
                </w:rPr>
                <w:t xml:space="preserve"> </w:t>
              </w:r>
            </w:p>
            <w:tbl>
              <w:tblPr>
                <w:tblStyle w:val="37"/>
                <w:tblW w:w="8897"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809"/>
                <w:gridCol w:w="3544"/>
                <w:gridCol w:w="3544"/>
              </w:tblGrid>
              <w:tr w14:paraId="7C73BD8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8" w:space="0"/>
                      <w:left w:val="nil"/>
                      <w:bottom w:val="single" w:color="auto" w:sz="6" w:space="0"/>
                      <w:right w:val="single" w:color="auto" w:sz="6" w:space="0"/>
                    </w:tcBorders>
                    <w:vAlign w:val="center"/>
                  </w:tcPr>
                  <w:p w14:paraId="1B471210">
                    <w:pPr>
                      <w:rPr>
                        <w:color w:val="000000" w:themeColor="text1"/>
                        <w14:textFill>
                          <w14:solidFill>
                            <w14:schemeClr w14:val="tx1"/>
                          </w14:solidFill>
                        </w14:textFill>
                      </w:rPr>
                    </w:pPr>
                    <w:r>
                      <w:rPr>
                        <w:rFonts w:hint="eastAsia"/>
                        <w:color w:val="000000" w:themeColor="text1"/>
                        <w14:textFill>
                          <w14:solidFill>
                            <w14:schemeClr w14:val="tx1"/>
                          </w14:solidFill>
                        </w14:textFill>
                      </w:rPr>
                      <w:t>账龄</w:t>
                    </w:r>
                  </w:p>
                </w:tc>
                <w:tc>
                  <w:tcPr>
                    <w:tcW w:w="3544" w:type="dxa"/>
                    <w:tcBorders>
                      <w:top w:val="single" w:color="auto" w:sz="8" w:space="0"/>
                      <w:left w:val="single" w:color="auto" w:sz="6" w:space="0"/>
                      <w:bottom w:val="single" w:color="auto" w:sz="6" w:space="0"/>
                      <w:right w:val="single" w:color="auto" w:sz="6" w:space="0"/>
                    </w:tcBorders>
                    <w:vAlign w:val="center"/>
                  </w:tcPr>
                  <w:p w14:paraId="108CB14E">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应收账款计提比例（%）</w:t>
                    </w:r>
                  </w:p>
                </w:tc>
                <w:tc>
                  <w:tcPr>
                    <w:tcW w:w="3544" w:type="dxa"/>
                    <w:tcBorders>
                      <w:top w:val="single" w:color="auto" w:sz="8" w:space="0"/>
                      <w:left w:val="single" w:color="auto" w:sz="6" w:space="0"/>
                      <w:bottom w:val="single" w:color="auto" w:sz="6" w:space="0"/>
                      <w:right w:val="nil"/>
                    </w:tcBorders>
                    <w:vAlign w:val="center"/>
                  </w:tcPr>
                  <w:p w14:paraId="007AA760">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其他应收款计提比例（%）</w:t>
                    </w:r>
                  </w:p>
                </w:tc>
              </w:tr>
              <w:tr w14:paraId="087A744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7F3AD1F6">
                    <w:pPr>
                      <w:rPr>
                        <w:color w:val="000000" w:themeColor="text1"/>
                        <w14:textFill>
                          <w14:solidFill>
                            <w14:schemeClr w14:val="tx1"/>
                          </w14:solidFill>
                        </w14:textFill>
                      </w:rPr>
                    </w:pPr>
                    <w:r>
                      <w:rPr>
                        <w:rFonts w:hint="eastAsia"/>
                        <w:color w:val="000000" w:themeColor="text1"/>
                        <w14:textFill>
                          <w14:solidFill>
                            <w14:schemeClr w14:val="tx1"/>
                          </w14:solidFill>
                        </w14:textFill>
                      </w:rPr>
                      <w:t>1年以内</w:t>
                    </w:r>
                  </w:p>
                </w:tc>
                <w:tc>
                  <w:tcPr>
                    <w:tcW w:w="3544" w:type="dxa"/>
                    <w:tcBorders>
                      <w:top w:val="single" w:color="auto" w:sz="6" w:space="0"/>
                      <w:left w:val="single" w:color="auto" w:sz="6" w:space="0"/>
                      <w:bottom w:val="single" w:color="auto" w:sz="6" w:space="0"/>
                      <w:right w:val="single" w:color="auto" w:sz="6" w:space="0"/>
                    </w:tcBorders>
                    <w:vAlign w:val="center"/>
                  </w:tcPr>
                  <w:p w14:paraId="0E95C1BB">
                    <w:pPr>
                      <w:rPr>
                        <w:color w:val="000000" w:themeColor="text1"/>
                        <w14:textFill>
                          <w14:solidFill>
                            <w14:schemeClr w14:val="tx1"/>
                          </w14:solidFill>
                        </w14:textFill>
                      </w:rPr>
                    </w:pPr>
                    <w:r>
                      <w:rPr>
                        <w:rFonts w:hint="eastAsia"/>
                        <w:color w:val="000000" w:themeColor="text1"/>
                        <w14:textFill>
                          <w14:solidFill>
                            <w14:schemeClr w14:val="tx1"/>
                          </w14:solidFill>
                        </w14:textFill>
                      </w:rPr>
                      <w:t>5.00</w:t>
                    </w:r>
                  </w:p>
                </w:tc>
                <w:tc>
                  <w:tcPr>
                    <w:tcW w:w="3544" w:type="dxa"/>
                    <w:tcBorders>
                      <w:top w:val="single" w:color="auto" w:sz="6" w:space="0"/>
                      <w:left w:val="single" w:color="auto" w:sz="6" w:space="0"/>
                      <w:bottom w:val="single" w:color="auto" w:sz="6" w:space="0"/>
                      <w:right w:val="nil"/>
                    </w:tcBorders>
                    <w:vAlign w:val="center"/>
                  </w:tcPr>
                  <w:p w14:paraId="2235E40C">
                    <w:pPr>
                      <w:rPr>
                        <w:color w:val="000000" w:themeColor="text1"/>
                        <w14:textFill>
                          <w14:solidFill>
                            <w14:schemeClr w14:val="tx1"/>
                          </w14:solidFill>
                        </w14:textFill>
                      </w:rPr>
                    </w:pPr>
                    <w:r>
                      <w:rPr>
                        <w:rFonts w:hint="eastAsia"/>
                        <w:color w:val="000000" w:themeColor="text1"/>
                        <w14:textFill>
                          <w14:solidFill>
                            <w14:schemeClr w14:val="tx1"/>
                          </w14:solidFill>
                        </w14:textFill>
                      </w:rPr>
                      <w:t>5.00</w:t>
                    </w:r>
                  </w:p>
                </w:tc>
              </w:tr>
              <w:tr w14:paraId="6FBA212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5CCBB26A">
                    <w:pPr>
                      <w:rPr>
                        <w:color w:val="000000" w:themeColor="text1"/>
                        <w14:textFill>
                          <w14:solidFill>
                            <w14:schemeClr w14:val="tx1"/>
                          </w14:solidFill>
                        </w14:textFill>
                      </w:rPr>
                    </w:pPr>
                    <w:r>
                      <w:rPr>
                        <w:rFonts w:hint="eastAsia"/>
                        <w:color w:val="000000" w:themeColor="text1"/>
                        <w14:textFill>
                          <w14:solidFill>
                            <w14:schemeClr w14:val="tx1"/>
                          </w14:solidFill>
                        </w14:textFill>
                      </w:rPr>
                      <w:t>1-2年</w:t>
                    </w:r>
                  </w:p>
                </w:tc>
                <w:tc>
                  <w:tcPr>
                    <w:tcW w:w="3544" w:type="dxa"/>
                    <w:tcBorders>
                      <w:top w:val="single" w:color="auto" w:sz="6" w:space="0"/>
                      <w:left w:val="single" w:color="auto" w:sz="6" w:space="0"/>
                      <w:bottom w:val="single" w:color="auto" w:sz="6" w:space="0"/>
                      <w:right w:val="single" w:color="auto" w:sz="6" w:space="0"/>
                    </w:tcBorders>
                    <w:vAlign w:val="center"/>
                  </w:tcPr>
                  <w:p w14:paraId="0D88788F">
                    <w:pPr>
                      <w:rPr>
                        <w:color w:val="000000" w:themeColor="text1"/>
                        <w14:textFill>
                          <w14:solidFill>
                            <w14:schemeClr w14:val="tx1"/>
                          </w14:solidFill>
                        </w14:textFill>
                      </w:rPr>
                    </w:pPr>
                    <w:r>
                      <w:rPr>
                        <w:rFonts w:hint="eastAsia"/>
                        <w:color w:val="000000" w:themeColor="text1"/>
                        <w14:textFill>
                          <w14:solidFill>
                            <w14:schemeClr w14:val="tx1"/>
                          </w14:solidFill>
                        </w14:textFill>
                      </w:rPr>
                      <w:t>10.00</w:t>
                    </w:r>
                  </w:p>
                </w:tc>
                <w:tc>
                  <w:tcPr>
                    <w:tcW w:w="3544" w:type="dxa"/>
                    <w:tcBorders>
                      <w:top w:val="single" w:color="auto" w:sz="6" w:space="0"/>
                      <w:left w:val="single" w:color="auto" w:sz="6" w:space="0"/>
                      <w:bottom w:val="single" w:color="auto" w:sz="6" w:space="0"/>
                      <w:right w:val="nil"/>
                    </w:tcBorders>
                    <w:vAlign w:val="center"/>
                  </w:tcPr>
                  <w:p w14:paraId="4785B694">
                    <w:pPr>
                      <w:rPr>
                        <w:color w:val="000000" w:themeColor="text1"/>
                        <w14:textFill>
                          <w14:solidFill>
                            <w14:schemeClr w14:val="tx1"/>
                          </w14:solidFill>
                        </w14:textFill>
                      </w:rPr>
                    </w:pPr>
                    <w:r>
                      <w:rPr>
                        <w:rFonts w:hint="eastAsia"/>
                        <w:color w:val="000000" w:themeColor="text1"/>
                        <w14:textFill>
                          <w14:solidFill>
                            <w14:schemeClr w14:val="tx1"/>
                          </w14:solidFill>
                        </w14:textFill>
                      </w:rPr>
                      <w:t>10.00</w:t>
                    </w:r>
                  </w:p>
                </w:tc>
              </w:tr>
              <w:tr w14:paraId="2C83265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5297E49C">
                    <w:pPr>
                      <w:rPr>
                        <w:color w:val="000000" w:themeColor="text1"/>
                        <w14:textFill>
                          <w14:solidFill>
                            <w14:schemeClr w14:val="tx1"/>
                          </w14:solidFill>
                        </w14:textFill>
                      </w:rPr>
                    </w:pPr>
                    <w:r>
                      <w:rPr>
                        <w:rFonts w:hint="eastAsia"/>
                        <w:color w:val="000000" w:themeColor="text1"/>
                        <w14:textFill>
                          <w14:solidFill>
                            <w14:schemeClr w14:val="tx1"/>
                          </w14:solidFill>
                        </w14:textFill>
                      </w:rPr>
                      <w:t>2-3年</w:t>
                    </w:r>
                  </w:p>
                </w:tc>
                <w:tc>
                  <w:tcPr>
                    <w:tcW w:w="3544" w:type="dxa"/>
                    <w:tcBorders>
                      <w:top w:val="single" w:color="auto" w:sz="6" w:space="0"/>
                      <w:left w:val="single" w:color="auto" w:sz="6" w:space="0"/>
                      <w:bottom w:val="single" w:color="auto" w:sz="6" w:space="0"/>
                      <w:right w:val="single" w:color="auto" w:sz="6" w:space="0"/>
                    </w:tcBorders>
                    <w:vAlign w:val="center"/>
                  </w:tcPr>
                  <w:p w14:paraId="282A1B1A">
                    <w:pPr>
                      <w:rPr>
                        <w:color w:val="000000" w:themeColor="text1"/>
                        <w14:textFill>
                          <w14:solidFill>
                            <w14:schemeClr w14:val="tx1"/>
                          </w14:solidFill>
                        </w14:textFill>
                      </w:rPr>
                    </w:pPr>
                    <w:r>
                      <w:rPr>
                        <w:rFonts w:hint="eastAsia"/>
                        <w:color w:val="000000" w:themeColor="text1"/>
                        <w14:textFill>
                          <w14:solidFill>
                            <w14:schemeClr w14:val="tx1"/>
                          </w14:solidFill>
                        </w14:textFill>
                      </w:rPr>
                      <w:t>20.00</w:t>
                    </w:r>
                  </w:p>
                </w:tc>
                <w:tc>
                  <w:tcPr>
                    <w:tcW w:w="3544" w:type="dxa"/>
                    <w:tcBorders>
                      <w:top w:val="single" w:color="auto" w:sz="6" w:space="0"/>
                      <w:left w:val="single" w:color="auto" w:sz="6" w:space="0"/>
                      <w:bottom w:val="single" w:color="auto" w:sz="6" w:space="0"/>
                      <w:right w:val="nil"/>
                    </w:tcBorders>
                    <w:vAlign w:val="center"/>
                  </w:tcPr>
                  <w:p w14:paraId="725E7388">
                    <w:pPr>
                      <w:rPr>
                        <w:color w:val="000000" w:themeColor="text1"/>
                        <w14:textFill>
                          <w14:solidFill>
                            <w14:schemeClr w14:val="tx1"/>
                          </w14:solidFill>
                        </w14:textFill>
                      </w:rPr>
                    </w:pPr>
                    <w:r>
                      <w:rPr>
                        <w:rFonts w:hint="eastAsia"/>
                        <w:color w:val="000000" w:themeColor="text1"/>
                        <w14:textFill>
                          <w14:solidFill>
                            <w14:schemeClr w14:val="tx1"/>
                          </w14:solidFill>
                        </w14:textFill>
                      </w:rPr>
                      <w:t>20.00</w:t>
                    </w:r>
                  </w:p>
                </w:tc>
              </w:tr>
              <w:tr w14:paraId="7AB24D3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8" w:space="0"/>
                      <w:right w:val="single" w:color="auto" w:sz="6" w:space="0"/>
                    </w:tcBorders>
                    <w:vAlign w:val="center"/>
                  </w:tcPr>
                  <w:p w14:paraId="3E637E4D">
                    <w:pPr>
                      <w:rPr>
                        <w:color w:val="000000" w:themeColor="text1"/>
                        <w14:textFill>
                          <w14:solidFill>
                            <w14:schemeClr w14:val="tx1"/>
                          </w14:solidFill>
                        </w14:textFill>
                      </w:rPr>
                    </w:pPr>
                    <w:r>
                      <w:rPr>
                        <w:rFonts w:hint="eastAsia"/>
                        <w:color w:val="000000" w:themeColor="text1"/>
                        <w14:textFill>
                          <w14:solidFill>
                            <w14:schemeClr w14:val="tx1"/>
                          </w14:solidFill>
                        </w14:textFill>
                      </w:rPr>
                      <w:t>3年以上</w:t>
                    </w:r>
                  </w:p>
                </w:tc>
                <w:tc>
                  <w:tcPr>
                    <w:tcW w:w="3544" w:type="dxa"/>
                    <w:tcBorders>
                      <w:top w:val="single" w:color="auto" w:sz="6" w:space="0"/>
                      <w:left w:val="single" w:color="auto" w:sz="6" w:space="0"/>
                      <w:bottom w:val="single" w:color="auto" w:sz="8" w:space="0"/>
                      <w:right w:val="single" w:color="auto" w:sz="6" w:space="0"/>
                    </w:tcBorders>
                    <w:vAlign w:val="center"/>
                  </w:tcPr>
                  <w:p w14:paraId="09F11283">
                    <w:pPr>
                      <w:rPr>
                        <w:color w:val="000000" w:themeColor="text1"/>
                        <w14:textFill>
                          <w14:solidFill>
                            <w14:schemeClr w14:val="tx1"/>
                          </w14:solidFill>
                        </w14:textFill>
                      </w:rPr>
                    </w:pPr>
                    <w:r>
                      <w:rPr>
                        <w:rFonts w:hint="eastAsia"/>
                        <w:color w:val="000000" w:themeColor="text1"/>
                        <w14:textFill>
                          <w14:solidFill>
                            <w14:schemeClr w14:val="tx1"/>
                          </w14:solidFill>
                        </w14:textFill>
                      </w:rPr>
                      <w:t>50.00</w:t>
                    </w:r>
                  </w:p>
                </w:tc>
                <w:tc>
                  <w:tcPr>
                    <w:tcW w:w="3544" w:type="dxa"/>
                    <w:tcBorders>
                      <w:top w:val="single" w:color="auto" w:sz="6" w:space="0"/>
                      <w:left w:val="single" w:color="auto" w:sz="6" w:space="0"/>
                      <w:bottom w:val="single" w:color="auto" w:sz="8" w:space="0"/>
                      <w:right w:val="nil"/>
                    </w:tcBorders>
                    <w:vAlign w:val="center"/>
                  </w:tcPr>
                  <w:p w14:paraId="005FEA75">
                    <w:pPr>
                      <w:rPr>
                        <w:color w:val="000000" w:themeColor="text1"/>
                        <w14:textFill>
                          <w14:solidFill>
                            <w14:schemeClr w14:val="tx1"/>
                          </w14:solidFill>
                        </w14:textFill>
                      </w:rPr>
                    </w:pPr>
                    <w:r>
                      <w:rPr>
                        <w:rFonts w:hint="eastAsia"/>
                        <w:color w:val="000000" w:themeColor="text1"/>
                        <w14:textFill>
                          <w14:solidFill>
                            <w14:schemeClr w14:val="tx1"/>
                          </w14:solidFill>
                        </w14:textFill>
                      </w:rPr>
                      <w:t>50.00</w:t>
                    </w:r>
                  </w:p>
                </w:tc>
              </w:tr>
            </w:tbl>
            <w:p w14:paraId="5B7C7BF4">
              <w:pPr>
                <w:rPr>
                  <w:color w:val="000000" w:themeColor="text1"/>
                  <w14:textFill>
                    <w14:solidFill>
                      <w14:schemeClr w14:val="tx1"/>
                    </w14:solidFill>
                  </w14:textFill>
                </w:rPr>
              </w:pPr>
              <w:r>
                <w:rPr>
                  <w:rFonts w:hint="eastAsia"/>
                  <w:color w:val="000000" w:themeColor="text1"/>
                  <w14:textFill>
                    <w14:solidFill>
                      <w14:schemeClr w14:val="tx1"/>
                    </w14:solidFill>
                  </w14:textFill>
                </w:rPr>
                <w:t>详见11.金融工具。</w:t>
              </w:r>
            </w:p>
          </w:sdtContent>
        </w:sdt>
      </w:sdtContent>
    </w:sdt>
    <w:p w14:paraId="51AC1E93">
      <w:pPr>
        <w:rPr>
          <w:rFonts w:cs="Times New Roman"/>
          <w:b/>
          <w:bCs w:val="0"/>
          <w:color w:val="000000" w:themeColor="text1"/>
          <w:kern w:val="2"/>
          <w:szCs w:val="28"/>
          <w14:textFill>
            <w14:solidFill>
              <w14:schemeClr w14:val="tx1"/>
            </w14:solidFill>
          </w14:textFill>
        </w:rPr>
      </w:pPr>
    </w:p>
    <w:p w14:paraId="531DCC8F">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按照单项计提坏账准备的认定单项计提判断标准</w:t>
      </w:r>
    </w:p>
    <w:sdt>
      <w:sdtPr>
        <w:rPr>
          <w:color w:val="000000" w:themeColor="text1"/>
          <w14:textFill>
            <w14:solidFill>
              <w14:schemeClr w14:val="tx1"/>
            </w14:solidFill>
          </w14:textFill>
        </w:rPr>
        <w:alias w:val="是否适用：应收账款按照单项计提坏账准备的单项计提判断标准[双击切换]"/>
        <w:tag w:val="_GBC_ee9e87b79c8a492885f71b93a5fcd48d"/>
        <w:id w:val="1357082276"/>
        <w:placeholder>
          <w:docPart w:val="GBC22222222222222222222222222222"/>
        </w:placeholder>
      </w:sdtPr>
      <w:sdtEndPr>
        <w:rPr>
          <w:color w:val="000000" w:themeColor="text1"/>
          <w14:textFill>
            <w14:solidFill>
              <w14:schemeClr w14:val="tx1"/>
            </w14:solidFill>
          </w14:textFill>
        </w:rPr>
      </w:sdtEndPr>
      <w:sdtContent>
        <w:p w14:paraId="393D7E0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应收账款按照单项计提坏账准备的单项计提判断标准"/>
        <w:tag w:val="_GBC_b895356990fa48cc8b1ad33cc5cda698"/>
        <w:id w:val="-653610245"/>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应收账款按照单项计提坏账准备的单项计提判断标准"/>
            <w:tag w:val="_GBC_b895356990fa48cc8b1ad33cc5cda698"/>
            <w:id w:val="-2118363765"/>
          </w:sdtPr>
          <w:sdtEndPr>
            <w:rPr>
              <w:color w:val="000000" w:themeColor="text1"/>
              <w14:textFill>
                <w14:solidFill>
                  <w14:schemeClr w14:val="tx1"/>
                </w14:solidFill>
              </w14:textFill>
            </w:rPr>
          </w:sdtEndPr>
          <w:sdtContent>
            <w:p w14:paraId="1A74429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在确定信用风险自初始确认后是否显著增加时，本公司考虑无须付出不必要的额外成本或努力即可获得的合理且有依据的信息，包括前瞻性信息。本公司考虑的信息包括：</w:t>
              </w:r>
            </w:p>
            <w:p w14:paraId="792B53D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A. 信用风险变化所导致的内部价格指标是否发生显著变化；</w:t>
              </w:r>
            </w:p>
            <w:p w14:paraId="0E3D9AF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B. 预期将导致债务人履行其偿债义务的能力是否发生显著变化的业务、财务或经济状况的不利变化；</w:t>
              </w:r>
            </w:p>
            <w:p w14:paraId="6C6F6A8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C. 债务人经营成果实际或预期是否发生显著变化；债务人所处的监管、经济或技术环境是否发生显著不利变化；</w:t>
              </w:r>
            </w:p>
            <w:p w14:paraId="09565A4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D. 作为债务抵押的担保物价值或第三方提供的担保或信用增级质量是否发生显著变化。这些变化预期将降低债务人按合同规定期限还款的经济动机或者影响违约概率；</w:t>
              </w:r>
            </w:p>
            <w:p w14:paraId="50D1B68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E. 预期将降低债务人按合同约定期限还款的经济动机是否发生显著变化；</w:t>
              </w:r>
            </w:p>
            <w:p w14:paraId="1854FC8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F. 借款合同的预期变更，包括预计违反合同的行为是否可能导致的合同义务的免除或修订、给予免息期、利率跳升、要求追加抵押品或担保或者对金融工具的合同框架做出其他变更；</w:t>
              </w:r>
            </w:p>
            <w:p w14:paraId="0F681DC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G. 债务人预期表现和还款行为是否发生显著变化；</w:t>
              </w:r>
            </w:p>
            <w:p w14:paraId="284A721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H. 合同付款是否发生逾期超过（含）30日。</w:t>
              </w:r>
            </w:p>
            <w:p w14:paraId="4B07DBA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根据金融工具的性质，本公司以单项金融工具或金融工具组合为基础评估信用风险是否显著增加。以金融工具组合为基础进行评估时，本公司可基于共同信用风险特征对金融工具进行分类，例如逾期信息和信用风险评级。</w:t>
              </w:r>
            </w:p>
            <w:p w14:paraId="071820C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通常情况下，如果逾期超过30日，本公司确定金融工具的信用风险已经显著增加。除非本公司无需付出过多成本或努力即可获得合理且有依据的信息，证明虽然超过合同约定的付款期限30天，但信用风险自初始确认以来并未显著增加。详见11</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金融工具。</w:t>
              </w:r>
            </w:p>
          </w:sdtContent>
        </w:sdt>
      </w:sdtContent>
    </w:sdt>
    <w:p w14:paraId="43AECE35">
      <w:pPr>
        <w:rPr>
          <w:color w:val="000000" w:themeColor="text1"/>
          <w14:textFill>
            <w14:solidFill>
              <w14:schemeClr w14:val="tx1"/>
            </w14:solidFill>
          </w14:textFill>
        </w:rPr>
      </w:pPr>
    </w:p>
    <w:p w14:paraId="2429A584">
      <w:pPr>
        <w:pStyle w:val="4"/>
        <w:numPr>
          <w:ilvl w:val="0"/>
          <w:numId w:val="33"/>
        </w:numPr>
        <w:rPr>
          <w:color w:val="000000" w:themeColor="text1"/>
          <w14:textFill>
            <w14:solidFill>
              <w14:schemeClr w14:val="tx1"/>
            </w14:solidFill>
          </w14:textFill>
        </w:rPr>
      </w:pPr>
      <w:bookmarkStart w:id="139" w:name="_Hlk152690443"/>
      <w:bookmarkStart w:id="140" w:name="_Hlk24102310"/>
      <w:r>
        <w:rPr>
          <w:rFonts w:hint="eastAsia"/>
          <w:color w:val="000000" w:themeColor="text1"/>
          <w14:textFill>
            <w14:solidFill>
              <w14:schemeClr w14:val="tx1"/>
            </w14:solidFill>
          </w14:textFill>
        </w:rPr>
        <w:t>应收款项融资</w:t>
      </w:r>
    </w:p>
    <w:sdt>
      <w:sdtPr>
        <w:rPr>
          <w:color w:val="000000" w:themeColor="text1"/>
          <w14:textFill>
            <w14:solidFill>
              <w14:schemeClr w14:val="tx1"/>
            </w14:solidFill>
          </w14:textFill>
        </w:rPr>
        <w:alias w:val="是否适用：应收款项融资_重要会计政策和估计[双击切换]"/>
        <w:tag w:val="_GBC_47906a8d31c54a72891112f417e1058d"/>
        <w:id w:val="-1145279056"/>
        <w:placeholder>
          <w:docPart w:val="GBC22222222222222222222222222222"/>
        </w:placeholder>
      </w:sdtPr>
      <w:sdtEndPr>
        <w:rPr>
          <w:color w:val="000000" w:themeColor="text1"/>
          <w14:textFill>
            <w14:solidFill>
              <w14:schemeClr w14:val="tx1"/>
            </w14:solidFill>
          </w14:textFill>
        </w:rPr>
      </w:sdtEndPr>
      <w:sdtContent>
        <w:p w14:paraId="6CBF7FC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139"/>
    <w:bookmarkEnd w:id="140"/>
    <w:p w14:paraId="09952845">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按照信用风险特征组合计提坏账准备的组合类别及确定依据</w:t>
      </w:r>
    </w:p>
    <w:sdt>
      <w:sdtPr>
        <w:rPr>
          <w:color w:val="000000" w:themeColor="text1"/>
          <w14:textFill>
            <w14:solidFill>
              <w14:schemeClr w14:val="tx1"/>
            </w14:solidFill>
          </w14:textFill>
        </w:rPr>
        <w:alias w:val="是否适用：应收款项融资按照信用风险特征组合计提坏账准备的组合类别及确定依据[双击切换]"/>
        <w:tag w:val="_GBC_991c72bbcc9e4545985776851a67e9f5"/>
        <w:id w:val="1088971076"/>
        <w:placeholder>
          <w:docPart w:val="GBC22222222222222222222222222222"/>
        </w:placeholder>
      </w:sdtPr>
      <w:sdtEndPr>
        <w:rPr>
          <w:color w:val="000000" w:themeColor="text1"/>
          <w14:textFill>
            <w14:solidFill>
              <w14:schemeClr w14:val="tx1"/>
            </w14:solidFill>
          </w14:textFill>
        </w:rPr>
      </w:sdtEndPr>
      <w:sdtContent>
        <w:p w14:paraId="3A369D0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应收款项融资按照信用风险特征组合计提坏账准备的组合类别及确定依据"/>
        <w:tag w:val="_GBC_e001404223de4b32980aa3a5b54f2b74"/>
        <w:id w:val="-727073715"/>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应收款项融资按照信用风险特征组合计提坏账准备的组合类别及确定依据"/>
            <w:tag w:val="_GBC_e001404223de4b32980aa3a5b54f2b74"/>
            <w:id w:val="759873313"/>
          </w:sdtPr>
          <w:sdtEndPr>
            <w:rPr>
              <w:color w:val="000000" w:themeColor="text1"/>
              <w14:textFill>
                <w14:solidFill>
                  <w14:schemeClr w14:val="tx1"/>
                </w14:solidFill>
              </w14:textFill>
            </w:rPr>
          </w:sdtEndPr>
          <w:sdtContent>
            <w:p w14:paraId="5D4FE7F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存在客观证据表明存在减值，以及其他适用于单项评估的应收票据、应收账款，其他应收款、应收款项融资及长期应收款等单独进行减值测试，确认预期信用损失，计提单项减值准备。对于不存在减值客观证据的应收票据、应收账款、其他应收款及应收款项融资或当单项金融资产无法以合理成本评估预期信用损失的信息时，公司依据信用风险特征将应收票据、应收账款、其他应收款、应收款项融资等划分为若干组合，在组合基础上计算预期信用损失，确定组合的依据如下：</w:t>
              </w:r>
            </w:p>
            <w:p w14:paraId="10CD813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a、应收票据确定组合的依据如下：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202A172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36E3D8C1">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应收票据组合1--</w:t>
                    </w:r>
                    <w:r>
                      <w:rPr>
                        <w:color w:val="000000" w:themeColor="text1"/>
                        <w14:textFill>
                          <w14:solidFill>
                            <w14:schemeClr w14:val="tx1"/>
                          </w14:solidFill>
                        </w14:textFill>
                      </w:rPr>
                      <w:t>银行承兑汇票</w:t>
                    </w:r>
                  </w:p>
                </w:tc>
                <w:tc>
                  <w:tcPr>
                    <w:tcW w:w="4644" w:type="dxa"/>
                    <w:tcBorders>
                      <w:top w:val="single" w:color="auto" w:sz="8" w:space="0"/>
                      <w:left w:val="single" w:color="auto" w:sz="6" w:space="0"/>
                      <w:bottom w:val="single" w:color="auto" w:sz="6" w:space="0"/>
                      <w:right w:val="nil"/>
                    </w:tcBorders>
                    <w:vAlign w:val="center"/>
                  </w:tcPr>
                  <w:p w14:paraId="5DFF248D">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w:t>
                    </w:r>
                    <w:r>
                      <w:rPr>
                        <w:color w:val="000000" w:themeColor="text1"/>
                        <w14:textFill>
                          <w14:solidFill>
                            <w14:schemeClr w14:val="tx1"/>
                          </w14:solidFill>
                        </w14:textFill>
                      </w:rPr>
                      <w:t>较低的银行</w:t>
                    </w:r>
                  </w:p>
                </w:tc>
              </w:tr>
              <w:tr w14:paraId="6125DCC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09C71C85">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应收票据组合2--</w:t>
                    </w:r>
                    <w:r>
                      <w:rPr>
                        <w:color w:val="000000" w:themeColor="text1"/>
                        <w14:textFill>
                          <w14:solidFill>
                            <w14:schemeClr w14:val="tx1"/>
                          </w14:solidFill>
                        </w14:textFill>
                      </w:rPr>
                      <w:t>商业承兑汇票</w:t>
                    </w:r>
                  </w:p>
                </w:tc>
                <w:tc>
                  <w:tcPr>
                    <w:tcW w:w="4644" w:type="dxa"/>
                    <w:tcBorders>
                      <w:top w:val="single" w:color="auto" w:sz="6" w:space="0"/>
                      <w:left w:val="single" w:color="auto" w:sz="6" w:space="0"/>
                      <w:bottom w:val="single" w:color="auto" w:sz="8" w:space="0"/>
                      <w:right w:val="nil"/>
                    </w:tcBorders>
                    <w:vAlign w:val="center"/>
                  </w:tcPr>
                  <w:p w14:paraId="369DDCA1">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等级较低</w:t>
                    </w:r>
                    <w:r>
                      <w:rPr>
                        <w:color w:val="000000" w:themeColor="text1"/>
                        <w14:textFill>
                          <w14:solidFill>
                            <w14:schemeClr w14:val="tx1"/>
                          </w14:solidFill>
                        </w14:textFill>
                      </w:rPr>
                      <w:t>的企业</w:t>
                    </w:r>
                  </w:p>
                </w:tc>
              </w:tr>
            </w:tbl>
            <w:p w14:paraId="526C0DD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对于划分为组合的应收票据，公司参考历史信用损失经验，结合当前状况以及对未来经济状况的预测，通过违约风险敞口和整个存续期预期信用损失率，计算预期信用损失。</w:t>
              </w:r>
            </w:p>
            <w:p w14:paraId="0494E69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b、应收账款确定组合的依据如下：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78"/>
                <w:gridCol w:w="4610"/>
              </w:tblGrid>
              <w:tr w14:paraId="3AA64D6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78" w:type="dxa"/>
                    <w:tcBorders>
                      <w:top w:val="single" w:color="auto" w:sz="8" w:space="0"/>
                      <w:left w:val="nil"/>
                      <w:bottom w:val="single" w:color="auto" w:sz="6" w:space="0"/>
                      <w:right w:val="single" w:color="auto" w:sz="6" w:space="0"/>
                    </w:tcBorders>
                    <w:vAlign w:val="center"/>
                  </w:tcPr>
                  <w:p w14:paraId="5F5FE0B6">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应收账款组合</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 xml:space="preserve"> </w:t>
                    </w:r>
                  </w:p>
                </w:tc>
                <w:tc>
                  <w:tcPr>
                    <w:tcW w:w="4610" w:type="dxa"/>
                    <w:tcBorders>
                      <w:top w:val="single" w:color="auto" w:sz="8" w:space="0"/>
                      <w:left w:val="single" w:color="auto" w:sz="6" w:space="0"/>
                      <w:bottom w:val="single" w:color="auto" w:sz="6" w:space="0"/>
                      <w:right w:val="nil"/>
                    </w:tcBorders>
                    <w:vAlign w:val="center"/>
                  </w:tcPr>
                  <w:p w14:paraId="7C3C917C">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合并报表范围内关联方组合</w:t>
                    </w:r>
                  </w:p>
                </w:tc>
              </w:tr>
              <w:tr w14:paraId="6559350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78" w:type="dxa"/>
                    <w:tcBorders>
                      <w:top w:val="single" w:color="auto" w:sz="6" w:space="0"/>
                      <w:left w:val="nil"/>
                      <w:bottom w:val="single" w:color="auto" w:sz="8" w:space="0"/>
                      <w:right w:val="single" w:color="auto" w:sz="6" w:space="0"/>
                    </w:tcBorders>
                    <w:vAlign w:val="center"/>
                  </w:tcPr>
                  <w:p w14:paraId="18F4AFA8">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应收账款组合</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 </w:t>
                    </w:r>
                  </w:p>
                </w:tc>
                <w:tc>
                  <w:tcPr>
                    <w:tcW w:w="4610" w:type="dxa"/>
                    <w:tcBorders>
                      <w:top w:val="single" w:color="auto" w:sz="6" w:space="0"/>
                      <w:left w:val="single" w:color="auto" w:sz="6" w:space="0"/>
                      <w:bottom w:val="single" w:color="auto" w:sz="8" w:space="0"/>
                      <w:right w:val="nil"/>
                    </w:tcBorders>
                    <w:vAlign w:val="center"/>
                  </w:tcPr>
                  <w:p w14:paraId="7E0372D4">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w:t>
                    </w:r>
                    <w:r>
                      <w:rPr>
                        <w:rFonts w:hint="eastAsia"/>
                        <w:color w:val="000000" w:themeColor="text1"/>
                        <w14:textFill>
                          <w14:solidFill>
                            <w14:schemeClr w14:val="tx1"/>
                          </w14:solidFill>
                        </w14:textFill>
                      </w:rPr>
                      <w:t>外部客户款项</w:t>
                    </w:r>
                  </w:p>
                </w:tc>
              </w:tr>
            </w:tbl>
            <w:p w14:paraId="4EC7EF8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对于划分为组合的应收账款，公司参考历史信用损失经验，结合当前状况以及对未来经济状况的预测，编制应收账款逾期天数与整个存续期预期信用损失率对照表，计算预期信用损失。      </w:t>
              </w:r>
            </w:p>
            <w:p w14:paraId="2A557F0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c、其他应收款确定组合的依据如下：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0B71526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2CF61B30">
                    <w:pPr>
                      <w:spacing w:line="360" w:lineRule="auto"/>
                      <w:rPr>
                        <w:color w:val="000000" w:themeColor="text1"/>
                        <w14:textFill>
                          <w14:solidFill>
                            <w14:schemeClr w14:val="tx1"/>
                          </w14:solidFill>
                        </w14:textFill>
                      </w:rPr>
                    </w:pPr>
                    <w:bookmarkStart w:id="141" w:name="_Hlk203478611"/>
                    <w:r>
                      <w:rPr>
                        <w:color w:val="000000" w:themeColor="text1"/>
                        <w14:textFill>
                          <w14:solidFill>
                            <w14:schemeClr w14:val="tx1"/>
                          </w14:solidFill>
                        </w14:textFill>
                      </w:rPr>
                      <w:t>其他应收款组合</w:t>
                    </w:r>
                    <w:bookmarkEnd w:id="141"/>
                    <w:r>
                      <w:rPr>
                        <w:rFonts w:hint="eastAsia"/>
                        <w:color w:val="000000" w:themeColor="text1"/>
                        <w14:textFill>
                          <w14:solidFill>
                            <w14:schemeClr w14:val="tx1"/>
                          </w14:solidFill>
                        </w14:textFill>
                      </w:rPr>
                      <w:t>1</w:t>
                    </w:r>
                  </w:p>
                </w:tc>
                <w:tc>
                  <w:tcPr>
                    <w:tcW w:w="4644" w:type="dxa"/>
                    <w:tcBorders>
                      <w:top w:val="single" w:color="auto" w:sz="8" w:space="0"/>
                      <w:left w:val="single" w:color="auto" w:sz="6" w:space="0"/>
                      <w:bottom w:val="single" w:color="auto" w:sz="6" w:space="0"/>
                      <w:right w:val="nil"/>
                    </w:tcBorders>
                    <w:vAlign w:val="center"/>
                  </w:tcPr>
                  <w:p w14:paraId="787DC166">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应收股利</w:t>
                    </w:r>
                  </w:p>
                </w:tc>
              </w:tr>
              <w:tr w14:paraId="7A3B98E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6" w:space="0"/>
                      <w:right w:val="single" w:color="auto" w:sz="6" w:space="0"/>
                    </w:tcBorders>
                    <w:vAlign w:val="center"/>
                  </w:tcPr>
                  <w:p w14:paraId="15730613">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2</w:t>
                    </w:r>
                  </w:p>
                </w:tc>
                <w:tc>
                  <w:tcPr>
                    <w:tcW w:w="4644" w:type="dxa"/>
                    <w:tcBorders>
                      <w:top w:val="single" w:color="auto" w:sz="6" w:space="0"/>
                      <w:left w:val="single" w:color="auto" w:sz="6" w:space="0"/>
                      <w:bottom w:val="single" w:color="auto" w:sz="6" w:space="0"/>
                      <w:right w:val="nil"/>
                    </w:tcBorders>
                    <w:vAlign w:val="center"/>
                  </w:tcPr>
                  <w:p w14:paraId="78BCB368">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应收利息</w:t>
                    </w:r>
                  </w:p>
                </w:tc>
              </w:tr>
              <w:tr w14:paraId="3BE08B5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6" w:space="0"/>
                      <w:right w:val="single" w:color="auto" w:sz="6" w:space="0"/>
                    </w:tcBorders>
                    <w:vAlign w:val="center"/>
                  </w:tcPr>
                  <w:p w14:paraId="5B670847">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3</w:t>
                    </w:r>
                  </w:p>
                </w:tc>
                <w:tc>
                  <w:tcPr>
                    <w:tcW w:w="4644" w:type="dxa"/>
                    <w:tcBorders>
                      <w:top w:val="single" w:color="auto" w:sz="6" w:space="0"/>
                      <w:left w:val="single" w:color="auto" w:sz="6" w:space="0"/>
                      <w:bottom w:val="single" w:color="auto" w:sz="6" w:space="0"/>
                      <w:right w:val="nil"/>
                    </w:tcBorders>
                    <w:vAlign w:val="center"/>
                  </w:tcPr>
                  <w:p w14:paraId="1AB56496">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合并范围内关联方组合</w:t>
                    </w:r>
                  </w:p>
                </w:tc>
              </w:tr>
              <w:tr w14:paraId="42C4AEC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304E289A">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4</w:t>
                    </w:r>
                  </w:p>
                </w:tc>
                <w:tc>
                  <w:tcPr>
                    <w:tcW w:w="4644" w:type="dxa"/>
                    <w:tcBorders>
                      <w:top w:val="single" w:color="auto" w:sz="6" w:space="0"/>
                      <w:left w:val="single" w:color="auto" w:sz="6" w:space="0"/>
                      <w:bottom w:val="single" w:color="auto" w:sz="8" w:space="0"/>
                      <w:right w:val="nil"/>
                    </w:tcBorders>
                    <w:vAlign w:val="center"/>
                  </w:tcPr>
                  <w:p w14:paraId="417864ED">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信用风险组合</w:t>
                    </w:r>
                  </w:p>
                </w:tc>
              </w:tr>
            </w:tbl>
            <w:p w14:paraId="0E725B4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对于划分为组合的其他应收款，公司参考历史信用损失经验，结合当前状况以及对未来经济状况的预测，通过违约风险敞口和未来12个月内或整个存续期预期信用损失率，计算预期信用损失。</w:t>
              </w:r>
              <w:r>
                <w:rPr>
                  <w:color w:val="000000" w:themeColor="text1"/>
                  <w14:textFill>
                    <w14:solidFill>
                      <w14:schemeClr w14:val="tx1"/>
                    </w14:solidFill>
                  </w14:textFill>
                </w:rPr>
                <w:t xml:space="preserve"> </w:t>
              </w:r>
            </w:p>
            <w:p w14:paraId="542512E7">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d、应收款项融资确定组合的依据如下：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2079F62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2D530CC6">
                    <w:pPr>
                      <w:spacing w:line="360" w:lineRule="auto"/>
                      <w:rPr>
                        <w:color w:val="000000" w:themeColor="text1"/>
                        <w14:textFill>
                          <w14:solidFill>
                            <w14:schemeClr w14:val="tx1"/>
                          </w14:solidFill>
                        </w14:textFill>
                      </w:rPr>
                    </w:pPr>
                    <w:bookmarkStart w:id="142" w:name="_Hlk203478926"/>
                    <w:r>
                      <w:rPr>
                        <w:rFonts w:hint="eastAsia"/>
                        <w:color w:val="000000" w:themeColor="text1"/>
                        <w14:textFill>
                          <w14:solidFill>
                            <w14:schemeClr w14:val="tx1"/>
                          </w14:solidFill>
                        </w14:textFill>
                      </w:rPr>
                      <w:t>应收款项融资组合1--</w:t>
                    </w:r>
                    <w:bookmarkEnd w:id="142"/>
                    <w:r>
                      <w:rPr>
                        <w:color w:val="000000" w:themeColor="text1"/>
                        <w14:textFill>
                          <w14:solidFill>
                            <w14:schemeClr w14:val="tx1"/>
                          </w14:solidFill>
                        </w14:textFill>
                      </w:rPr>
                      <w:t>银行承兑汇票</w:t>
                    </w:r>
                  </w:p>
                </w:tc>
                <w:tc>
                  <w:tcPr>
                    <w:tcW w:w="4644" w:type="dxa"/>
                    <w:tcBorders>
                      <w:top w:val="single" w:color="auto" w:sz="8" w:space="0"/>
                      <w:left w:val="single" w:color="auto" w:sz="6" w:space="0"/>
                      <w:bottom w:val="single" w:color="auto" w:sz="6" w:space="0"/>
                      <w:right w:val="nil"/>
                    </w:tcBorders>
                    <w:vAlign w:val="center"/>
                  </w:tcPr>
                  <w:p w14:paraId="661DCE23">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等级较高</w:t>
                    </w:r>
                    <w:r>
                      <w:rPr>
                        <w:color w:val="000000" w:themeColor="text1"/>
                        <w14:textFill>
                          <w14:solidFill>
                            <w14:schemeClr w14:val="tx1"/>
                          </w14:solidFill>
                        </w14:textFill>
                      </w:rPr>
                      <w:t>的银行</w:t>
                    </w:r>
                  </w:p>
                </w:tc>
              </w:tr>
              <w:tr w14:paraId="4F1378D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01E3E233">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应收款项融资组合2--</w:t>
                    </w:r>
                    <w:r>
                      <w:rPr>
                        <w:color w:val="000000" w:themeColor="text1"/>
                        <w14:textFill>
                          <w14:solidFill>
                            <w14:schemeClr w14:val="tx1"/>
                          </w14:solidFill>
                        </w14:textFill>
                      </w:rPr>
                      <w:t>商业承兑汇票</w:t>
                    </w:r>
                  </w:p>
                </w:tc>
                <w:tc>
                  <w:tcPr>
                    <w:tcW w:w="4644" w:type="dxa"/>
                    <w:tcBorders>
                      <w:top w:val="single" w:color="auto" w:sz="6" w:space="0"/>
                      <w:left w:val="single" w:color="auto" w:sz="6" w:space="0"/>
                      <w:bottom w:val="single" w:color="auto" w:sz="8" w:space="0"/>
                      <w:right w:val="nil"/>
                    </w:tcBorders>
                    <w:vAlign w:val="center"/>
                  </w:tcPr>
                  <w:p w14:paraId="1E697753">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等级较高</w:t>
                    </w:r>
                    <w:r>
                      <w:rPr>
                        <w:color w:val="000000" w:themeColor="text1"/>
                        <w14:textFill>
                          <w14:solidFill>
                            <w14:schemeClr w14:val="tx1"/>
                          </w14:solidFill>
                        </w14:textFill>
                      </w:rPr>
                      <w:t>的企业</w:t>
                    </w:r>
                  </w:p>
                </w:tc>
              </w:tr>
            </w:tbl>
            <w:p w14:paraId="3DA5F14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对于划分为组合的应收款项融资，公司参考历史信用损失经验，结合当前状况以及对未来经济状况的预测，通过违约风险敞口和整个存续期预期信用损失率，计算预期信用损失。 </w:t>
              </w:r>
            </w:p>
            <w:p w14:paraId="391041E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e、长期应收款确定组合的依据如下：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3B41F88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3FBCF450">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长期应收款组合1</w:t>
                    </w:r>
                    <w:r>
                      <w:rPr>
                        <w:color w:val="000000" w:themeColor="text1"/>
                        <w14:textFill>
                          <w14:solidFill>
                            <w14:schemeClr w14:val="tx1"/>
                          </w14:solidFill>
                        </w14:textFill>
                      </w:rPr>
                      <w:t xml:space="preserve"> </w:t>
                    </w:r>
                  </w:p>
                </w:tc>
                <w:tc>
                  <w:tcPr>
                    <w:tcW w:w="4644" w:type="dxa"/>
                    <w:tcBorders>
                      <w:top w:val="single" w:color="auto" w:sz="8" w:space="0"/>
                      <w:left w:val="single" w:color="auto" w:sz="6" w:space="0"/>
                      <w:bottom w:val="single" w:color="auto" w:sz="6" w:space="0"/>
                      <w:right w:val="nil"/>
                    </w:tcBorders>
                    <w:vAlign w:val="center"/>
                  </w:tcPr>
                  <w:p w14:paraId="4EF58025">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借款保证金</w:t>
                    </w:r>
                  </w:p>
                </w:tc>
              </w:tr>
              <w:tr w14:paraId="238B7A4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6CE88B97">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长期应收款组合2</w:t>
                    </w:r>
                  </w:p>
                </w:tc>
                <w:tc>
                  <w:tcPr>
                    <w:tcW w:w="4644" w:type="dxa"/>
                    <w:tcBorders>
                      <w:top w:val="single" w:color="auto" w:sz="6" w:space="0"/>
                      <w:left w:val="single" w:color="auto" w:sz="6" w:space="0"/>
                      <w:bottom w:val="single" w:color="auto" w:sz="8" w:space="0"/>
                      <w:right w:val="nil"/>
                    </w:tcBorders>
                    <w:vAlign w:val="center"/>
                  </w:tcPr>
                  <w:p w14:paraId="3040084F">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tr>
            </w:tbl>
            <w:p w14:paraId="38DE6C0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对于划分为组合的长期应收款，公司参考历史信用损失经验，结合当前状况以及对未来经济状况的预测，通过违约风险敞口和整个存续期预期信用损失率，计算预期信用损失。详见11.金融工具。</w:t>
              </w:r>
            </w:p>
          </w:sdtContent>
        </w:sdt>
        <w:p w14:paraId="1B902880">
          <w:pPr>
            <w:rPr>
              <w:color w:val="000000" w:themeColor="text1"/>
              <w14:textFill>
                <w14:solidFill>
                  <w14:schemeClr w14:val="tx1"/>
                </w14:solidFill>
              </w14:textFill>
            </w:rPr>
          </w:pPr>
        </w:p>
      </w:sdtContent>
    </w:sdt>
    <w:p w14:paraId="36078CB4">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基于账龄确认信用风险特征组合的账龄计算方法</w:t>
      </w:r>
    </w:p>
    <w:sdt>
      <w:sdtPr>
        <w:rPr>
          <w:color w:val="000000" w:themeColor="text1"/>
          <w14:textFill>
            <w14:solidFill>
              <w14:schemeClr w14:val="tx1"/>
            </w14:solidFill>
          </w14:textFill>
        </w:rPr>
        <w:alias w:val="是否适用：应收款项融资基于账龄确认信用风险特征组合的账龄计算方法[双击切换]"/>
        <w:tag w:val="_GBC_ed4ac302bc6f4dee85e2b543d38e4b3e"/>
        <w:id w:val="908199832"/>
        <w:placeholder>
          <w:docPart w:val="GBC22222222222222222222222222222"/>
        </w:placeholder>
      </w:sdtPr>
      <w:sdtEndPr>
        <w:rPr>
          <w:color w:val="000000" w:themeColor="text1"/>
          <w14:textFill>
            <w14:solidFill>
              <w14:schemeClr w14:val="tx1"/>
            </w14:solidFill>
          </w14:textFill>
        </w:rPr>
      </w:sdtEndPr>
      <w:sdtContent>
        <w:p w14:paraId="5AADA6D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应收款项融资基于账龄确认信用风险特征组合的账龄计算方法"/>
        <w:tag w:val="_GBC_dd9635a615ab425aaaec1feb5c3c6f6b"/>
        <w:id w:val="-1549056025"/>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应收款项融资基于账龄确认信用风险特征组合的账龄计算方法"/>
            <w:tag w:val="_GBC_dd9635a615ab425aaaec1feb5c3c6f6b"/>
            <w:id w:val="514812831"/>
          </w:sdtPr>
          <w:sdtEndPr>
            <w:rPr>
              <w:color w:val="000000" w:themeColor="text1"/>
              <w14:textFill>
                <w14:solidFill>
                  <w14:schemeClr w14:val="tx1"/>
                </w14:solidFill>
              </w14:textFill>
            </w:rPr>
          </w:sdtEndPr>
          <w:sdtContent>
            <w:p w14:paraId="420A36A0">
              <w:pPr>
                <w:rPr>
                  <w:color w:val="000000" w:themeColor="text1"/>
                  <w14:textFill>
                    <w14:solidFill>
                      <w14:schemeClr w14:val="tx1"/>
                    </w14:solidFill>
                  </w14:textFill>
                </w:rPr>
              </w:pPr>
              <w:r>
                <w:rPr>
                  <w:rFonts w:hint="eastAsia"/>
                  <w:color w:val="000000" w:themeColor="text1"/>
                  <w14:textFill>
                    <w14:solidFill>
                      <w14:schemeClr w14:val="tx1"/>
                    </w14:solidFill>
                  </w14:textFill>
                </w:rPr>
                <w:t>公司基于账龄确认信用风险特征组合的账龄计算方法如下：</w:t>
              </w:r>
              <w:r>
                <w:rPr>
                  <w:color w:val="000000" w:themeColor="text1"/>
                  <w14:textFill>
                    <w14:solidFill>
                      <w14:schemeClr w14:val="tx1"/>
                    </w14:solidFill>
                  </w14:textFill>
                </w:rPr>
                <w:t xml:space="preserve"> </w:t>
              </w:r>
            </w:p>
            <w:tbl>
              <w:tblPr>
                <w:tblStyle w:val="37"/>
                <w:tblW w:w="8897"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809"/>
                <w:gridCol w:w="3544"/>
                <w:gridCol w:w="3544"/>
              </w:tblGrid>
              <w:tr w14:paraId="4341365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8" w:space="0"/>
                      <w:left w:val="nil"/>
                      <w:bottom w:val="single" w:color="auto" w:sz="6" w:space="0"/>
                      <w:right w:val="single" w:color="auto" w:sz="6" w:space="0"/>
                    </w:tcBorders>
                    <w:vAlign w:val="center"/>
                  </w:tcPr>
                  <w:p w14:paraId="1CDE7543">
                    <w:pPr>
                      <w:rPr>
                        <w:color w:val="000000" w:themeColor="text1"/>
                        <w14:textFill>
                          <w14:solidFill>
                            <w14:schemeClr w14:val="tx1"/>
                          </w14:solidFill>
                        </w14:textFill>
                      </w:rPr>
                    </w:pPr>
                    <w:r>
                      <w:rPr>
                        <w:rFonts w:hint="eastAsia"/>
                        <w:color w:val="000000" w:themeColor="text1"/>
                        <w14:textFill>
                          <w14:solidFill>
                            <w14:schemeClr w14:val="tx1"/>
                          </w14:solidFill>
                        </w14:textFill>
                      </w:rPr>
                      <w:t>账龄</w:t>
                    </w:r>
                  </w:p>
                </w:tc>
                <w:tc>
                  <w:tcPr>
                    <w:tcW w:w="3544" w:type="dxa"/>
                    <w:tcBorders>
                      <w:top w:val="single" w:color="auto" w:sz="8" w:space="0"/>
                      <w:left w:val="single" w:color="auto" w:sz="6" w:space="0"/>
                      <w:bottom w:val="single" w:color="auto" w:sz="6" w:space="0"/>
                      <w:right w:val="single" w:color="auto" w:sz="6" w:space="0"/>
                    </w:tcBorders>
                    <w:vAlign w:val="center"/>
                  </w:tcPr>
                  <w:p w14:paraId="1D455CB7">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应收账款计提比例（%）</w:t>
                    </w:r>
                  </w:p>
                </w:tc>
                <w:tc>
                  <w:tcPr>
                    <w:tcW w:w="3544" w:type="dxa"/>
                    <w:tcBorders>
                      <w:top w:val="single" w:color="auto" w:sz="8" w:space="0"/>
                      <w:left w:val="single" w:color="auto" w:sz="6" w:space="0"/>
                      <w:bottom w:val="single" w:color="auto" w:sz="6" w:space="0"/>
                      <w:right w:val="nil"/>
                    </w:tcBorders>
                    <w:vAlign w:val="center"/>
                  </w:tcPr>
                  <w:p w14:paraId="09029600">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其他应收款计提比例（%）</w:t>
                    </w:r>
                  </w:p>
                </w:tc>
              </w:tr>
              <w:tr w14:paraId="4E8C784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37CEBE96">
                    <w:pPr>
                      <w:rPr>
                        <w:color w:val="000000" w:themeColor="text1"/>
                        <w14:textFill>
                          <w14:solidFill>
                            <w14:schemeClr w14:val="tx1"/>
                          </w14:solidFill>
                        </w14:textFill>
                      </w:rPr>
                    </w:pPr>
                    <w:r>
                      <w:rPr>
                        <w:rFonts w:hint="eastAsia"/>
                        <w:color w:val="000000" w:themeColor="text1"/>
                        <w14:textFill>
                          <w14:solidFill>
                            <w14:schemeClr w14:val="tx1"/>
                          </w14:solidFill>
                        </w14:textFill>
                      </w:rPr>
                      <w:t>1年以内</w:t>
                    </w:r>
                  </w:p>
                </w:tc>
                <w:tc>
                  <w:tcPr>
                    <w:tcW w:w="3544" w:type="dxa"/>
                    <w:tcBorders>
                      <w:top w:val="single" w:color="auto" w:sz="6" w:space="0"/>
                      <w:left w:val="single" w:color="auto" w:sz="6" w:space="0"/>
                      <w:bottom w:val="single" w:color="auto" w:sz="6" w:space="0"/>
                      <w:right w:val="single" w:color="auto" w:sz="6" w:space="0"/>
                    </w:tcBorders>
                    <w:vAlign w:val="center"/>
                  </w:tcPr>
                  <w:p w14:paraId="11725A8F">
                    <w:pPr>
                      <w:rPr>
                        <w:color w:val="000000" w:themeColor="text1"/>
                        <w14:textFill>
                          <w14:solidFill>
                            <w14:schemeClr w14:val="tx1"/>
                          </w14:solidFill>
                        </w14:textFill>
                      </w:rPr>
                    </w:pPr>
                    <w:r>
                      <w:rPr>
                        <w:rFonts w:hint="eastAsia"/>
                        <w:color w:val="000000" w:themeColor="text1"/>
                        <w14:textFill>
                          <w14:solidFill>
                            <w14:schemeClr w14:val="tx1"/>
                          </w14:solidFill>
                        </w14:textFill>
                      </w:rPr>
                      <w:t>5.00</w:t>
                    </w:r>
                  </w:p>
                </w:tc>
                <w:tc>
                  <w:tcPr>
                    <w:tcW w:w="3544" w:type="dxa"/>
                    <w:tcBorders>
                      <w:top w:val="single" w:color="auto" w:sz="6" w:space="0"/>
                      <w:left w:val="single" w:color="auto" w:sz="6" w:space="0"/>
                      <w:bottom w:val="single" w:color="auto" w:sz="6" w:space="0"/>
                      <w:right w:val="nil"/>
                    </w:tcBorders>
                    <w:vAlign w:val="center"/>
                  </w:tcPr>
                  <w:p w14:paraId="6B08E029">
                    <w:pPr>
                      <w:rPr>
                        <w:color w:val="000000" w:themeColor="text1"/>
                        <w14:textFill>
                          <w14:solidFill>
                            <w14:schemeClr w14:val="tx1"/>
                          </w14:solidFill>
                        </w14:textFill>
                      </w:rPr>
                    </w:pPr>
                    <w:r>
                      <w:rPr>
                        <w:rFonts w:hint="eastAsia"/>
                        <w:color w:val="000000" w:themeColor="text1"/>
                        <w14:textFill>
                          <w14:solidFill>
                            <w14:schemeClr w14:val="tx1"/>
                          </w14:solidFill>
                        </w14:textFill>
                      </w:rPr>
                      <w:t>5.00</w:t>
                    </w:r>
                  </w:p>
                </w:tc>
              </w:tr>
              <w:tr w14:paraId="64CFEAC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7DEF57DD">
                    <w:pPr>
                      <w:rPr>
                        <w:color w:val="000000" w:themeColor="text1"/>
                        <w14:textFill>
                          <w14:solidFill>
                            <w14:schemeClr w14:val="tx1"/>
                          </w14:solidFill>
                        </w14:textFill>
                      </w:rPr>
                    </w:pPr>
                    <w:r>
                      <w:rPr>
                        <w:rFonts w:hint="eastAsia"/>
                        <w:color w:val="000000" w:themeColor="text1"/>
                        <w14:textFill>
                          <w14:solidFill>
                            <w14:schemeClr w14:val="tx1"/>
                          </w14:solidFill>
                        </w14:textFill>
                      </w:rPr>
                      <w:t>1-2年</w:t>
                    </w:r>
                  </w:p>
                </w:tc>
                <w:tc>
                  <w:tcPr>
                    <w:tcW w:w="3544" w:type="dxa"/>
                    <w:tcBorders>
                      <w:top w:val="single" w:color="auto" w:sz="6" w:space="0"/>
                      <w:left w:val="single" w:color="auto" w:sz="6" w:space="0"/>
                      <w:bottom w:val="single" w:color="auto" w:sz="6" w:space="0"/>
                      <w:right w:val="single" w:color="auto" w:sz="6" w:space="0"/>
                    </w:tcBorders>
                    <w:vAlign w:val="center"/>
                  </w:tcPr>
                  <w:p w14:paraId="620AC733">
                    <w:pPr>
                      <w:rPr>
                        <w:color w:val="000000" w:themeColor="text1"/>
                        <w14:textFill>
                          <w14:solidFill>
                            <w14:schemeClr w14:val="tx1"/>
                          </w14:solidFill>
                        </w14:textFill>
                      </w:rPr>
                    </w:pPr>
                    <w:r>
                      <w:rPr>
                        <w:rFonts w:hint="eastAsia"/>
                        <w:color w:val="000000" w:themeColor="text1"/>
                        <w14:textFill>
                          <w14:solidFill>
                            <w14:schemeClr w14:val="tx1"/>
                          </w14:solidFill>
                        </w14:textFill>
                      </w:rPr>
                      <w:t>10.00</w:t>
                    </w:r>
                  </w:p>
                </w:tc>
                <w:tc>
                  <w:tcPr>
                    <w:tcW w:w="3544" w:type="dxa"/>
                    <w:tcBorders>
                      <w:top w:val="single" w:color="auto" w:sz="6" w:space="0"/>
                      <w:left w:val="single" w:color="auto" w:sz="6" w:space="0"/>
                      <w:bottom w:val="single" w:color="auto" w:sz="6" w:space="0"/>
                      <w:right w:val="nil"/>
                    </w:tcBorders>
                    <w:vAlign w:val="center"/>
                  </w:tcPr>
                  <w:p w14:paraId="5288CA90">
                    <w:pPr>
                      <w:rPr>
                        <w:color w:val="000000" w:themeColor="text1"/>
                        <w14:textFill>
                          <w14:solidFill>
                            <w14:schemeClr w14:val="tx1"/>
                          </w14:solidFill>
                        </w14:textFill>
                      </w:rPr>
                    </w:pPr>
                    <w:r>
                      <w:rPr>
                        <w:rFonts w:hint="eastAsia"/>
                        <w:color w:val="000000" w:themeColor="text1"/>
                        <w14:textFill>
                          <w14:solidFill>
                            <w14:schemeClr w14:val="tx1"/>
                          </w14:solidFill>
                        </w14:textFill>
                      </w:rPr>
                      <w:t>10.00</w:t>
                    </w:r>
                  </w:p>
                </w:tc>
              </w:tr>
              <w:tr w14:paraId="7C27978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176DABEF">
                    <w:pPr>
                      <w:rPr>
                        <w:color w:val="000000" w:themeColor="text1"/>
                        <w14:textFill>
                          <w14:solidFill>
                            <w14:schemeClr w14:val="tx1"/>
                          </w14:solidFill>
                        </w14:textFill>
                      </w:rPr>
                    </w:pPr>
                    <w:r>
                      <w:rPr>
                        <w:rFonts w:hint="eastAsia"/>
                        <w:color w:val="000000" w:themeColor="text1"/>
                        <w14:textFill>
                          <w14:solidFill>
                            <w14:schemeClr w14:val="tx1"/>
                          </w14:solidFill>
                        </w14:textFill>
                      </w:rPr>
                      <w:t>2-3年</w:t>
                    </w:r>
                  </w:p>
                </w:tc>
                <w:tc>
                  <w:tcPr>
                    <w:tcW w:w="3544" w:type="dxa"/>
                    <w:tcBorders>
                      <w:top w:val="single" w:color="auto" w:sz="6" w:space="0"/>
                      <w:left w:val="single" w:color="auto" w:sz="6" w:space="0"/>
                      <w:bottom w:val="single" w:color="auto" w:sz="6" w:space="0"/>
                      <w:right w:val="single" w:color="auto" w:sz="6" w:space="0"/>
                    </w:tcBorders>
                    <w:vAlign w:val="center"/>
                  </w:tcPr>
                  <w:p w14:paraId="65699DAE">
                    <w:pPr>
                      <w:rPr>
                        <w:color w:val="000000" w:themeColor="text1"/>
                        <w14:textFill>
                          <w14:solidFill>
                            <w14:schemeClr w14:val="tx1"/>
                          </w14:solidFill>
                        </w14:textFill>
                      </w:rPr>
                    </w:pPr>
                    <w:r>
                      <w:rPr>
                        <w:rFonts w:hint="eastAsia"/>
                        <w:color w:val="000000" w:themeColor="text1"/>
                        <w14:textFill>
                          <w14:solidFill>
                            <w14:schemeClr w14:val="tx1"/>
                          </w14:solidFill>
                        </w14:textFill>
                      </w:rPr>
                      <w:t>20.00</w:t>
                    </w:r>
                  </w:p>
                </w:tc>
                <w:tc>
                  <w:tcPr>
                    <w:tcW w:w="3544" w:type="dxa"/>
                    <w:tcBorders>
                      <w:top w:val="single" w:color="auto" w:sz="6" w:space="0"/>
                      <w:left w:val="single" w:color="auto" w:sz="6" w:space="0"/>
                      <w:bottom w:val="single" w:color="auto" w:sz="6" w:space="0"/>
                      <w:right w:val="nil"/>
                    </w:tcBorders>
                    <w:vAlign w:val="center"/>
                  </w:tcPr>
                  <w:p w14:paraId="1FD2FC59">
                    <w:pPr>
                      <w:rPr>
                        <w:color w:val="000000" w:themeColor="text1"/>
                        <w14:textFill>
                          <w14:solidFill>
                            <w14:schemeClr w14:val="tx1"/>
                          </w14:solidFill>
                        </w14:textFill>
                      </w:rPr>
                    </w:pPr>
                    <w:r>
                      <w:rPr>
                        <w:rFonts w:hint="eastAsia"/>
                        <w:color w:val="000000" w:themeColor="text1"/>
                        <w14:textFill>
                          <w14:solidFill>
                            <w14:schemeClr w14:val="tx1"/>
                          </w14:solidFill>
                        </w14:textFill>
                      </w:rPr>
                      <w:t>20.00</w:t>
                    </w:r>
                  </w:p>
                </w:tc>
              </w:tr>
              <w:tr w14:paraId="7A05A91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8" w:space="0"/>
                      <w:right w:val="single" w:color="auto" w:sz="6" w:space="0"/>
                    </w:tcBorders>
                    <w:vAlign w:val="center"/>
                  </w:tcPr>
                  <w:p w14:paraId="15ED14E6">
                    <w:pPr>
                      <w:rPr>
                        <w:color w:val="000000" w:themeColor="text1"/>
                        <w14:textFill>
                          <w14:solidFill>
                            <w14:schemeClr w14:val="tx1"/>
                          </w14:solidFill>
                        </w14:textFill>
                      </w:rPr>
                    </w:pPr>
                    <w:r>
                      <w:rPr>
                        <w:rFonts w:hint="eastAsia"/>
                        <w:color w:val="000000" w:themeColor="text1"/>
                        <w14:textFill>
                          <w14:solidFill>
                            <w14:schemeClr w14:val="tx1"/>
                          </w14:solidFill>
                        </w14:textFill>
                      </w:rPr>
                      <w:t>3年以上</w:t>
                    </w:r>
                  </w:p>
                </w:tc>
                <w:tc>
                  <w:tcPr>
                    <w:tcW w:w="3544" w:type="dxa"/>
                    <w:tcBorders>
                      <w:top w:val="single" w:color="auto" w:sz="6" w:space="0"/>
                      <w:left w:val="single" w:color="auto" w:sz="6" w:space="0"/>
                      <w:bottom w:val="single" w:color="auto" w:sz="8" w:space="0"/>
                      <w:right w:val="single" w:color="auto" w:sz="6" w:space="0"/>
                    </w:tcBorders>
                    <w:vAlign w:val="center"/>
                  </w:tcPr>
                  <w:p w14:paraId="434782F6">
                    <w:pPr>
                      <w:rPr>
                        <w:color w:val="000000" w:themeColor="text1"/>
                        <w14:textFill>
                          <w14:solidFill>
                            <w14:schemeClr w14:val="tx1"/>
                          </w14:solidFill>
                        </w14:textFill>
                      </w:rPr>
                    </w:pPr>
                    <w:r>
                      <w:rPr>
                        <w:rFonts w:hint="eastAsia"/>
                        <w:color w:val="000000" w:themeColor="text1"/>
                        <w14:textFill>
                          <w14:solidFill>
                            <w14:schemeClr w14:val="tx1"/>
                          </w14:solidFill>
                        </w14:textFill>
                      </w:rPr>
                      <w:t>50.00</w:t>
                    </w:r>
                  </w:p>
                </w:tc>
                <w:tc>
                  <w:tcPr>
                    <w:tcW w:w="3544" w:type="dxa"/>
                    <w:tcBorders>
                      <w:top w:val="single" w:color="auto" w:sz="6" w:space="0"/>
                      <w:left w:val="single" w:color="auto" w:sz="6" w:space="0"/>
                      <w:bottom w:val="single" w:color="auto" w:sz="8" w:space="0"/>
                      <w:right w:val="nil"/>
                    </w:tcBorders>
                    <w:vAlign w:val="center"/>
                  </w:tcPr>
                  <w:p w14:paraId="2977F52E">
                    <w:pPr>
                      <w:rPr>
                        <w:color w:val="000000" w:themeColor="text1"/>
                        <w14:textFill>
                          <w14:solidFill>
                            <w14:schemeClr w14:val="tx1"/>
                          </w14:solidFill>
                        </w14:textFill>
                      </w:rPr>
                    </w:pPr>
                    <w:r>
                      <w:rPr>
                        <w:rFonts w:hint="eastAsia"/>
                        <w:color w:val="000000" w:themeColor="text1"/>
                        <w14:textFill>
                          <w14:solidFill>
                            <w14:schemeClr w14:val="tx1"/>
                          </w14:solidFill>
                        </w14:textFill>
                      </w:rPr>
                      <w:t>50.00</w:t>
                    </w:r>
                  </w:p>
                </w:tc>
              </w:tr>
            </w:tbl>
            <w:p w14:paraId="52E64A97">
              <w:pPr>
                <w:rPr>
                  <w:color w:val="000000" w:themeColor="text1"/>
                  <w14:textFill>
                    <w14:solidFill>
                      <w14:schemeClr w14:val="tx1"/>
                    </w14:solidFill>
                  </w14:textFill>
                </w:rPr>
              </w:pPr>
              <w:r>
                <w:rPr>
                  <w:rFonts w:hint="eastAsia"/>
                  <w:color w:val="000000" w:themeColor="text1"/>
                  <w14:textFill>
                    <w14:solidFill>
                      <w14:schemeClr w14:val="tx1"/>
                    </w14:solidFill>
                  </w14:textFill>
                </w:rPr>
                <w:t>详见11.金融工具。</w:t>
              </w:r>
            </w:p>
          </w:sdtContent>
        </w:sdt>
      </w:sdtContent>
    </w:sdt>
    <w:p w14:paraId="67C85D71">
      <w:pPr>
        <w:rPr>
          <w:rFonts w:cs="Times New Roman"/>
          <w:b/>
          <w:bCs w:val="0"/>
          <w:color w:val="000000" w:themeColor="text1"/>
          <w:kern w:val="2"/>
          <w:szCs w:val="28"/>
          <w14:textFill>
            <w14:solidFill>
              <w14:schemeClr w14:val="tx1"/>
            </w14:solidFill>
          </w14:textFill>
        </w:rPr>
      </w:pPr>
    </w:p>
    <w:p w14:paraId="0CB5A90C">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按照单项计提坏账准备的单项计提判断标准</w:t>
      </w:r>
    </w:p>
    <w:sdt>
      <w:sdtPr>
        <w:rPr>
          <w:color w:val="000000" w:themeColor="text1"/>
          <w14:textFill>
            <w14:solidFill>
              <w14:schemeClr w14:val="tx1"/>
            </w14:solidFill>
          </w14:textFill>
        </w:rPr>
        <w:alias w:val="是否适用：应收款项融资按照单项计提坏账准备的单项计提判断标准[双击切换]"/>
        <w:tag w:val="_GBC_da1ff8ccd2084f059e028af496d67278"/>
        <w:id w:val="-1052765693"/>
        <w:placeholder>
          <w:docPart w:val="GBC22222222222222222222222222222"/>
        </w:placeholder>
      </w:sdtPr>
      <w:sdtEndPr>
        <w:rPr>
          <w:color w:val="000000" w:themeColor="text1"/>
          <w14:textFill>
            <w14:solidFill>
              <w14:schemeClr w14:val="tx1"/>
            </w14:solidFill>
          </w14:textFill>
        </w:rPr>
      </w:sdtEndPr>
      <w:sdtContent>
        <w:p w14:paraId="3022E18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应收款项融资按照单项计提坏账准备的单项计提判断标准"/>
        <w:tag w:val="_GBC_6b04e4650f0645ff867d0c4ec58b44d2"/>
        <w:id w:val="1530923058"/>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应收款项融资按照单项计提坏账准备的单项计提判断标准"/>
            <w:tag w:val="_GBC_6b04e4650f0645ff867d0c4ec58b44d2"/>
            <w:id w:val="-1227990070"/>
          </w:sdtPr>
          <w:sdtEndPr>
            <w:rPr>
              <w:color w:val="000000" w:themeColor="text1"/>
              <w14:textFill>
                <w14:solidFill>
                  <w14:schemeClr w14:val="tx1"/>
                </w14:solidFill>
              </w14:textFill>
            </w:rPr>
          </w:sdtEndPr>
          <w:sdtContent>
            <w:p w14:paraId="705A206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在确定信用风险自初始确认后是否显著增加时，本公司考虑无须付出不必要的额外成本或努力即可获得的合理且有依据的信息，包括前瞻性信息。本公司考虑的信息包括：   </w:t>
              </w:r>
            </w:p>
            <w:p w14:paraId="3B84EDD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A. 信用风险变化所导致的内部价格指标是否发生显著变化；    </w:t>
              </w:r>
            </w:p>
            <w:p w14:paraId="59065EC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B. 预期将导致债务人履行其偿债义务的能力是否发生显著变化的业务、财务或经济状况的不利变化；    </w:t>
              </w:r>
            </w:p>
            <w:p w14:paraId="021A14C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C. 债务人经营成果实际或预期是否发生显著变化；债务人所处的监管、经济或技术环境是否发生显著不利变化；    </w:t>
              </w:r>
            </w:p>
            <w:p w14:paraId="078D8E9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D. 作为债务抵押的担保物价值或第三方提供的担保或信用增级质量是否发生显著变化。这些变化预期将降低债务人按合同规定期限还款的经济动机或者影响违约概率；    </w:t>
              </w:r>
            </w:p>
            <w:p w14:paraId="280870C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E. 预期将降低债务人按合同约定期限还款的经济动机是否发生显著变化；    </w:t>
              </w:r>
            </w:p>
            <w:p w14:paraId="445DE81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F. 借款合同的预期变更，包括预计违反合同的行为是否可能导致的合同义务的免除或修订、给予免息期、利率跳升、要求追加抵押品或担保或者对金融工具的合同框架做出其他变更；      </w:t>
              </w:r>
            </w:p>
            <w:p w14:paraId="008E322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G. 债务人预期表现和还款行为是否发生显著变化；    </w:t>
              </w:r>
            </w:p>
            <w:p w14:paraId="433C6BF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H. 合同付款是否发生逾期超过（含）30日。    </w:t>
              </w:r>
            </w:p>
            <w:p w14:paraId="0B6ECEA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根据金融工具的性质，本公司以单项金融工具或金融工具组合为基础评估信用风险是否显著增加。以金融工具组合为基础进行评估时，本公司可基于共同信用风险特征对金融工具进行分类，例如逾期信息和信用风险评级。    </w:t>
              </w:r>
            </w:p>
            <w:p w14:paraId="45333D1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通常情况下，如果逾期超过30日，本公司确定金融工具的信用风险已经显著增加。除非本公司无需付出过多成本或努力即可获得合理且有依据的信息，证明虽然超过合同约定的付款期限30天，但信用风险自初始确认以来并未显著增加。详见11.金融工具。</w:t>
              </w:r>
            </w:p>
          </w:sdtContent>
        </w:sdt>
      </w:sdtContent>
    </w:sdt>
    <w:p w14:paraId="59BC03B5">
      <w:pPr>
        <w:rPr>
          <w:color w:val="000000" w:themeColor="text1"/>
          <w14:textFill>
            <w14:solidFill>
              <w14:schemeClr w14:val="tx1"/>
            </w14:solidFill>
          </w14:textFill>
        </w:rPr>
      </w:pPr>
    </w:p>
    <w:p w14:paraId="1CE71ADC">
      <w:pPr>
        <w:pStyle w:val="4"/>
        <w:numPr>
          <w:ilvl w:val="0"/>
          <w:numId w:val="33"/>
        </w:numPr>
        <w:rPr>
          <w:color w:val="000000" w:themeColor="text1"/>
          <w:szCs w:val="21"/>
          <w14:textFill>
            <w14:solidFill>
              <w14:schemeClr w14:val="tx1"/>
            </w14:solidFill>
          </w14:textFill>
        </w:rPr>
      </w:pPr>
      <w:bookmarkStart w:id="143" w:name="_Hlk533667836"/>
      <w:r>
        <w:rPr>
          <w:rFonts w:hint="eastAsia"/>
          <w:color w:val="000000" w:themeColor="text1"/>
          <w:szCs w:val="21"/>
          <w14:textFill>
            <w14:solidFill>
              <w14:schemeClr w14:val="tx1"/>
            </w14:solidFill>
          </w14:textFill>
        </w:rPr>
        <w:t>其他应收款</w:t>
      </w:r>
    </w:p>
    <w:sdt>
      <w:sdtPr>
        <w:rPr>
          <w:rFonts w:hint="eastAsia"/>
          <w:color w:val="000000" w:themeColor="text1"/>
          <w14:textFill>
            <w14:solidFill>
              <w14:schemeClr w14:val="tx1"/>
            </w14:solidFill>
          </w14:textFill>
        </w:rPr>
        <w:alias w:val="是否适用：其他应收款_重要会计政策和估计[双击切换]"/>
        <w:tag w:val="_GBC_dfe58b09048a4951b32b48ce6a3930aa"/>
        <w:id w:val="-1563159850"/>
        <w:placeholder>
          <w:docPart w:val="GBC22222222222222222222222222222"/>
        </w:placeholder>
      </w:sdtPr>
      <w:sdtEndPr>
        <w:rPr>
          <w:rFonts w:hint="eastAsia"/>
          <w:color w:val="000000" w:themeColor="text1"/>
          <w14:textFill>
            <w14:solidFill>
              <w14:schemeClr w14:val="tx1"/>
            </w14:solidFill>
          </w14:textFill>
        </w:rPr>
      </w:sdtEndPr>
      <w:sdtContent>
        <w:p w14:paraId="68FE372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143"/>
    <w:p w14:paraId="7B97773C">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按照信用风险特征组合计提坏账准备的组合类别及确定依据</w:t>
      </w:r>
    </w:p>
    <w:sdt>
      <w:sdtPr>
        <w:rPr>
          <w:color w:val="000000" w:themeColor="text1"/>
          <w14:textFill>
            <w14:solidFill>
              <w14:schemeClr w14:val="tx1"/>
            </w14:solidFill>
          </w14:textFill>
        </w:rPr>
        <w:alias w:val="是否适用：其他应收款按照信用风险特征组合计提坏账准备的组合类别及确定依据[双击切换]"/>
        <w:tag w:val="_GBC_9e16f620387d402e9e85b4fe910b3b32"/>
        <w:id w:val="-596250988"/>
        <w:placeholder>
          <w:docPart w:val="GBC22222222222222222222222222222"/>
        </w:placeholder>
      </w:sdtPr>
      <w:sdtEndPr>
        <w:rPr>
          <w:color w:val="000000" w:themeColor="text1"/>
          <w14:textFill>
            <w14:solidFill>
              <w14:schemeClr w14:val="tx1"/>
            </w14:solidFill>
          </w14:textFill>
        </w:rPr>
      </w:sdtEndPr>
      <w:sdtContent>
        <w:p w14:paraId="7CC63A5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其他应收款按照信用风险特征组合计提坏账准备的组合类别及确定依据"/>
        <w:tag w:val="_GBC_09d041e587b1414ca6dcd8a2b8f31b9f"/>
        <w:id w:val="414524689"/>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其他应收款按照信用风险特征组合计提坏账准备的组合类别及确定依据"/>
            <w:tag w:val="_GBC_09d041e587b1414ca6dcd8a2b8f31b9f"/>
            <w:id w:val="1603613777"/>
          </w:sdtPr>
          <w:sdtEndPr>
            <w:rPr>
              <w:color w:val="000000" w:themeColor="text1"/>
              <w14:textFill>
                <w14:solidFill>
                  <w14:schemeClr w14:val="tx1"/>
                </w14:solidFill>
              </w14:textFill>
            </w:rPr>
          </w:sdtEndPr>
          <w:sdtContent>
            <w:p w14:paraId="3BA2726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于存在客观证据表明存在减值，以及其他适用于单项评估的应收票据、应收账款，其他应收款、应收款项融资及长期应收款等单独进行减值测试，确认预期信用损失，计提单项减值准备。对于不存在减值客观证据的应收票据、应收账款、其他应收款及应收款项融资或当单项金融资产无法以合理成本评估预期信用损失的信息时，公司依据信用风险特征将应收票据、应收账款、其他应收款、应收款项融资等划分为若干组合，在组合基础上计算预期信用损失，确定组合的依据如下：  </w:t>
              </w:r>
            </w:p>
            <w:p w14:paraId="620B564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a、应收票据确定组合的依据如下：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3EE8804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67F97D24">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应收票据组合1--</w:t>
                    </w:r>
                    <w:r>
                      <w:rPr>
                        <w:color w:val="000000" w:themeColor="text1"/>
                        <w14:textFill>
                          <w14:solidFill>
                            <w14:schemeClr w14:val="tx1"/>
                          </w14:solidFill>
                        </w14:textFill>
                      </w:rPr>
                      <w:t>银行承兑汇票</w:t>
                    </w:r>
                  </w:p>
                </w:tc>
                <w:tc>
                  <w:tcPr>
                    <w:tcW w:w="4644" w:type="dxa"/>
                    <w:tcBorders>
                      <w:top w:val="single" w:color="auto" w:sz="8" w:space="0"/>
                      <w:left w:val="single" w:color="auto" w:sz="6" w:space="0"/>
                      <w:bottom w:val="single" w:color="auto" w:sz="6" w:space="0"/>
                      <w:right w:val="nil"/>
                    </w:tcBorders>
                    <w:vAlign w:val="center"/>
                  </w:tcPr>
                  <w:p w14:paraId="6942B361">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w:t>
                    </w:r>
                    <w:r>
                      <w:rPr>
                        <w:color w:val="000000" w:themeColor="text1"/>
                        <w14:textFill>
                          <w14:solidFill>
                            <w14:schemeClr w14:val="tx1"/>
                          </w14:solidFill>
                        </w14:textFill>
                      </w:rPr>
                      <w:t>较低的银行</w:t>
                    </w:r>
                  </w:p>
                </w:tc>
              </w:tr>
              <w:tr w14:paraId="524FAA1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788D2CA7">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应收票据组合2--</w:t>
                    </w:r>
                    <w:r>
                      <w:rPr>
                        <w:color w:val="000000" w:themeColor="text1"/>
                        <w14:textFill>
                          <w14:solidFill>
                            <w14:schemeClr w14:val="tx1"/>
                          </w14:solidFill>
                        </w14:textFill>
                      </w:rPr>
                      <w:t>商业承兑汇票</w:t>
                    </w:r>
                  </w:p>
                </w:tc>
                <w:tc>
                  <w:tcPr>
                    <w:tcW w:w="4644" w:type="dxa"/>
                    <w:tcBorders>
                      <w:top w:val="single" w:color="auto" w:sz="6" w:space="0"/>
                      <w:left w:val="single" w:color="auto" w:sz="6" w:space="0"/>
                      <w:bottom w:val="single" w:color="auto" w:sz="8" w:space="0"/>
                      <w:right w:val="nil"/>
                    </w:tcBorders>
                    <w:vAlign w:val="center"/>
                  </w:tcPr>
                  <w:p w14:paraId="5AF70A36">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等级较低</w:t>
                    </w:r>
                    <w:r>
                      <w:rPr>
                        <w:color w:val="000000" w:themeColor="text1"/>
                        <w14:textFill>
                          <w14:solidFill>
                            <w14:schemeClr w14:val="tx1"/>
                          </w14:solidFill>
                        </w14:textFill>
                      </w:rPr>
                      <w:t>的企业</w:t>
                    </w:r>
                  </w:p>
                </w:tc>
              </w:tr>
            </w:tbl>
            <w:p w14:paraId="395520D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对于划分为组合的应收票据，公司参考历史信用损失经验，结合当前状况以及对未来经济状况的预测，通过违约风险敞口和整个存续期预期信用损失率，计算预期信用损失。    </w:t>
              </w:r>
            </w:p>
            <w:p w14:paraId="553CDA1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b、应收账款确定组合的依据如下：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4A7DD5A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1A889FB8">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应收账款组合</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 xml:space="preserve"> </w:t>
                    </w:r>
                  </w:p>
                </w:tc>
                <w:tc>
                  <w:tcPr>
                    <w:tcW w:w="4644" w:type="dxa"/>
                    <w:tcBorders>
                      <w:top w:val="single" w:color="auto" w:sz="8" w:space="0"/>
                      <w:left w:val="single" w:color="auto" w:sz="6" w:space="0"/>
                      <w:bottom w:val="single" w:color="auto" w:sz="6" w:space="0"/>
                      <w:right w:val="nil"/>
                    </w:tcBorders>
                    <w:vAlign w:val="center"/>
                  </w:tcPr>
                  <w:p w14:paraId="06642220">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合并报表范围内关联方组合</w:t>
                    </w:r>
                  </w:p>
                </w:tc>
              </w:tr>
              <w:tr w14:paraId="2CF65FC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587A5211">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应收账款组合</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 </w:t>
                    </w:r>
                  </w:p>
                </w:tc>
                <w:tc>
                  <w:tcPr>
                    <w:tcW w:w="4644" w:type="dxa"/>
                    <w:tcBorders>
                      <w:top w:val="single" w:color="auto" w:sz="6" w:space="0"/>
                      <w:left w:val="single" w:color="auto" w:sz="6" w:space="0"/>
                      <w:bottom w:val="single" w:color="auto" w:sz="8" w:space="0"/>
                      <w:right w:val="nil"/>
                    </w:tcBorders>
                    <w:vAlign w:val="center"/>
                  </w:tcPr>
                  <w:p w14:paraId="67AB2D51">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w:t>
                    </w:r>
                    <w:r>
                      <w:rPr>
                        <w:rFonts w:hint="eastAsia"/>
                        <w:color w:val="000000" w:themeColor="text1"/>
                        <w14:textFill>
                          <w14:solidFill>
                            <w14:schemeClr w14:val="tx1"/>
                          </w14:solidFill>
                        </w14:textFill>
                      </w:rPr>
                      <w:t>外部客户款项</w:t>
                    </w:r>
                  </w:p>
                </w:tc>
              </w:tr>
            </w:tbl>
            <w:p w14:paraId="1DD0D3F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对于划分为组合的应收账款，公司参考历史信用损失经验，结合当前状况以及对未来经济状况的预测，编制应收账款逾期天数与整个存续期预期信用损失率对照表，计算预期信用损失。       </w:t>
              </w:r>
            </w:p>
            <w:p w14:paraId="02C54FF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c、其他应收款确定组合的依据如下：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0671071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66990460">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1</w:t>
                    </w:r>
                  </w:p>
                </w:tc>
                <w:tc>
                  <w:tcPr>
                    <w:tcW w:w="4644" w:type="dxa"/>
                    <w:tcBorders>
                      <w:top w:val="single" w:color="auto" w:sz="8" w:space="0"/>
                      <w:left w:val="single" w:color="auto" w:sz="6" w:space="0"/>
                      <w:bottom w:val="single" w:color="auto" w:sz="6" w:space="0"/>
                      <w:right w:val="nil"/>
                    </w:tcBorders>
                    <w:vAlign w:val="center"/>
                  </w:tcPr>
                  <w:p w14:paraId="1749D4AF">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应收股利</w:t>
                    </w:r>
                  </w:p>
                </w:tc>
              </w:tr>
              <w:tr w14:paraId="460F347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6" w:space="0"/>
                      <w:right w:val="single" w:color="auto" w:sz="6" w:space="0"/>
                    </w:tcBorders>
                    <w:vAlign w:val="center"/>
                  </w:tcPr>
                  <w:p w14:paraId="39296B60">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2</w:t>
                    </w:r>
                  </w:p>
                </w:tc>
                <w:tc>
                  <w:tcPr>
                    <w:tcW w:w="4644" w:type="dxa"/>
                    <w:tcBorders>
                      <w:top w:val="single" w:color="auto" w:sz="6" w:space="0"/>
                      <w:left w:val="single" w:color="auto" w:sz="6" w:space="0"/>
                      <w:bottom w:val="single" w:color="auto" w:sz="6" w:space="0"/>
                      <w:right w:val="nil"/>
                    </w:tcBorders>
                    <w:vAlign w:val="center"/>
                  </w:tcPr>
                  <w:p w14:paraId="050904F1">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应收利息</w:t>
                    </w:r>
                  </w:p>
                </w:tc>
              </w:tr>
              <w:tr w14:paraId="024ACFE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6" w:space="0"/>
                      <w:right w:val="single" w:color="auto" w:sz="6" w:space="0"/>
                    </w:tcBorders>
                    <w:vAlign w:val="center"/>
                  </w:tcPr>
                  <w:p w14:paraId="505CABCC">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3</w:t>
                    </w:r>
                  </w:p>
                </w:tc>
                <w:tc>
                  <w:tcPr>
                    <w:tcW w:w="4644" w:type="dxa"/>
                    <w:tcBorders>
                      <w:top w:val="single" w:color="auto" w:sz="6" w:space="0"/>
                      <w:left w:val="single" w:color="auto" w:sz="6" w:space="0"/>
                      <w:bottom w:val="single" w:color="auto" w:sz="6" w:space="0"/>
                      <w:right w:val="nil"/>
                    </w:tcBorders>
                    <w:vAlign w:val="center"/>
                  </w:tcPr>
                  <w:p w14:paraId="0E378089">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合并范围内关联方组合</w:t>
                    </w:r>
                  </w:p>
                </w:tc>
              </w:tr>
              <w:tr w14:paraId="1B1FAAC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0B178DDE">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其他应收款组合</w:t>
                    </w:r>
                    <w:r>
                      <w:rPr>
                        <w:rFonts w:hint="eastAsia"/>
                        <w:color w:val="000000" w:themeColor="text1"/>
                        <w14:textFill>
                          <w14:solidFill>
                            <w14:schemeClr w14:val="tx1"/>
                          </w14:solidFill>
                        </w14:textFill>
                      </w:rPr>
                      <w:t>4</w:t>
                    </w:r>
                  </w:p>
                </w:tc>
                <w:tc>
                  <w:tcPr>
                    <w:tcW w:w="4644" w:type="dxa"/>
                    <w:tcBorders>
                      <w:top w:val="single" w:color="auto" w:sz="6" w:space="0"/>
                      <w:left w:val="single" w:color="auto" w:sz="6" w:space="0"/>
                      <w:bottom w:val="single" w:color="auto" w:sz="8" w:space="0"/>
                      <w:right w:val="nil"/>
                    </w:tcBorders>
                    <w:vAlign w:val="center"/>
                  </w:tcPr>
                  <w:p w14:paraId="21AA3E2B">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信用风险组合</w:t>
                    </w:r>
                  </w:p>
                </w:tc>
              </w:tr>
            </w:tbl>
            <w:p w14:paraId="28E7D44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对于划分为组合的其他应收款，公司参考历史信用损失经验，结合当前状况以及对未来经济状况的预测，通过违约风险敞口和未来12个月内或整个存续期预期信用损失率，计算预期信用损失。</w:t>
              </w:r>
              <w:r>
                <w:rPr>
                  <w:color w:val="000000" w:themeColor="text1"/>
                  <w14:textFill>
                    <w14:solidFill>
                      <w14:schemeClr w14:val="tx1"/>
                    </w14:solidFill>
                  </w14:textFill>
                </w:rPr>
                <w:t xml:space="preserve"> </w:t>
              </w:r>
            </w:p>
            <w:p w14:paraId="60C83FB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d、应收款项融资确定组合的依据如下： </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75816E2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7D401D7C">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应收款项融资组合1--</w:t>
                    </w:r>
                    <w:r>
                      <w:rPr>
                        <w:color w:val="000000" w:themeColor="text1"/>
                        <w14:textFill>
                          <w14:solidFill>
                            <w14:schemeClr w14:val="tx1"/>
                          </w14:solidFill>
                        </w14:textFill>
                      </w:rPr>
                      <w:t>银行承兑汇票</w:t>
                    </w:r>
                  </w:p>
                </w:tc>
                <w:tc>
                  <w:tcPr>
                    <w:tcW w:w="4644" w:type="dxa"/>
                    <w:tcBorders>
                      <w:top w:val="single" w:color="auto" w:sz="8" w:space="0"/>
                      <w:left w:val="single" w:color="auto" w:sz="6" w:space="0"/>
                      <w:bottom w:val="single" w:color="auto" w:sz="6" w:space="0"/>
                      <w:right w:val="nil"/>
                    </w:tcBorders>
                    <w:vAlign w:val="center"/>
                  </w:tcPr>
                  <w:p w14:paraId="1FB81EC7">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等级较高</w:t>
                    </w:r>
                    <w:r>
                      <w:rPr>
                        <w:color w:val="000000" w:themeColor="text1"/>
                        <w14:textFill>
                          <w14:solidFill>
                            <w14:schemeClr w14:val="tx1"/>
                          </w14:solidFill>
                        </w14:textFill>
                      </w:rPr>
                      <w:t>的银行</w:t>
                    </w:r>
                  </w:p>
                </w:tc>
              </w:tr>
              <w:tr w14:paraId="36D504A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016C321B">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应收款项融资组合2--</w:t>
                    </w:r>
                    <w:r>
                      <w:rPr>
                        <w:color w:val="000000" w:themeColor="text1"/>
                        <w14:textFill>
                          <w14:solidFill>
                            <w14:schemeClr w14:val="tx1"/>
                          </w14:solidFill>
                        </w14:textFill>
                      </w:rPr>
                      <w:t>商业承兑汇票</w:t>
                    </w:r>
                  </w:p>
                </w:tc>
                <w:tc>
                  <w:tcPr>
                    <w:tcW w:w="4644" w:type="dxa"/>
                    <w:tcBorders>
                      <w:top w:val="single" w:color="auto" w:sz="6" w:space="0"/>
                      <w:left w:val="single" w:color="auto" w:sz="6" w:space="0"/>
                      <w:bottom w:val="single" w:color="auto" w:sz="8" w:space="0"/>
                      <w:right w:val="nil"/>
                    </w:tcBorders>
                    <w:vAlign w:val="center"/>
                  </w:tcPr>
                  <w:p w14:paraId="2ECAD834">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信用</w:t>
                    </w:r>
                    <w:r>
                      <w:rPr>
                        <w:rFonts w:hint="eastAsia"/>
                        <w:color w:val="000000" w:themeColor="text1"/>
                        <w14:textFill>
                          <w14:solidFill>
                            <w14:schemeClr w14:val="tx1"/>
                          </w14:solidFill>
                        </w14:textFill>
                      </w:rPr>
                      <w:t>等级较高</w:t>
                    </w:r>
                    <w:r>
                      <w:rPr>
                        <w:color w:val="000000" w:themeColor="text1"/>
                        <w14:textFill>
                          <w14:solidFill>
                            <w14:schemeClr w14:val="tx1"/>
                          </w14:solidFill>
                        </w14:textFill>
                      </w:rPr>
                      <w:t>的企业</w:t>
                    </w:r>
                  </w:p>
                </w:tc>
              </w:tr>
            </w:tbl>
            <w:p w14:paraId="713017E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对于划分为组合的应收款项融资，公司参考历史信用损失经验，结合当前状况以及对未来经济状况的预测，通过违约风险敞口和整个存续期预期信用损失率，计算预期信用损失。    </w:t>
              </w:r>
            </w:p>
            <w:p w14:paraId="2521589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e、长期应收款确定组合的依据如下：</w:t>
              </w:r>
            </w:p>
            <w:tbl>
              <w:tblPr>
                <w:tblStyle w:val="37"/>
                <w:tblW w:w="9288"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44"/>
                <w:gridCol w:w="4644"/>
              </w:tblGrid>
              <w:tr w14:paraId="41773EF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8" w:space="0"/>
                      <w:left w:val="nil"/>
                      <w:bottom w:val="single" w:color="auto" w:sz="6" w:space="0"/>
                      <w:right w:val="single" w:color="auto" w:sz="6" w:space="0"/>
                    </w:tcBorders>
                    <w:vAlign w:val="center"/>
                  </w:tcPr>
                  <w:p w14:paraId="0B519FFC">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长期应收款组合1</w:t>
                    </w:r>
                    <w:r>
                      <w:rPr>
                        <w:color w:val="000000" w:themeColor="text1"/>
                        <w14:textFill>
                          <w14:solidFill>
                            <w14:schemeClr w14:val="tx1"/>
                          </w14:solidFill>
                        </w14:textFill>
                      </w:rPr>
                      <w:t xml:space="preserve"> </w:t>
                    </w:r>
                  </w:p>
                </w:tc>
                <w:tc>
                  <w:tcPr>
                    <w:tcW w:w="4644" w:type="dxa"/>
                    <w:tcBorders>
                      <w:top w:val="single" w:color="auto" w:sz="8" w:space="0"/>
                      <w:left w:val="single" w:color="auto" w:sz="6" w:space="0"/>
                      <w:bottom w:val="single" w:color="auto" w:sz="6" w:space="0"/>
                      <w:right w:val="nil"/>
                    </w:tcBorders>
                    <w:vAlign w:val="center"/>
                  </w:tcPr>
                  <w:p w14:paraId="55734051">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借款保证金</w:t>
                    </w:r>
                  </w:p>
                </w:tc>
              </w:tr>
              <w:tr w14:paraId="4045C29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644" w:type="dxa"/>
                    <w:tcBorders>
                      <w:top w:val="single" w:color="auto" w:sz="6" w:space="0"/>
                      <w:left w:val="nil"/>
                      <w:bottom w:val="single" w:color="auto" w:sz="8" w:space="0"/>
                      <w:right w:val="single" w:color="auto" w:sz="6" w:space="0"/>
                    </w:tcBorders>
                    <w:vAlign w:val="center"/>
                  </w:tcPr>
                  <w:p w14:paraId="16B84867">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长期应收款组合2</w:t>
                    </w:r>
                  </w:p>
                </w:tc>
                <w:tc>
                  <w:tcPr>
                    <w:tcW w:w="4644" w:type="dxa"/>
                    <w:tcBorders>
                      <w:top w:val="single" w:color="auto" w:sz="6" w:space="0"/>
                      <w:left w:val="single" w:color="auto" w:sz="6" w:space="0"/>
                      <w:bottom w:val="single" w:color="auto" w:sz="8" w:space="0"/>
                      <w:right w:val="nil"/>
                    </w:tcBorders>
                    <w:vAlign w:val="center"/>
                  </w:tcPr>
                  <w:p w14:paraId="36BE5EC0">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tr>
            </w:tbl>
            <w:p w14:paraId="5BB9446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对于划分为组合的长期应收款，公司参考历史信用损失经验，结合当前状况以及对未来经济状况的预测，通过违约风险敞口和整个存续期预期信用损失率，计算预期信用损失。详见11.金融工具”。</w:t>
              </w:r>
            </w:p>
          </w:sdtContent>
        </w:sdt>
      </w:sdtContent>
    </w:sdt>
    <w:p w14:paraId="6D829FD9">
      <w:pPr>
        <w:rPr>
          <w:rFonts w:cs="Times New Roman"/>
          <w:b/>
          <w:bCs w:val="0"/>
          <w:color w:val="000000" w:themeColor="text1"/>
          <w:kern w:val="2"/>
          <w:szCs w:val="28"/>
          <w14:textFill>
            <w14:solidFill>
              <w14:schemeClr w14:val="tx1"/>
            </w14:solidFill>
          </w14:textFill>
        </w:rPr>
      </w:pPr>
    </w:p>
    <w:p w14:paraId="473B4603">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基于账龄确认信用风险特征组合的账龄计算方法</w:t>
      </w:r>
    </w:p>
    <w:sdt>
      <w:sdtPr>
        <w:rPr>
          <w:color w:val="000000" w:themeColor="text1"/>
          <w14:textFill>
            <w14:solidFill>
              <w14:schemeClr w14:val="tx1"/>
            </w14:solidFill>
          </w14:textFill>
        </w:rPr>
        <w:alias w:val="是否适用：其他应收款基于账龄确认信用风险特征组合的账龄计算方法[双击切换]"/>
        <w:tag w:val="_GBC_9dc6468b16fc492b8e1d15acd1f8b57f"/>
        <w:id w:val="1565216364"/>
        <w:placeholder>
          <w:docPart w:val="GBC22222222222222222222222222222"/>
        </w:placeholder>
      </w:sdtPr>
      <w:sdtEndPr>
        <w:rPr>
          <w:color w:val="000000" w:themeColor="text1"/>
          <w14:textFill>
            <w14:solidFill>
              <w14:schemeClr w14:val="tx1"/>
            </w14:solidFill>
          </w14:textFill>
        </w:rPr>
      </w:sdtEndPr>
      <w:sdtContent>
        <w:p w14:paraId="47F9B66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其他应收款基于账龄确认信用风险特征组合的账龄计算方法"/>
        <w:tag w:val="_GBC_46c06c8585504e508591bc85e38076b2"/>
        <w:id w:val="-600566296"/>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其他应收款基于账龄确认信用风险特征组合的账龄计算方法"/>
            <w:tag w:val="_GBC_46c06c8585504e508591bc85e38076b2"/>
            <w:id w:val="554974382"/>
          </w:sdtPr>
          <w:sdtEndPr>
            <w:rPr>
              <w:color w:val="000000" w:themeColor="text1"/>
              <w14:textFill>
                <w14:solidFill>
                  <w14:schemeClr w14:val="tx1"/>
                </w14:solidFill>
              </w14:textFill>
            </w:rPr>
          </w:sdtEndPr>
          <w:sdtContent>
            <w:p w14:paraId="6AB19FC4">
              <w:pPr>
                <w:rPr>
                  <w:color w:val="000000" w:themeColor="text1"/>
                  <w14:textFill>
                    <w14:solidFill>
                      <w14:schemeClr w14:val="tx1"/>
                    </w14:solidFill>
                  </w14:textFill>
                </w:rPr>
              </w:pPr>
              <w:r>
                <w:rPr>
                  <w:rFonts w:hint="eastAsia"/>
                  <w:color w:val="000000" w:themeColor="text1"/>
                  <w14:textFill>
                    <w14:solidFill>
                      <w14:schemeClr w14:val="tx1"/>
                    </w14:solidFill>
                  </w14:textFill>
                </w:rPr>
                <w:t>公司基于账龄确认信用风险特征组合的账龄计算方法如下：</w:t>
              </w:r>
              <w:r>
                <w:rPr>
                  <w:color w:val="000000" w:themeColor="text1"/>
                  <w14:textFill>
                    <w14:solidFill>
                      <w14:schemeClr w14:val="tx1"/>
                    </w14:solidFill>
                  </w14:textFill>
                </w:rPr>
                <w:t xml:space="preserve"> </w:t>
              </w:r>
            </w:p>
            <w:tbl>
              <w:tblPr>
                <w:tblStyle w:val="37"/>
                <w:tblW w:w="8897"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809"/>
                <w:gridCol w:w="3544"/>
                <w:gridCol w:w="3544"/>
              </w:tblGrid>
              <w:tr w14:paraId="4BA2CDB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PrEx>
                <w:trPr>
                  <w:trHeight w:val="397" w:hRule="atLeast"/>
                </w:trPr>
                <w:tc>
                  <w:tcPr>
                    <w:tcW w:w="1809" w:type="dxa"/>
                    <w:tcBorders>
                      <w:top w:val="single" w:color="auto" w:sz="8" w:space="0"/>
                      <w:left w:val="nil"/>
                      <w:bottom w:val="single" w:color="auto" w:sz="6" w:space="0"/>
                      <w:right w:val="single" w:color="auto" w:sz="6" w:space="0"/>
                    </w:tcBorders>
                    <w:vAlign w:val="center"/>
                  </w:tcPr>
                  <w:p w14:paraId="3B4B1EBC">
                    <w:pPr>
                      <w:rPr>
                        <w:color w:val="000000" w:themeColor="text1"/>
                        <w14:textFill>
                          <w14:solidFill>
                            <w14:schemeClr w14:val="tx1"/>
                          </w14:solidFill>
                        </w14:textFill>
                      </w:rPr>
                    </w:pPr>
                    <w:r>
                      <w:rPr>
                        <w:rFonts w:hint="eastAsia"/>
                        <w:color w:val="000000" w:themeColor="text1"/>
                        <w14:textFill>
                          <w14:solidFill>
                            <w14:schemeClr w14:val="tx1"/>
                          </w14:solidFill>
                        </w14:textFill>
                      </w:rPr>
                      <w:t>账龄</w:t>
                    </w:r>
                  </w:p>
                </w:tc>
                <w:tc>
                  <w:tcPr>
                    <w:tcW w:w="3544" w:type="dxa"/>
                    <w:tcBorders>
                      <w:top w:val="single" w:color="auto" w:sz="8" w:space="0"/>
                      <w:left w:val="single" w:color="auto" w:sz="6" w:space="0"/>
                      <w:bottom w:val="single" w:color="auto" w:sz="6" w:space="0"/>
                      <w:right w:val="single" w:color="auto" w:sz="6" w:space="0"/>
                    </w:tcBorders>
                    <w:vAlign w:val="center"/>
                  </w:tcPr>
                  <w:p w14:paraId="4BE6E7CA">
                    <w:pPr>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应收账款计提比例（%）</w:t>
                    </w:r>
                  </w:p>
                </w:tc>
                <w:tc>
                  <w:tcPr>
                    <w:tcW w:w="3544" w:type="dxa"/>
                    <w:tcBorders>
                      <w:top w:val="single" w:color="auto" w:sz="8" w:space="0"/>
                      <w:left w:val="single" w:color="auto" w:sz="6" w:space="0"/>
                      <w:bottom w:val="single" w:color="auto" w:sz="6" w:space="0"/>
                      <w:right w:val="nil"/>
                    </w:tcBorders>
                    <w:vAlign w:val="center"/>
                  </w:tcPr>
                  <w:p w14:paraId="745713E2">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其他应收款计提比例（%）</w:t>
                    </w:r>
                  </w:p>
                </w:tc>
              </w:tr>
              <w:tr w14:paraId="68044EE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3FBA0499">
                    <w:pPr>
                      <w:rPr>
                        <w:color w:val="000000" w:themeColor="text1"/>
                        <w14:textFill>
                          <w14:solidFill>
                            <w14:schemeClr w14:val="tx1"/>
                          </w14:solidFill>
                        </w14:textFill>
                      </w:rPr>
                    </w:pPr>
                    <w:r>
                      <w:rPr>
                        <w:rFonts w:hint="eastAsia"/>
                        <w:color w:val="000000" w:themeColor="text1"/>
                        <w14:textFill>
                          <w14:solidFill>
                            <w14:schemeClr w14:val="tx1"/>
                          </w14:solidFill>
                        </w14:textFill>
                      </w:rPr>
                      <w:t>1年以内</w:t>
                    </w:r>
                  </w:p>
                </w:tc>
                <w:tc>
                  <w:tcPr>
                    <w:tcW w:w="3544" w:type="dxa"/>
                    <w:tcBorders>
                      <w:top w:val="single" w:color="auto" w:sz="6" w:space="0"/>
                      <w:left w:val="single" w:color="auto" w:sz="6" w:space="0"/>
                      <w:bottom w:val="single" w:color="auto" w:sz="6" w:space="0"/>
                      <w:right w:val="single" w:color="auto" w:sz="6" w:space="0"/>
                    </w:tcBorders>
                    <w:vAlign w:val="center"/>
                  </w:tcPr>
                  <w:p w14:paraId="5E4F40BD">
                    <w:pPr>
                      <w:rPr>
                        <w:color w:val="000000" w:themeColor="text1"/>
                        <w14:textFill>
                          <w14:solidFill>
                            <w14:schemeClr w14:val="tx1"/>
                          </w14:solidFill>
                        </w14:textFill>
                      </w:rPr>
                    </w:pPr>
                    <w:r>
                      <w:rPr>
                        <w:rFonts w:hint="eastAsia"/>
                        <w:color w:val="000000" w:themeColor="text1"/>
                        <w14:textFill>
                          <w14:solidFill>
                            <w14:schemeClr w14:val="tx1"/>
                          </w14:solidFill>
                        </w14:textFill>
                      </w:rPr>
                      <w:t>5.00</w:t>
                    </w:r>
                  </w:p>
                </w:tc>
                <w:tc>
                  <w:tcPr>
                    <w:tcW w:w="3544" w:type="dxa"/>
                    <w:tcBorders>
                      <w:top w:val="single" w:color="auto" w:sz="6" w:space="0"/>
                      <w:left w:val="single" w:color="auto" w:sz="6" w:space="0"/>
                      <w:bottom w:val="single" w:color="auto" w:sz="6" w:space="0"/>
                      <w:right w:val="nil"/>
                    </w:tcBorders>
                    <w:vAlign w:val="center"/>
                  </w:tcPr>
                  <w:p w14:paraId="217386BA">
                    <w:pPr>
                      <w:rPr>
                        <w:color w:val="000000" w:themeColor="text1"/>
                        <w14:textFill>
                          <w14:solidFill>
                            <w14:schemeClr w14:val="tx1"/>
                          </w14:solidFill>
                        </w14:textFill>
                      </w:rPr>
                    </w:pPr>
                    <w:r>
                      <w:rPr>
                        <w:rFonts w:hint="eastAsia"/>
                        <w:color w:val="000000" w:themeColor="text1"/>
                        <w14:textFill>
                          <w14:solidFill>
                            <w14:schemeClr w14:val="tx1"/>
                          </w14:solidFill>
                        </w14:textFill>
                      </w:rPr>
                      <w:t>5.00</w:t>
                    </w:r>
                  </w:p>
                </w:tc>
              </w:tr>
              <w:tr w14:paraId="53B4E0C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0854031C">
                    <w:pPr>
                      <w:rPr>
                        <w:color w:val="000000" w:themeColor="text1"/>
                        <w14:textFill>
                          <w14:solidFill>
                            <w14:schemeClr w14:val="tx1"/>
                          </w14:solidFill>
                        </w14:textFill>
                      </w:rPr>
                    </w:pPr>
                    <w:r>
                      <w:rPr>
                        <w:rFonts w:hint="eastAsia"/>
                        <w:color w:val="000000" w:themeColor="text1"/>
                        <w14:textFill>
                          <w14:solidFill>
                            <w14:schemeClr w14:val="tx1"/>
                          </w14:solidFill>
                        </w14:textFill>
                      </w:rPr>
                      <w:t>1-2年</w:t>
                    </w:r>
                  </w:p>
                </w:tc>
                <w:tc>
                  <w:tcPr>
                    <w:tcW w:w="3544" w:type="dxa"/>
                    <w:tcBorders>
                      <w:top w:val="single" w:color="auto" w:sz="6" w:space="0"/>
                      <w:left w:val="single" w:color="auto" w:sz="6" w:space="0"/>
                      <w:bottom w:val="single" w:color="auto" w:sz="6" w:space="0"/>
                      <w:right w:val="single" w:color="auto" w:sz="6" w:space="0"/>
                    </w:tcBorders>
                    <w:vAlign w:val="center"/>
                  </w:tcPr>
                  <w:p w14:paraId="1A080112">
                    <w:pPr>
                      <w:rPr>
                        <w:color w:val="000000" w:themeColor="text1"/>
                        <w14:textFill>
                          <w14:solidFill>
                            <w14:schemeClr w14:val="tx1"/>
                          </w14:solidFill>
                        </w14:textFill>
                      </w:rPr>
                    </w:pPr>
                    <w:r>
                      <w:rPr>
                        <w:rFonts w:hint="eastAsia"/>
                        <w:color w:val="000000" w:themeColor="text1"/>
                        <w14:textFill>
                          <w14:solidFill>
                            <w14:schemeClr w14:val="tx1"/>
                          </w14:solidFill>
                        </w14:textFill>
                      </w:rPr>
                      <w:t>10.00</w:t>
                    </w:r>
                  </w:p>
                </w:tc>
                <w:tc>
                  <w:tcPr>
                    <w:tcW w:w="3544" w:type="dxa"/>
                    <w:tcBorders>
                      <w:top w:val="single" w:color="auto" w:sz="6" w:space="0"/>
                      <w:left w:val="single" w:color="auto" w:sz="6" w:space="0"/>
                      <w:bottom w:val="single" w:color="auto" w:sz="6" w:space="0"/>
                      <w:right w:val="nil"/>
                    </w:tcBorders>
                    <w:vAlign w:val="center"/>
                  </w:tcPr>
                  <w:p w14:paraId="401DD659">
                    <w:pPr>
                      <w:rPr>
                        <w:color w:val="000000" w:themeColor="text1"/>
                        <w14:textFill>
                          <w14:solidFill>
                            <w14:schemeClr w14:val="tx1"/>
                          </w14:solidFill>
                        </w14:textFill>
                      </w:rPr>
                    </w:pPr>
                    <w:r>
                      <w:rPr>
                        <w:rFonts w:hint="eastAsia"/>
                        <w:color w:val="000000" w:themeColor="text1"/>
                        <w14:textFill>
                          <w14:solidFill>
                            <w14:schemeClr w14:val="tx1"/>
                          </w14:solidFill>
                        </w14:textFill>
                      </w:rPr>
                      <w:t>10.00</w:t>
                    </w:r>
                  </w:p>
                </w:tc>
              </w:tr>
              <w:tr w14:paraId="1BE7DD9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6" w:space="0"/>
                      <w:right w:val="single" w:color="auto" w:sz="6" w:space="0"/>
                    </w:tcBorders>
                    <w:vAlign w:val="center"/>
                  </w:tcPr>
                  <w:p w14:paraId="5D1F56CE">
                    <w:pPr>
                      <w:rPr>
                        <w:color w:val="000000" w:themeColor="text1"/>
                        <w14:textFill>
                          <w14:solidFill>
                            <w14:schemeClr w14:val="tx1"/>
                          </w14:solidFill>
                        </w14:textFill>
                      </w:rPr>
                    </w:pPr>
                    <w:r>
                      <w:rPr>
                        <w:rFonts w:hint="eastAsia"/>
                        <w:color w:val="000000" w:themeColor="text1"/>
                        <w14:textFill>
                          <w14:solidFill>
                            <w14:schemeClr w14:val="tx1"/>
                          </w14:solidFill>
                        </w14:textFill>
                      </w:rPr>
                      <w:t>2-3年</w:t>
                    </w:r>
                  </w:p>
                </w:tc>
                <w:tc>
                  <w:tcPr>
                    <w:tcW w:w="3544" w:type="dxa"/>
                    <w:tcBorders>
                      <w:top w:val="single" w:color="auto" w:sz="6" w:space="0"/>
                      <w:left w:val="single" w:color="auto" w:sz="6" w:space="0"/>
                      <w:bottom w:val="single" w:color="auto" w:sz="6" w:space="0"/>
                      <w:right w:val="single" w:color="auto" w:sz="6" w:space="0"/>
                    </w:tcBorders>
                    <w:vAlign w:val="center"/>
                  </w:tcPr>
                  <w:p w14:paraId="1651FEFF">
                    <w:pPr>
                      <w:rPr>
                        <w:color w:val="000000" w:themeColor="text1"/>
                        <w14:textFill>
                          <w14:solidFill>
                            <w14:schemeClr w14:val="tx1"/>
                          </w14:solidFill>
                        </w14:textFill>
                      </w:rPr>
                    </w:pPr>
                    <w:r>
                      <w:rPr>
                        <w:rFonts w:hint="eastAsia"/>
                        <w:color w:val="000000" w:themeColor="text1"/>
                        <w14:textFill>
                          <w14:solidFill>
                            <w14:schemeClr w14:val="tx1"/>
                          </w14:solidFill>
                        </w14:textFill>
                      </w:rPr>
                      <w:t>20.00</w:t>
                    </w:r>
                  </w:p>
                </w:tc>
                <w:tc>
                  <w:tcPr>
                    <w:tcW w:w="3544" w:type="dxa"/>
                    <w:tcBorders>
                      <w:top w:val="single" w:color="auto" w:sz="6" w:space="0"/>
                      <w:left w:val="single" w:color="auto" w:sz="6" w:space="0"/>
                      <w:bottom w:val="single" w:color="auto" w:sz="6" w:space="0"/>
                      <w:right w:val="nil"/>
                    </w:tcBorders>
                    <w:vAlign w:val="center"/>
                  </w:tcPr>
                  <w:p w14:paraId="62B02E2A">
                    <w:pPr>
                      <w:rPr>
                        <w:color w:val="000000" w:themeColor="text1"/>
                        <w14:textFill>
                          <w14:solidFill>
                            <w14:schemeClr w14:val="tx1"/>
                          </w14:solidFill>
                        </w14:textFill>
                      </w:rPr>
                    </w:pPr>
                    <w:r>
                      <w:rPr>
                        <w:rFonts w:hint="eastAsia"/>
                        <w:color w:val="000000" w:themeColor="text1"/>
                        <w14:textFill>
                          <w14:solidFill>
                            <w14:schemeClr w14:val="tx1"/>
                          </w14:solidFill>
                        </w14:textFill>
                      </w:rPr>
                      <w:t>20.00</w:t>
                    </w:r>
                  </w:p>
                </w:tc>
              </w:tr>
              <w:tr w14:paraId="5421004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09" w:type="dxa"/>
                    <w:tcBorders>
                      <w:top w:val="single" w:color="auto" w:sz="6" w:space="0"/>
                      <w:left w:val="nil"/>
                      <w:bottom w:val="single" w:color="auto" w:sz="8" w:space="0"/>
                      <w:right w:val="single" w:color="auto" w:sz="6" w:space="0"/>
                    </w:tcBorders>
                    <w:vAlign w:val="center"/>
                  </w:tcPr>
                  <w:p w14:paraId="292BFB7D">
                    <w:pPr>
                      <w:rPr>
                        <w:color w:val="000000" w:themeColor="text1"/>
                        <w14:textFill>
                          <w14:solidFill>
                            <w14:schemeClr w14:val="tx1"/>
                          </w14:solidFill>
                        </w14:textFill>
                      </w:rPr>
                    </w:pPr>
                    <w:r>
                      <w:rPr>
                        <w:rFonts w:hint="eastAsia"/>
                        <w:color w:val="000000" w:themeColor="text1"/>
                        <w14:textFill>
                          <w14:solidFill>
                            <w14:schemeClr w14:val="tx1"/>
                          </w14:solidFill>
                        </w14:textFill>
                      </w:rPr>
                      <w:t>3年以上</w:t>
                    </w:r>
                  </w:p>
                </w:tc>
                <w:tc>
                  <w:tcPr>
                    <w:tcW w:w="3544" w:type="dxa"/>
                    <w:tcBorders>
                      <w:top w:val="single" w:color="auto" w:sz="6" w:space="0"/>
                      <w:left w:val="single" w:color="auto" w:sz="6" w:space="0"/>
                      <w:bottom w:val="single" w:color="auto" w:sz="8" w:space="0"/>
                      <w:right w:val="single" w:color="auto" w:sz="6" w:space="0"/>
                    </w:tcBorders>
                    <w:vAlign w:val="center"/>
                  </w:tcPr>
                  <w:p w14:paraId="175BAEE6">
                    <w:pPr>
                      <w:rPr>
                        <w:color w:val="000000" w:themeColor="text1"/>
                        <w14:textFill>
                          <w14:solidFill>
                            <w14:schemeClr w14:val="tx1"/>
                          </w14:solidFill>
                        </w14:textFill>
                      </w:rPr>
                    </w:pPr>
                    <w:r>
                      <w:rPr>
                        <w:rFonts w:hint="eastAsia"/>
                        <w:color w:val="000000" w:themeColor="text1"/>
                        <w14:textFill>
                          <w14:solidFill>
                            <w14:schemeClr w14:val="tx1"/>
                          </w14:solidFill>
                        </w14:textFill>
                      </w:rPr>
                      <w:t>50.00</w:t>
                    </w:r>
                  </w:p>
                </w:tc>
                <w:tc>
                  <w:tcPr>
                    <w:tcW w:w="3544" w:type="dxa"/>
                    <w:tcBorders>
                      <w:top w:val="single" w:color="auto" w:sz="6" w:space="0"/>
                      <w:left w:val="single" w:color="auto" w:sz="6" w:space="0"/>
                      <w:bottom w:val="single" w:color="auto" w:sz="8" w:space="0"/>
                      <w:right w:val="nil"/>
                    </w:tcBorders>
                    <w:vAlign w:val="center"/>
                  </w:tcPr>
                  <w:p w14:paraId="335161C8">
                    <w:pPr>
                      <w:rPr>
                        <w:color w:val="000000" w:themeColor="text1"/>
                        <w14:textFill>
                          <w14:solidFill>
                            <w14:schemeClr w14:val="tx1"/>
                          </w14:solidFill>
                        </w14:textFill>
                      </w:rPr>
                    </w:pPr>
                    <w:r>
                      <w:rPr>
                        <w:rFonts w:hint="eastAsia"/>
                        <w:color w:val="000000" w:themeColor="text1"/>
                        <w14:textFill>
                          <w14:solidFill>
                            <w14:schemeClr w14:val="tx1"/>
                          </w14:solidFill>
                        </w14:textFill>
                      </w:rPr>
                      <w:t>50.00</w:t>
                    </w:r>
                  </w:p>
                </w:tc>
              </w:tr>
            </w:tbl>
            <w:p w14:paraId="1114C711">
              <w:pPr>
                <w:rPr>
                  <w:color w:val="000000" w:themeColor="text1"/>
                  <w14:textFill>
                    <w14:solidFill>
                      <w14:schemeClr w14:val="tx1"/>
                    </w14:solidFill>
                  </w14:textFill>
                </w:rPr>
              </w:pPr>
              <w:r>
                <w:rPr>
                  <w:rFonts w:hint="eastAsia"/>
                  <w:color w:val="000000" w:themeColor="text1"/>
                  <w14:textFill>
                    <w14:solidFill>
                      <w14:schemeClr w14:val="tx1"/>
                    </w14:solidFill>
                  </w14:textFill>
                </w:rPr>
                <w:t>详见11.金融工具。</w:t>
              </w:r>
            </w:p>
            <w:p w14:paraId="652582C8">
              <w:pPr>
                <w:rPr>
                  <w:color w:val="000000" w:themeColor="text1"/>
                  <w14:textFill>
                    <w14:solidFill>
                      <w14:schemeClr w14:val="tx1"/>
                    </w14:solidFill>
                  </w14:textFill>
                </w:rPr>
              </w:pPr>
              <w:r>
                <w:rPr>
                  <w:color w:val="000000" w:themeColor="text1"/>
                  <w14:textFill>
                    <w14:solidFill>
                      <w14:schemeClr w14:val="tx1"/>
                    </w14:solidFill>
                  </w14:textFill>
                </w:rPr>
                <w:t xml:space="preserve"> </w:t>
              </w:r>
            </w:p>
          </w:sdtContent>
        </w:sdt>
        <w:p w14:paraId="51D895E4">
          <w:pPr>
            <w:rPr>
              <w:color w:val="000000" w:themeColor="text1"/>
              <w14:textFill>
                <w14:solidFill>
                  <w14:schemeClr w14:val="tx1"/>
                </w14:solidFill>
              </w14:textFill>
            </w:rPr>
          </w:pPr>
        </w:p>
      </w:sdtContent>
    </w:sdt>
    <w:p w14:paraId="7CFB364C">
      <w:pPr>
        <w:rPr>
          <w:rFonts w:cs="Times New Roman"/>
          <w:b/>
          <w:bCs w:val="0"/>
          <w:color w:val="000000" w:themeColor="text1"/>
          <w:kern w:val="2"/>
          <w:szCs w:val="28"/>
          <w14:textFill>
            <w14:solidFill>
              <w14:schemeClr w14:val="tx1"/>
            </w14:solidFill>
          </w14:textFill>
        </w:rPr>
      </w:pPr>
    </w:p>
    <w:p w14:paraId="4C5F0615">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按照单项计提坏账准备的单项计提判断标准</w:t>
      </w:r>
    </w:p>
    <w:sdt>
      <w:sdtPr>
        <w:rPr>
          <w:color w:val="000000" w:themeColor="text1"/>
          <w14:textFill>
            <w14:solidFill>
              <w14:schemeClr w14:val="tx1"/>
            </w14:solidFill>
          </w14:textFill>
        </w:rPr>
        <w:alias w:val="是否适用：其他应收款按照单项计提坏账准备的单项计提判断标准[双击切换]"/>
        <w:tag w:val="_GBC_43f3d12bb3b0461b9d295770acd831d1"/>
        <w:id w:val="-1295288841"/>
        <w:placeholder>
          <w:docPart w:val="GBC22222222222222222222222222222"/>
        </w:placeholder>
      </w:sdtPr>
      <w:sdtEndPr>
        <w:rPr>
          <w:color w:val="000000" w:themeColor="text1"/>
          <w14:textFill>
            <w14:solidFill>
              <w14:schemeClr w14:val="tx1"/>
            </w14:solidFill>
          </w14:textFill>
        </w:rPr>
      </w:sdtEndPr>
      <w:sdtContent>
        <w:p w14:paraId="747932D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其他应收款按照单项计提坏账准备的单项计提判断标准"/>
        <w:tag w:val="_GBC_68249e7c8a0845c297b91eadc4fe5514"/>
        <w:id w:val="-233238183"/>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其他应收款按照单项计提坏账准备的单项计提判断标准"/>
            <w:tag w:val="_GBC_68249e7c8a0845c297b91eadc4fe5514"/>
            <w:id w:val="-1964340854"/>
          </w:sdtPr>
          <w:sdtEndPr>
            <w:rPr>
              <w:color w:val="000000" w:themeColor="text1"/>
              <w14:textFill>
                <w14:solidFill>
                  <w14:schemeClr w14:val="tx1"/>
                </w14:solidFill>
              </w14:textFill>
            </w:rPr>
          </w:sdtEndPr>
          <w:sdtContent>
            <w:p w14:paraId="1245BCD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在确定信用风险自初始确认后是否显著增加时，本公司考虑无须付出不必要的额外成本或努力即可获得的合理且有依据的信息，包括前瞻性信息。本公司考虑的信息包括：    </w:t>
              </w:r>
            </w:p>
            <w:p w14:paraId="0F820FE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A. 信用风险变化所导致的内部价格指标是否发生显著变化；    .</w:t>
              </w:r>
            </w:p>
            <w:p w14:paraId="5A8A9B3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B. 预期将导致债务人履行其偿债义务的能力是否发生显著变化的业务、财务或经济状况的不利变化；    </w:t>
              </w:r>
            </w:p>
            <w:p w14:paraId="1470C58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C. 债务人经营成果实际或预期是否发生显著变化；债务人所处的监管、经济或技术环境是否发生显著不利变化；    </w:t>
              </w:r>
            </w:p>
            <w:p w14:paraId="17C1DD9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D. 作为债务抵押的担保物价值或第三方提供的担保或信用增级质量是否发生显著变化。这些变化预期将降低债务人按合同规定期限还款的经济动机或者影响违约概率；    </w:t>
              </w:r>
            </w:p>
            <w:p w14:paraId="6483A0F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E. 预期将降低债务人按合同约定期限还款的经济动机是否发生显著变化；    </w:t>
              </w:r>
            </w:p>
            <w:p w14:paraId="54D6534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F. 借款合同的预期变更，包括预计违反合同的行为是否可能导致的合同义务的免除或修订、给予免息期、利率跳升、要求追加抵押品或担保或者对金融工具的合同框架做出其他变更；      </w:t>
              </w:r>
            </w:p>
            <w:p w14:paraId="44DDC7D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G. 债务人预期表现和还款行为是否发生显著变化；    </w:t>
              </w:r>
            </w:p>
            <w:p w14:paraId="5316872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H. 合同付款是否发生逾期超过（含）30日。    </w:t>
              </w:r>
            </w:p>
            <w:p w14:paraId="6B6BDBA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根据金融工具的性质，本公司以单项金融工具或金融工具组合为基础评估信用风险是否显著增加。以金融工具组合为基础进行评估时，本公司可基于共同信用风险特征对金融工具进行分类，例如逾期信息和信用风险评级。    </w:t>
              </w:r>
            </w:p>
            <w:p w14:paraId="68A11CF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通常情况下，如果逾期超过30日，本公司确定金融工具的信用风险已经显著增加。除非本公司无需付出过多成本或努力即可获得合理且有依据的信息，证明虽然超过合同约定的付款期限30天，但信用风险自初始确认以来并未显著增加。详见11.金融工具。</w:t>
              </w:r>
            </w:p>
          </w:sdtContent>
        </w:sdt>
      </w:sdtContent>
    </w:sdt>
    <w:p w14:paraId="07E0A060">
      <w:pPr>
        <w:rPr>
          <w:color w:val="000000" w:themeColor="text1"/>
          <w14:textFill>
            <w14:solidFill>
              <w14:schemeClr w14:val="tx1"/>
            </w14:solidFill>
          </w14:textFill>
        </w:rPr>
      </w:pPr>
    </w:p>
    <w:p w14:paraId="4F752D49">
      <w:pPr>
        <w:pStyle w:val="4"/>
        <w:numPr>
          <w:ilvl w:val="0"/>
          <w:numId w:val="33"/>
        </w:numPr>
        <w:rPr>
          <w:color w:val="000000" w:themeColor="text1"/>
          <w14:textFill>
            <w14:solidFill>
              <w14:schemeClr w14:val="tx1"/>
            </w14:solidFill>
          </w14:textFill>
        </w:rPr>
      </w:pPr>
      <w:r>
        <w:rPr>
          <w:color w:val="000000" w:themeColor="text1"/>
          <w14:textFill>
            <w14:solidFill>
              <w14:schemeClr w14:val="tx1"/>
            </w14:solidFill>
          </w14:textFill>
        </w:rPr>
        <w:t>存货</w:t>
      </w:r>
    </w:p>
    <w:sdt>
      <w:sdtPr>
        <w:rPr>
          <w:rFonts w:hint="eastAsia"/>
          <w:color w:val="000000" w:themeColor="text1"/>
          <w14:textFill>
            <w14:solidFill>
              <w14:schemeClr w14:val="tx1"/>
            </w14:solidFill>
          </w14:textFill>
        </w:rPr>
        <w:alias w:val="是否适用：存货_重要会计政策和估计[双击切换]"/>
        <w:tag w:val="_GBC_517cddca0e1f4d4bb5ef2c4a3d049269"/>
        <w:id w:val="-1127922483"/>
        <w:placeholder>
          <w:docPart w:val="GBC22222222222222222222222222222"/>
        </w:placeholder>
      </w:sdtPr>
      <w:sdtEndPr>
        <w:rPr>
          <w:rFonts w:hint="eastAsia"/>
          <w:color w:val="000000" w:themeColor="text1"/>
          <w14:textFill>
            <w14:solidFill>
              <w14:schemeClr w14:val="tx1"/>
            </w14:solidFill>
          </w14:textFill>
        </w:rPr>
      </w:sdtEndPr>
      <w:sdtContent>
        <w:p w14:paraId="5D571C0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1DA9EC4">
      <w:pPr>
        <w:rPr>
          <w:rFonts w:cs="Times New Roman"/>
          <w:b/>
          <w:color w:val="000000" w:themeColor="text1"/>
          <w:kern w:val="2"/>
          <w:szCs w:val="28"/>
          <w14:textFill>
            <w14:solidFill>
              <w14:schemeClr w14:val="tx1"/>
            </w14:solidFill>
          </w14:textFill>
        </w:rPr>
      </w:pPr>
      <w:bookmarkStart w:id="144" w:name="_Hlk152678121"/>
      <w:r>
        <w:rPr>
          <w:rFonts w:cs="Times New Roman"/>
          <w:b/>
          <w:color w:val="000000" w:themeColor="text1"/>
          <w:kern w:val="2"/>
          <w:szCs w:val="28"/>
          <w14:textFill>
            <w14:solidFill>
              <w14:schemeClr w14:val="tx1"/>
            </w14:solidFill>
          </w14:textFill>
        </w:rPr>
        <w:t>存货</w:t>
      </w:r>
      <w:r>
        <w:rPr>
          <w:rFonts w:hint="eastAsia" w:cs="Times New Roman"/>
          <w:b/>
          <w:color w:val="000000" w:themeColor="text1"/>
          <w:kern w:val="2"/>
          <w:szCs w:val="28"/>
          <w14:textFill>
            <w14:solidFill>
              <w14:schemeClr w14:val="tx1"/>
            </w14:solidFill>
          </w14:textFill>
        </w:rPr>
        <w:t>类别、发出计价方法、盘存制度、低值易耗品和包装物的摊销方法</w:t>
      </w:r>
    </w:p>
    <w:bookmarkEnd w:id="144"/>
    <w:sdt>
      <w:sdtPr>
        <w:rPr>
          <w:color w:val="000000" w:themeColor="text1"/>
          <w14:textFill>
            <w14:solidFill>
              <w14:schemeClr w14:val="tx1"/>
            </w14:solidFill>
          </w14:textFill>
        </w:rPr>
        <w:alias w:val="是否适用：存货类别、发出计价方法、盘存制度、低值易耗品和包装物的摊销方法[双击切换]"/>
        <w:tag w:val="_GBC_a0dd59db9daa43019390412c5246a774"/>
        <w:id w:val="-1261528902"/>
        <w:placeholder>
          <w:docPart w:val="GBC22222222222222222222222222222"/>
        </w:placeholder>
      </w:sdtPr>
      <w:sdtEndPr>
        <w:rPr>
          <w:color w:val="000000" w:themeColor="text1"/>
          <w14:textFill>
            <w14:solidFill>
              <w14:schemeClr w14:val="tx1"/>
            </w14:solidFill>
          </w14:textFill>
        </w:rPr>
      </w:sdtEndPr>
      <w:sdtContent>
        <w:p w14:paraId="6B09B2D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存货类别、发出计价方法、盘存制度、低值易耗品和包装物的摊销方法"/>
        <w:tag w:val="_GBC_4c0ac6dfbfb04e56bc0dd3a35b636c52"/>
        <w:id w:val="1995141295"/>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存货类别、发出计价方法、盘存制度、低值易耗品和包装物的摊销方法"/>
            <w:tag w:val="_GBC_4c0ac6dfbfb04e56bc0dd3a35b636c52"/>
            <w:id w:val="-1840609679"/>
          </w:sdtPr>
          <w:sdtEndPr>
            <w:rPr>
              <w:color w:val="000000" w:themeColor="text1"/>
              <w14:textFill>
                <w14:solidFill>
                  <w14:schemeClr w14:val="tx1"/>
                </w14:solidFill>
              </w14:textFill>
            </w:rPr>
          </w:sdtEndPr>
          <w:sdtContent>
            <w:p w14:paraId="3424322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公司存货包括生产经营过程中为销售或耗用而持有的原材料、消耗性生物资产、自制半成品、低值易耗品、包装物、库存商品等。存货发出时，采取加权平均法确定其发出的实际成本。  </w:t>
              </w:r>
            </w:p>
            <w:p w14:paraId="0881426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存货的盘存制度</w:t>
              </w:r>
            </w:p>
            <w:p w14:paraId="535F02D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本公司的存货盘存制度为永续盘存制。</w:t>
              </w:r>
            </w:p>
            <w:p w14:paraId="5B35FF9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低值易耗品和包装物的摊销方法</w:t>
              </w:r>
            </w:p>
            <w:p w14:paraId="596F59A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低值易耗品采用五五摊销法摊销，包装物采用加权平均法确定其实际成本核算。</w:t>
              </w:r>
            </w:p>
            <w:p w14:paraId="6B4A4DA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海参苗种费的摊销方法</w:t>
              </w:r>
            </w:p>
            <w:p w14:paraId="6E1E189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海参苗种费成本在育成采捕年份全部摊销。</w:t>
              </w:r>
            </w:p>
          </w:sdtContent>
        </w:sdt>
      </w:sdtContent>
    </w:sdt>
    <w:p w14:paraId="13A29E98">
      <w:pPr>
        <w:rPr>
          <w:rFonts w:cs="Times New Roman"/>
          <w:color w:val="000000" w:themeColor="text1"/>
          <w14:textFill>
            <w14:solidFill>
              <w14:schemeClr w14:val="tx1"/>
            </w14:solidFill>
          </w14:textFill>
        </w:rPr>
      </w:pPr>
    </w:p>
    <w:p w14:paraId="60AAEE2E">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存货跌价准备的确认标准和计提方法</w:t>
      </w:r>
    </w:p>
    <w:sdt>
      <w:sdtPr>
        <w:rPr>
          <w:color w:val="000000" w:themeColor="text1"/>
          <w14:textFill>
            <w14:solidFill>
              <w14:schemeClr w14:val="tx1"/>
            </w14:solidFill>
          </w14:textFill>
        </w:rPr>
        <w:alias w:val="是否适用：存货跌价准备的确认标准和计提方法[双击切换]"/>
        <w:tag w:val="_GBC_193ccfcb63424273902a6a08c94807b7"/>
        <w:id w:val="1025059451"/>
        <w:placeholder>
          <w:docPart w:val="GBC22222222222222222222222222222"/>
        </w:placeholder>
      </w:sdtPr>
      <w:sdtEndPr>
        <w:rPr>
          <w:color w:val="000000" w:themeColor="text1"/>
          <w14:textFill>
            <w14:solidFill>
              <w14:schemeClr w14:val="tx1"/>
            </w14:solidFill>
          </w14:textFill>
        </w:rPr>
      </w:sdtEndPr>
      <w:sdtContent>
        <w:p w14:paraId="1880470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存货跌价准备的确认标准和计提方法"/>
        <w:tag w:val="_GBC_d61a6b98d0f44b4a8162d7dd318ee8d8"/>
        <w:id w:val="204917415"/>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存货跌价准备的确认标准和计提方法"/>
            <w:tag w:val="_GBC_d61a6b98d0f44b4a8162d7dd318ee8d8"/>
            <w:id w:val="-1537722731"/>
          </w:sdtPr>
          <w:sdtEndPr>
            <w:rPr>
              <w:color w:val="000000" w:themeColor="text1"/>
              <w14:textFill>
                <w14:solidFill>
                  <w14:schemeClr w14:val="tx1"/>
                </w14:solidFill>
              </w14:textFill>
            </w:rPr>
          </w:sdtEndPr>
          <w:sdtContent>
            <w:p w14:paraId="43CDA61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资产负债表日，存货按照成本与可变现净值孰低计量。</w:t>
              </w:r>
            </w:p>
            <w:p w14:paraId="436969F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产成品、商品和用于出售的材料等可直接用于出售的存货，其可变现净值按该等存货的估计</w:t>
              </w:r>
            </w:p>
            <w:p w14:paraId="0807C27F">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售价减去估计的销售费用和相关税费后的金额确定；用于生产而持有的材料等存货，其可变现净值按所生产的产成品的估计售价减去至完工时估计将要发生的成本、估计的销售费用和相关税费后的金额确定；为执行销售合同或者劳务合同而持有的存货，其可变现净值以合同价格为基础计算，若企业持有存货的数量多于销售合同订购数量的，超出部分的存货可变现净值以一般销售价格为基础计算。    </w:t>
              </w:r>
            </w:p>
            <w:p w14:paraId="739324A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按单个存货项目计提存货跌价准备。但如果某些存货与在同一地区生产和销售的产品系列相关、具有相同或类似最终用途或目的，且难以与其他项目分开计量，可以合并计量成本与可变现净值；对于数量繁多、单价较低的存货，按照存货类别计量成本与可变现净值。    </w:t>
              </w:r>
            </w:p>
            <w:p w14:paraId="0C32D6F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资产负债表日，如果存货成本高于其可变现净值的，计提存货跌价准备，并计入当期损益。如果以前减记存货价值的影响因素已经消失的，减记的金额予以恢复，并在原已计提的存货跌价准备金额内转回，转回的金额计入当期损益。</w:t>
              </w:r>
            </w:p>
          </w:sdtContent>
        </w:sdt>
      </w:sdtContent>
    </w:sdt>
    <w:p w14:paraId="156D1394">
      <w:pPr>
        <w:rPr>
          <w:rFonts w:cs="Times New Roman"/>
          <w:b/>
          <w:color w:val="000000" w:themeColor="text1"/>
          <w:kern w:val="2"/>
          <w:szCs w:val="28"/>
          <w14:textFill>
            <w14:solidFill>
              <w14:schemeClr w14:val="tx1"/>
            </w14:solidFill>
          </w14:textFill>
        </w:rPr>
      </w:pPr>
    </w:p>
    <w:p w14:paraId="1494CC71">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按照组合计提存货跌价准备的组合类别及确定依据</w:t>
      </w:r>
      <w:r>
        <w:rPr>
          <w:rFonts w:hint="eastAsia" w:cs="Times New Roman"/>
          <w:b/>
          <w:color w:val="000000" w:themeColor="text1"/>
          <w:kern w:val="2"/>
          <w:szCs w:val="28"/>
          <w14:textFill>
            <w14:solidFill>
              <w14:schemeClr w14:val="tx1"/>
            </w14:solidFill>
          </w14:textFill>
        </w:rPr>
        <w:t>、</w:t>
      </w:r>
      <w:r>
        <w:rPr>
          <w:rFonts w:hint="eastAsia"/>
          <w:b/>
          <w:color w:val="000000" w:themeColor="text1"/>
          <w14:textFill>
            <w14:solidFill>
              <w14:schemeClr w14:val="tx1"/>
            </w14:solidFill>
          </w14:textFill>
        </w:rPr>
        <w:t>不同类别存货可变现净值的确定依据</w:t>
      </w:r>
    </w:p>
    <w:sdt>
      <w:sdtPr>
        <w:rPr>
          <w:color w:val="000000" w:themeColor="text1"/>
          <w14:textFill>
            <w14:solidFill>
              <w14:schemeClr w14:val="tx1"/>
            </w14:solidFill>
          </w14:textFill>
        </w:rPr>
        <w:alias w:val="是否适用：按照组合计提存货跌价准备的组合类别及确定依据、不同类别存货可变现净值的确定依据[双击切换]"/>
        <w:tag w:val="_GBC_6fb7683a95e64eb590d6d510a9774226"/>
        <w:id w:val="-998733640"/>
        <w:placeholder>
          <w:docPart w:val="GBC22222222222222222222222222222"/>
        </w:placeholder>
      </w:sdtPr>
      <w:sdtEndPr>
        <w:rPr>
          <w:color w:val="000000" w:themeColor="text1"/>
          <w14:textFill>
            <w14:solidFill>
              <w14:schemeClr w14:val="tx1"/>
            </w14:solidFill>
          </w14:textFill>
        </w:rPr>
      </w:sdtEndPr>
      <w:sdtContent>
        <w:p w14:paraId="2B73BCF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按照组合计提存货跌价准备的组合类别及确定依据、不同类别存货可变现净值的确定依据"/>
        <w:tag w:val="_GBC_85fe62e883c643488829f481807e7aed"/>
        <w:id w:val="1187484157"/>
        <w:placeholder>
          <w:docPart w:val="GBC22222222222222222222222222222"/>
        </w:placeholder>
      </w:sdtPr>
      <w:sdtEndPr>
        <w:rPr>
          <w:color w:val="000000" w:themeColor="text1"/>
          <w14:textFill>
            <w14:solidFill>
              <w14:schemeClr w14:val="tx1"/>
            </w14:solidFill>
          </w14:textFill>
        </w:rPr>
      </w:sdtEndPr>
      <w:sdtContent>
        <w:p w14:paraId="1224B56F">
          <w:pPr>
            <w:rPr>
              <w:color w:val="000000" w:themeColor="text1"/>
              <w14:textFill>
                <w14:solidFill>
                  <w14:schemeClr w14:val="tx1"/>
                </w14:solidFill>
              </w14:textFill>
            </w:rPr>
          </w:pPr>
          <w:sdt>
            <w:sdtPr>
              <w:rPr>
                <w:color w:val="000000" w:themeColor="text1"/>
                <w14:textFill>
                  <w14:solidFill>
                    <w14:schemeClr w14:val="tx1"/>
                  </w14:solidFill>
                </w14:textFill>
              </w:rPr>
              <w:alias w:val="按照组合计提存货跌价准备的组合类别及确定依据、不同类别存货可变现净值的确定依据"/>
              <w:tag w:val="_GBC_85fe62e883c643488829f481807e7aed"/>
              <w:id w:val="-447077244"/>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详见11.金融工具。</w:t>
              </w:r>
            </w:sdtContent>
          </w:sdt>
        </w:p>
      </w:sdtContent>
    </w:sdt>
    <w:p w14:paraId="2551202B">
      <w:pPr>
        <w:rPr>
          <w:rFonts w:cs="Times New Roman"/>
          <w:b/>
          <w:color w:val="000000" w:themeColor="text1"/>
          <w:kern w:val="2"/>
          <w:szCs w:val="28"/>
          <w14:textFill>
            <w14:solidFill>
              <w14:schemeClr w14:val="tx1"/>
            </w14:solidFill>
          </w14:textFill>
        </w:rPr>
      </w:pPr>
    </w:p>
    <w:p w14:paraId="344BD7FB">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基于库龄确认存货可变现净值的各库龄组合可变现净值的计算方法和确定依据</w:t>
      </w:r>
    </w:p>
    <w:sdt>
      <w:sdtPr>
        <w:rPr>
          <w:color w:val="000000" w:themeColor="text1"/>
          <w14:textFill>
            <w14:solidFill>
              <w14:schemeClr w14:val="tx1"/>
            </w14:solidFill>
          </w14:textFill>
        </w:rPr>
        <w:alias w:val="是否适用：基于库龄确认存货可变现净值的各库龄组合可变现净值的计算方法和确定依据[双击切换]"/>
        <w:tag w:val="_GBC_16ecfef990ce404c873906cd3cd4dea4"/>
        <w:id w:val="43192284"/>
        <w:placeholder>
          <w:docPart w:val="GBC22222222222222222222222222222"/>
        </w:placeholder>
      </w:sdtPr>
      <w:sdtEndPr>
        <w:rPr>
          <w:color w:val="000000" w:themeColor="text1"/>
          <w14:textFill>
            <w14:solidFill>
              <w14:schemeClr w14:val="tx1"/>
            </w14:solidFill>
          </w14:textFill>
        </w:rPr>
      </w:sdtEndPr>
      <w:sdtContent>
        <w:p w14:paraId="5CA9812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基于库龄确认存货可变现净值的各库龄组合可变现净值的计算方法和确定依据"/>
        <w:tag w:val="_GBC_8ba5d4205eb44953917fda035b872b04"/>
        <w:id w:val="-1090082977"/>
        <w:placeholder>
          <w:docPart w:val="GBC22222222222222222222222222222"/>
        </w:placeholder>
      </w:sdtPr>
      <w:sdtEndPr>
        <w:rPr>
          <w:color w:val="000000" w:themeColor="text1"/>
          <w14:textFill>
            <w14:solidFill>
              <w14:schemeClr w14:val="tx1"/>
            </w14:solidFill>
          </w14:textFill>
        </w:rPr>
      </w:sdtEndPr>
      <w:sdtContent>
        <w:p w14:paraId="6DCCFEF3">
          <w:pPr>
            <w:rPr>
              <w:color w:val="000000" w:themeColor="text1"/>
              <w14:textFill>
                <w14:solidFill>
                  <w14:schemeClr w14:val="tx1"/>
                </w14:solidFill>
              </w14:textFill>
            </w:rPr>
          </w:pPr>
          <w:sdt>
            <w:sdtPr>
              <w:rPr>
                <w:color w:val="000000" w:themeColor="text1"/>
                <w14:textFill>
                  <w14:solidFill>
                    <w14:schemeClr w14:val="tx1"/>
                  </w14:solidFill>
                </w14:textFill>
              </w:rPr>
              <w:alias w:val="按照组合计提存货跌价准备的组合类别及确定依据、不同类别存货可变现净值的确定依据"/>
              <w:tag w:val="_GBC_85fe62e883c643488829f481807e7aed"/>
              <w:id w:val="1191027811"/>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详见11.金融工具。</w:t>
              </w:r>
            </w:sdtContent>
          </w:sdt>
        </w:p>
      </w:sdtContent>
    </w:sdt>
    <w:p w14:paraId="6C5D902F">
      <w:pPr>
        <w:rPr>
          <w:rFonts w:cs="Times New Roman"/>
          <w:color w:val="000000" w:themeColor="text1"/>
          <w14:textFill>
            <w14:solidFill>
              <w14:schemeClr w14:val="tx1"/>
            </w14:solidFill>
          </w14:textFill>
        </w:rPr>
      </w:pPr>
    </w:p>
    <w:p w14:paraId="5C714818">
      <w:pPr>
        <w:pStyle w:val="4"/>
        <w:numPr>
          <w:ilvl w:val="0"/>
          <w:numId w:val="33"/>
        </w:numPr>
        <w:rPr>
          <w:color w:val="000000" w:themeColor="text1"/>
          <w:szCs w:val="21"/>
          <w14:textFill>
            <w14:solidFill>
              <w14:schemeClr w14:val="tx1"/>
            </w14:solidFill>
          </w14:textFill>
        </w:rPr>
      </w:pPr>
      <w:bookmarkStart w:id="145" w:name="_Hlk533667851"/>
      <w:r>
        <w:rPr>
          <w:rFonts w:hint="eastAsia"/>
          <w:color w:val="000000" w:themeColor="text1"/>
          <w:szCs w:val="21"/>
          <w14:textFill>
            <w14:solidFill>
              <w14:schemeClr w14:val="tx1"/>
            </w14:solidFill>
          </w14:textFill>
        </w:rPr>
        <w:t>合同资产</w:t>
      </w:r>
    </w:p>
    <w:sdt>
      <w:sdtPr>
        <w:rPr>
          <w:rFonts w:hint="eastAsia"/>
          <w:color w:val="000000" w:themeColor="text1"/>
          <w14:textFill>
            <w14:solidFill>
              <w14:schemeClr w14:val="tx1"/>
            </w14:solidFill>
          </w14:textFill>
        </w:rPr>
        <w:alias w:val="是否适用：合同资产_重要会计政策和估计[双击切换]"/>
        <w:tag w:val="_GBC_2975adaf2d6646238ccae8f732c465f0"/>
        <w:id w:val="1055356252"/>
        <w:placeholder>
          <w:docPart w:val="GBC22222222222222222222222222222"/>
        </w:placeholder>
      </w:sdtPr>
      <w:sdtEndPr>
        <w:rPr>
          <w:rFonts w:hint="eastAsia"/>
          <w:color w:val="000000" w:themeColor="text1"/>
          <w14:textFill>
            <w14:solidFill>
              <w14:schemeClr w14:val="tx1"/>
            </w14:solidFill>
          </w14:textFill>
        </w:rPr>
      </w:sdtEndPr>
      <w:sdtContent>
        <w:p w14:paraId="00E7A5A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1CA9E7B">
      <w:pPr>
        <w:rPr>
          <w:rFonts w:cs="Times New Roman"/>
          <w:b/>
          <w:color w:val="000000" w:themeColor="text1"/>
          <w:kern w:val="2"/>
          <w:szCs w:val="28"/>
          <w14:textFill>
            <w14:solidFill>
              <w14:schemeClr w14:val="tx1"/>
            </w14:solidFill>
          </w14:textFill>
        </w:rPr>
      </w:pPr>
      <w:r>
        <w:rPr>
          <w:rFonts w:hint="eastAsia" w:cs="Times New Roman"/>
          <w:b/>
          <w:color w:val="000000" w:themeColor="text1"/>
          <w:kern w:val="2"/>
          <w:szCs w:val="28"/>
          <w14:textFill>
            <w14:solidFill>
              <w14:schemeClr w14:val="tx1"/>
            </w14:solidFill>
          </w14:textFill>
        </w:rPr>
        <w:t>合同资产的确认方法及标准</w:t>
      </w:r>
    </w:p>
    <w:sdt>
      <w:sdtPr>
        <w:rPr>
          <w:color w:val="000000" w:themeColor="text1"/>
          <w14:textFill>
            <w14:solidFill>
              <w14:schemeClr w14:val="tx1"/>
            </w14:solidFill>
          </w14:textFill>
        </w:rPr>
        <w:alias w:val="是否适用：合同资产的确定方法、摊销方法和减值测试方法[双击切换]"/>
        <w:tag w:val="_GBC_4c4f86076daf4596b0ff34199b55a09a"/>
        <w:id w:val="-1615194803"/>
        <w:placeholder>
          <w:docPart w:val="GBC22222222222222222222222222222"/>
        </w:placeholder>
      </w:sdtPr>
      <w:sdtEndPr>
        <w:rPr>
          <w:color w:val="000000" w:themeColor="text1"/>
          <w14:textFill>
            <w14:solidFill>
              <w14:schemeClr w14:val="tx1"/>
            </w14:solidFill>
          </w14:textFill>
        </w:rPr>
      </w:sdtEndPr>
      <w:sdtContent>
        <w:p w14:paraId="652EB1F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B6E61DE">
      <w:pPr>
        <w:spacing w:line="360" w:lineRule="auto"/>
        <w:ind w:firstLine="420" w:firstLineChars="200"/>
        <w:rPr>
          <w:color w:val="000000" w:themeColor="text1"/>
          <w14:textFill>
            <w14:solidFill>
              <w14:schemeClr w14:val="tx1"/>
            </w14:solidFill>
          </w14:textFill>
        </w:rPr>
      </w:pPr>
      <w:sdt>
        <w:sdtPr>
          <w:rPr>
            <w:color w:val="000000" w:themeColor="text1"/>
            <w14:textFill>
              <w14:solidFill>
                <w14:schemeClr w14:val="tx1"/>
              </w14:solidFill>
            </w14:textFill>
          </w:rPr>
          <w:alias w:val="合同资产的确定方法、摊销方法和减值测试方法"/>
          <w:tag w:val="_GBC_3a321460bd2944c9b8bfb3131a9e1b86"/>
          <w:id w:val="1948732644"/>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本公司将拥有的、无条件（即，仅取决于时间流逝）向客户收取对价的权利作为应收款项列示，将已向客户转让商品而有权收取对价的权利，且该权利取决于时间流逝之外的其他因素的作为合同资产列示。向客户销售两项可明确区分的商品，因已交付其中一项商品而有权收取款项，但收取该款项还取决于交付另一项商品的，本公司将该收款权利作为合同资产。</w:t>
          </w:r>
        </w:sdtContent>
      </w:sdt>
    </w:p>
    <w:p w14:paraId="64AD5544">
      <w:pPr>
        <w:rPr>
          <w:color w:val="000000" w:themeColor="text1"/>
          <w14:textFill>
            <w14:solidFill>
              <w14:schemeClr w14:val="tx1"/>
            </w14:solidFill>
          </w14:textFill>
        </w:rPr>
      </w:pPr>
    </w:p>
    <w:bookmarkEnd w:id="145"/>
    <w:p w14:paraId="68AD06D0">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按照信用风险特征组合计提坏账准备的组合类别及确定依据</w:t>
      </w:r>
    </w:p>
    <w:sdt>
      <w:sdtPr>
        <w:rPr>
          <w:color w:val="000000" w:themeColor="text1"/>
          <w14:textFill>
            <w14:solidFill>
              <w14:schemeClr w14:val="tx1"/>
            </w14:solidFill>
          </w14:textFill>
        </w:rPr>
        <w:alias w:val="是否适用：合同资产按照信用风险特征组合计提坏账准备的组合类别及确定依据[双击切换]"/>
        <w:tag w:val="_GBC_88801ad04a564fb2b7e709fd757fcda3"/>
        <w:id w:val="602922266"/>
        <w:placeholder>
          <w:docPart w:val="GBC22222222222222222222222222222"/>
        </w:placeholder>
      </w:sdtPr>
      <w:sdtEndPr>
        <w:rPr>
          <w:color w:val="000000" w:themeColor="text1"/>
          <w14:textFill>
            <w14:solidFill>
              <w14:schemeClr w14:val="tx1"/>
            </w14:solidFill>
          </w14:textFill>
        </w:rPr>
      </w:sdtEndPr>
      <w:sdtContent>
        <w:p w14:paraId="6F52AC3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1A5771F">
      <w:pPr>
        <w:rPr>
          <w:rFonts w:cs="Times New Roman"/>
          <w:b/>
          <w:bCs w:val="0"/>
          <w:color w:val="000000" w:themeColor="text1"/>
          <w:kern w:val="2"/>
          <w:szCs w:val="28"/>
          <w14:textFill>
            <w14:solidFill>
              <w14:schemeClr w14:val="tx1"/>
            </w14:solidFill>
          </w14:textFill>
        </w:rPr>
      </w:pPr>
    </w:p>
    <w:p w14:paraId="53D7C27E">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基于账龄确认信用风险特征组合的账龄计算方法</w:t>
      </w:r>
    </w:p>
    <w:sdt>
      <w:sdtPr>
        <w:rPr>
          <w:color w:val="000000" w:themeColor="text1"/>
          <w14:textFill>
            <w14:solidFill>
              <w14:schemeClr w14:val="tx1"/>
            </w14:solidFill>
          </w14:textFill>
        </w:rPr>
        <w:alias w:val="是否适用：合同资产基于账龄确认信用风险特征组合的账龄计算方法[双击切换]"/>
        <w:tag w:val="_GBC_59be362629844c15946a32547bc25926"/>
        <w:id w:val="-1152909627"/>
        <w:placeholder>
          <w:docPart w:val="GBC22222222222222222222222222222"/>
        </w:placeholder>
      </w:sdtPr>
      <w:sdtEndPr>
        <w:rPr>
          <w:color w:val="000000" w:themeColor="text1"/>
          <w14:textFill>
            <w14:solidFill>
              <w14:schemeClr w14:val="tx1"/>
            </w14:solidFill>
          </w14:textFill>
        </w:rPr>
      </w:sdtEndPr>
      <w:sdtContent>
        <w:p w14:paraId="08CF310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F9944D2">
      <w:pPr>
        <w:rPr>
          <w:rFonts w:cs="Times New Roman"/>
          <w:b/>
          <w:bCs w:val="0"/>
          <w:color w:val="000000" w:themeColor="text1"/>
          <w:kern w:val="2"/>
          <w:szCs w:val="28"/>
          <w14:textFill>
            <w14:solidFill>
              <w14:schemeClr w14:val="tx1"/>
            </w14:solidFill>
          </w14:textFill>
        </w:rPr>
      </w:pPr>
    </w:p>
    <w:p w14:paraId="05F1ED41">
      <w:pPr>
        <w:rPr>
          <w:rFonts w:cs="Times New Roman"/>
          <w:b/>
          <w:color w:val="000000" w:themeColor="text1"/>
          <w:kern w:val="2"/>
          <w:szCs w:val="28"/>
          <w14:textFill>
            <w14:solidFill>
              <w14:schemeClr w14:val="tx1"/>
            </w14:solidFill>
          </w14:textFill>
        </w:rPr>
      </w:pPr>
      <w:r>
        <w:rPr>
          <w:rFonts w:cs="Times New Roman"/>
          <w:b/>
          <w:color w:val="000000" w:themeColor="text1"/>
          <w:kern w:val="2"/>
          <w:szCs w:val="28"/>
          <w14:textFill>
            <w14:solidFill>
              <w14:schemeClr w14:val="tx1"/>
            </w14:solidFill>
          </w14:textFill>
        </w:rPr>
        <w:t>按照单项计提坏账准备的认定单项计提判断标准</w:t>
      </w:r>
    </w:p>
    <w:sdt>
      <w:sdtPr>
        <w:rPr>
          <w:color w:val="000000" w:themeColor="text1"/>
          <w14:textFill>
            <w14:solidFill>
              <w14:schemeClr w14:val="tx1"/>
            </w14:solidFill>
          </w14:textFill>
        </w:rPr>
        <w:alias w:val="是否适用：合同资产按照单项计提坏账准备的单项计提判断标准[双击切换]"/>
        <w:tag w:val="_GBC_0ad2d10f39624b3486cf825e91aa1d85"/>
        <w:id w:val="1394386628"/>
        <w:placeholder>
          <w:docPart w:val="GBC22222222222222222222222222222"/>
        </w:placeholder>
      </w:sdtPr>
      <w:sdtEndPr>
        <w:rPr>
          <w:color w:val="000000" w:themeColor="text1"/>
          <w14:textFill>
            <w14:solidFill>
              <w14:schemeClr w14:val="tx1"/>
            </w14:solidFill>
          </w14:textFill>
        </w:rPr>
      </w:sdtEndPr>
      <w:sdtContent>
        <w:p w14:paraId="63AF661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AEC1EED">
      <w:pPr>
        <w:rPr>
          <w:color w:val="000000" w:themeColor="text1"/>
          <w14:textFill>
            <w14:solidFill>
              <w14:schemeClr w14:val="tx1"/>
            </w14:solidFill>
          </w14:textFill>
        </w:rPr>
      </w:pPr>
    </w:p>
    <w:p w14:paraId="2F6B4822">
      <w:pPr>
        <w:pStyle w:val="4"/>
        <w:numPr>
          <w:ilvl w:val="0"/>
          <w:numId w:val="33"/>
        </w:numPr>
        <w:ind w:left="450" w:hanging="450"/>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持有</w:t>
      </w:r>
      <w:r>
        <w:rPr>
          <w:rFonts w:hint="eastAsia" w:ascii="宋体" w:hAnsi="宋体"/>
          <w:color w:val="000000" w:themeColor="text1"/>
          <w:szCs w:val="21"/>
          <w14:textFill>
            <w14:solidFill>
              <w14:schemeClr w14:val="tx1"/>
            </w14:solidFill>
          </w14:textFill>
        </w:rPr>
        <w:t>待</w:t>
      </w:r>
      <w:r>
        <w:rPr>
          <w:rFonts w:ascii="宋体" w:hAnsi="宋体"/>
          <w:color w:val="000000" w:themeColor="text1"/>
          <w:szCs w:val="21"/>
          <w14:textFill>
            <w14:solidFill>
              <w14:schemeClr w14:val="tx1"/>
            </w14:solidFill>
          </w14:textFill>
        </w:rPr>
        <w:t>售的非流动资产或处置组</w:t>
      </w:r>
    </w:p>
    <w:sdt>
      <w:sdtPr>
        <w:rPr>
          <w:color w:val="000000" w:themeColor="text1"/>
          <w14:textFill>
            <w14:solidFill>
              <w14:schemeClr w14:val="tx1"/>
            </w14:solidFill>
          </w14:textFill>
        </w:rPr>
        <w:alias w:val="是否适用：持有待售的非流动资产或处置组[双击切换]"/>
        <w:tag w:val="_GBC_f1f73a9983444ce2a24c3a748aa6178f"/>
        <w:id w:val="1167989347"/>
        <w:placeholder>
          <w:docPart w:val="GBC22222222222222222222222222222"/>
        </w:placeholder>
      </w:sdtPr>
      <w:sdtEndPr>
        <w:rPr>
          <w:color w:val="000000" w:themeColor="text1"/>
          <w14:textFill>
            <w14:solidFill>
              <w14:schemeClr w14:val="tx1"/>
            </w14:solidFill>
          </w14:textFill>
        </w:rPr>
      </w:sdtEndPr>
      <w:sdtContent>
        <w:p w14:paraId="41BB189E">
          <w:pPr>
            <w:rPr>
              <w:color w:val="000000" w:themeColor="text1"/>
              <w14:textFill>
                <w14:solidFill>
                  <w14:schemeClr w14:val="tx1"/>
                </w14:solidFill>
              </w14:textFill>
            </w:rPr>
          </w:pPr>
          <w:bookmarkStart w:id="146" w:name="_Hlk533151067"/>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持有待售的非流动资产或处置组"/>
        <w:tag w:val="_GBC_f73ce57cdf2f499aadf2d1abe9773623"/>
        <w:id w:val="-2077419200"/>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持有待售的非流动资产或处置组"/>
            <w:tag w:val="_GBC_f73ce57cdf2f499aadf2d1abe9773623"/>
            <w:id w:val="-833836643"/>
          </w:sdtPr>
          <w:sdtEndPr>
            <w:rPr>
              <w:color w:val="000000" w:themeColor="text1"/>
              <w14:textFill>
                <w14:solidFill>
                  <w14:schemeClr w14:val="tx1"/>
                </w14:solidFill>
              </w14:textFill>
            </w:rPr>
          </w:sdtEndPr>
          <w:sdtContent>
            <w:p w14:paraId="7D94108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本公司在资产负债表中将持有待售的非流动资产或持有待售的处置组中的资产列报于“持有待售资产”，将持有待售的处置组中的负债列报于“持有待售负债”。    </w:t>
              </w:r>
            </w:p>
            <w:p w14:paraId="5BA5ABF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在利润表中分别列示持续经营损益和终止经营损益。不符合终止经营定义的持有待售的非流动资产或处置组，其减值损失和转回金额及处置损益作为持续经营损益列报。终止经营的减值损失和转回金额等经营损益及处置损益作为终止经营损益列报。    </w:t>
              </w:r>
            </w:p>
            <w:p w14:paraId="2D34CD6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本公司对拟结束使用而非出售且满足终止经营定义中有关组成部分的条件的处置组，自其停止使用日起作为终止经营列报。    </w:t>
              </w:r>
            </w:p>
            <w:p w14:paraId="41AC3E3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当期列报的终止经营，在当期财务报表中，公司将原来作为持续经营损益列报的信息重新作为可比会计期间的终止经营损益列报。终止经营不再满足持有待售类别划分条件的，在当期财务报表中，公司将原来作为终止经营损益列报的信息重新作为可比会计期间的持续经营损益列报。</w:t>
              </w:r>
            </w:p>
          </w:sdtContent>
        </w:sdt>
      </w:sdtContent>
    </w:sdt>
    <w:p w14:paraId="07DA9AA5">
      <w:pPr>
        <w:rPr>
          <w:color w:val="000000" w:themeColor="text1"/>
          <w14:textFill>
            <w14:solidFill>
              <w14:schemeClr w14:val="tx1"/>
            </w14:solidFill>
          </w14:textFill>
        </w:rPr>
      </w:pPr>
    </w:p>
    <w:bookmarkEnd w:id="146"/>
    <w:p w14:paraId="686B724C">
      <w:pPr>
        <w:rPr>
          <w:rFonts w:cs="Times New Roman"/>
          <w:b/>
          <w:color w:val="000000" w:themeColor="text1"/>
          <w:kern w:val="2"/>
          <w14:textFill>
            <w14:solidFill>
              <w14:schemeClr w14:val="tx1"/>
            </w14:solidFill>
          </w14:textFill>
        </w:rPr>
      </w:pPr>
      <w:r>
        <w:rPr>
          <w:rFonts w:hint="eastAsia" w:cs="Times New Roman"/>
          <w:b/>
          <w:color w:val="000000" w:themeColor="text1"/>
          <w:kern w:val="2"/>
          <w14:textFill>
            <w14:solidFill>
              <w14:schemeClr w14:val="tx1"/>
            </w14:solidFill>
          </w14:textFill>
        </w:rPr>
        <w:t>划分为持有待售的非流动资产或处置组的确认标准和会计处理方法</w:t>
      </w:r>
    </w:p>
    <w:sdt>
      <w:sdtPr>
        <w:rPr>
          <w:color w:val="000000" w:themeColor="text1"/>
          <w14:textFill>
            <w14:solidFill>
              <w14:schemeClr w14:val="tx1"/>
            </w14:solidFill>
          </w14:textFill>
        </w:rPr>
        <w:alias w:val="是否适用：划分为持有待售的非流动资产或处置组的确认标准和会计处理方法[双击切换]"/>
        <w:tag w:val="_GBC_6c531b0531914ce08b0f9e9ff03b4e9c"/>
        <w:id w:val="-128402313"/>
        <w:placeholder>
          <w:docPart w:val="GBC22222222222222222222222222222"/>
        </w:placeholder>
      </w:sdtPr>
      <w:sdtEndPr>
        <w:rPr>
          <w:color w:val="000000" w:themeColor="text1"/>
          <w14:textFill>
            <w14:solidFill>
              <w14:schemeClr w14:val="tx1"/>
            </w14:solidFill>
          </w14:textFill>
        </w:rPr>
      </w:sdtEndPr>
      <w:sdtContent>
        <w:p w14:paraId="7D0CBCF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划分为持有待售的非流动资产或处置组的确认标准和会计处理方法"/>
        <w:tag w:val="_GBC_b7191fb064a643b298159d5d171b0856"/>
        <w:id w:val="-1822726995"/>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划分为持有待售的非流动资产或处置组的确认标准和会计处理方法"/>
            <w:tag w:val="_GBC_b7191fb064a643b298159d5d171b0856"/>
            <w:id w:val="1052051651"/>
          </w:sdtPr>
          <w:sdtEndPr>
            <w:rPr>
              <w:color w:val="000000" w:themeColor="text1"/>
              <w14:textFill>
                <w14:solidFill>
                  <w14:schemeClr w14:val="tx1"/>
                </w14:solidFill>
              </w14:textFill>
            </w:rPr>
          </w:sdtEndPr>
          <w:sdtContent>
            <w:p w14:paraId="183F61A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本公司在主要通过出售（包括具有商业实质的非货币性资产交换）而非持续使用一项非流动资产或处置组收回其账面价值时，将该非流动资产或处置组被划分为持有待售类别。    </w:t>
              </w:r>
            </w:p>
            <w:p w14:paraId="2A8C492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处置组，是指在一项交易中作为整体通过出售或其他方式一并处置的一组资产，以及在该交易中转让的与这些资产直接相关的负债。处置组所属的资产组或资产组组合按照《企业会计准则第8号——资产减值》分摊了本公司合并中取得的商誉的，该处置组包含分摊至处置组的商誉。      </w:t>
              </w:r>
            </w:p>
            <w:p w14:paraId="01071DC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将同时满足下列条件的非流动资产或处置组划分为持有待售类别：根据本公司类似交易中出售此类资产或处置组的惯例，该非流动资产或处置组在当前状况下即可立即出售；出售极可能发生，即本公司已经就一项出售计划做出决议且获得确定的购买承诺，预计出售将在一年内完成。    </w:t>
              </w:r>
            </w:p>
            <w:p w14:paraId="0568F95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因出售对子公司的投资等原因导致丧失对子公司控制权的，无论出售后本公司是否保留部分权益性投资，在拟出售的对子公司投资满足持有待售类别划分条件时，本公司在个别财务报表中将对子公司投资整体划分为持有待售类别，在合并财务报表中将子公司所有资产和负债划分为持有待售类别。    </w:t>
              </w:r>
            </w:p>
            <w:p w14:paraId="742E5F4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初始计量或在资产负债表日重新计量持有待售的非流动资产或处置组时，本公司将账面价值高于公允价值减去出售费用后净额的差额确认为资产减值损失。对于持有待售的处置组确认的资产减值损失金额，本公司先抵减处置组中商誉的账面价值，再根据处置组中的各项非流动资产账面价值所占比重，按比例抵减其账面价值。    </w:t>
              </w:r>
            </w:p>
            <w:p w14:paraId="414A90C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后续资产负债表日持有待售的非流动资产或处置组公允价值减去出售费用后的净额增加的，本公司将以前减记的金额予以恢复，并在划分为持有待售类别后确认的资产减值损失金额内转回，转回金额计入当期损益。对于已抵减的商誉账面价值和划分为持有待售类别前确认的资产减值损失本公司不予转回。    </w:t>
              </w:r>
            </w:p>
            <w:p w14:paraId="3F64406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本公司对持有待售的非流动资产和持有待售的处置组中的资产不计提折旧或进行摊销；持有待售的处置组中负债的利息和其他费用继续予以确认。    </w:t>
              </w:r>
            </w:p>
            <w:p w14:paraId="2B7DB07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某项非流动资产或处置组被划分为持有待售类别，但后来不再满足持有待售类别划分条件的，本公司停止将其划分为持有待售类别，并按照下列两项金额中较低者计量：    </w:t>
              </w:r>
            </w:p>
            <w:p w14:paraId="2AF2258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①该资产或处置组被划分为持有待售类别之前的账面价值，按照其假定在没有被划分为持有待售类别的情况下本应确认的折旧、摊销或减值进行调整后的金额；    </w:t>
              </w:r>
            </w:p>
            <w:p w14:paraId="6CB9B35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②可收回金额。</w:t>
              </w:r>
            </w:p>
          </w:sdtContent>
        </w:sdt>
      </w:sdtContent>
    </w:sdt>
    <w:p w14:paraId="2B21A3DD">
      <w:pPr>
        <w:rPr>
          <w:color w:val="000000" w:themeColor="text1"/>
          <w14:textFill>
            <w14:solidFill>
              <w14:schemeClr w14:val="tx1"/>
            </w14:solidFill>
          </w14:textFill>
        </w:rPr>
      </w:pPr>
    </w:p>
    <w:p w14:paraId="449822FC">
      <w:pPr>
        <w:rPr>
          <w:rFonts w:cs="Times New Roman"/>
          <w:b/>
          <w:color w:val="000000" w:themeColor="text1"/>
          <w:kern w:val="2"/>
          <w14:textFill>
            <w14:solidFill>
              <w14:schemeClr w14:val="tx1"/>
            </w14:solidFill>
          </w14:textFill>
        </w:rPr>
      </w:pPr>
      <w:r>
        <w:rPr>
          <w:rFonts w:cs="Times New Roman"/>
          <w:b/>
          <w:color w:val="000000" w:themeColor="text1"/>
          <w:kern w:val="2"/>
          <w14:textFill>
            <w14:solidFill>
              <w14:schemeClr w14:val="tx1"/>
            </w14:solidFill>
          </w14:textFill>
        </w:rPr>
        <w:t>终止经营的认定标准和列报方法</w:t>
      </w:r>
    </w:p>
    <w:sdt>
      <w:sdtPr>
        <w:rPr>
          <w:color w:val="000000" w:themeColor="text1"/>
          <w14:textFill>
            <w14:solidFill>
              <w14:schemeClr w14:val="tx1"/>
            </w14:solidFill>
          </w14:textFill>
        </w:rPr>
        <w:alias w:val="是否适用：终止经营的认定标准和列报方法[双击切换]"/>
        <w:tag w:val="_GBC_4c502276dc0f4c08a09a2a83a4203533"/>
        <w:id w:val="-1695215844"/>
        <w:placeholder>
          <w:docPart w:val="GBC22222222222222222222222222222"/>
        </w:placeholder>
      </w:sdtPr>
      <w:sdtEndPr>
        <w:rPr>
          <w:color w:val="000000" w:themeColor="text1"/>
          <w14:textFill>
            <w14:solidFill>
              <w14:schemeClr w14:val="tx1"/>
            </w14:solidFill>
          </w14:textFill>
        </w:rPr>
      </w:sdtEndPr>
      <w:sdtContent>
        <w:p w14:paraId="1B83054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rFonts w:ascii="Calibri" w:hAnsi="Calibri" w:cs="Times New Roman"/>
          <w:color w:val="000000" w:themeColor="text1"/>
          <w:kern w:val="2"/>
          <w:szCs w:val="22"/>
          <w14:textFill>
            <w14:solidFill>
              <w14:schemeClr w14:val="tx1"/>
            </w14:solidFill>
          </w14:textFill>
        </w:rPr>
        <w:alias w:val="终止经营的认定标准和列报方法"/>
        <w:tag w:val="_GBC_58f57a3b282d431a8ee5234e168d1b89"/>
        <w:id w:val="-396664907"/>
        <w:placeholder>
          <w:docPart w:val="GBC22222222222222222222222222222"/>
        </w:placeholder>
      </w:sdtPr>
      <w:sdtEndPr>
        <w:rPr>
          <w:rFonts w:ascii="Calibri" w:hAnsi="Calibri" w:cs="Times New Roman"/>
          <w:color w:val="auto"/>
          <w:kern w:val="2"/>
          <w:szCs w:val="22"/>
        </w:rPr>
      </w:sdtEndPr>
      <w:sdtContent>
        <w:sdt>
          <w:sdtPr>
            <w:rPr>
              <w:rFonts w:ascii="Calibri" w:hAnsi="Calibri" w:cs="Times New Roman"/>
              <w:color w:val="000000" w:themeColor="text1"/>
              <w:kern w:val="2"/>
              <w:szCs w:val="22"/>
              <w14:textFill>
                <w14:solidFill>
                  <w14:schemeClr w14:val="tx1"/>
                </w14:solidFill>
              </w14:textFill>
            </w:rPr>
            <w:alias w:val="终止经营的认定标准和列报方法"/>
            <w:tag w:val="_GBC_58f57a3b282d431a8ee5234e168d1b89"/>
            <w:id w:val="1696889652"/>
          </w:sdtPr>
          <w:sdtEndPr>
            <w:rPr>
              <w:rFonts w:ascii="Calibri" w:hAnsi="Calibri" w:cs="Times New Roman"/>
              <w:color w:val="auto"/>
              <w:kern w:val="2"/>
              <w:szCs w:val="22"/>
            </w:rPr>
          </w:sdtEndPr>
          <w:sdtContent>
            <w:p w14:paraId="643A0E9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终止经营，是指满足下列条件之一的已被本公司处置或被本公司划分为持有待售类别的、能够单独区分的组成部分：    </w:t>
              </w:r>
            </w:p>
            <w:p w14:paraId="204C6D7C">
              <w:pPr>
                <w:pStyle w:val="55"/>
                <w:numPr>
                  <w:ilvl w:val="0"/>
                  <w:numId w:val="40"/>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该组成部分代表本公司一项独立的主要业务或一个单独的主要经营地区。   </w:t>
              </w:r>
            </w:p>
            <w:p w14:paraId="7CB9782B">
              <w:pPr>
                <w:pStyle w:val="55"/>
                <w:spacing w:line="360" w:lineRule="auto"/>
                <w:ind w:left="105" w:firstLine="315" w:firstLineChars="15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②该组成部分是拟对本公司一项独立的主要业务或一个单独的主要经营地区进行处置的一项相关联计划的一部分。    </w:t>
              </w:r>
            </w:p>
            <w:p w14:paraId="0C6D2AB7">
              <w:pPr>
                <w:pStyle w:val="55"/>
                <w:spacing w:line="360" w:lineRule="auto"/>
                <w:ind w:left="105" w:firstLine="315" w:firstLineChars="150"/>
                <w:rPr>
                  <w:color w:val="000000" w:themeColor="text1"/>
                  <w14:textFill>
                    <w14:solidFill>
                      <w14:schemeClr w14:val="tx1"/>
                    </w14:solidFill>
                  </w14:textFill>
                </w:rPr>
              </w:pPr>
              <w:r>
                <w:rPr>
                  <w:rFonts w:hint="eastAsia"/>
                  <w:color w:val="000000" w:themeColor="text1"/>
                  <w14:textFill>
                    <w14:solidFill>
                      <w14:schemeClr w14:val="tx1"/>
                    </w14:solidFill>
                  </w14:textFill>
                </w:rPr>
                <w:t>③该组成部分是本公司专为转售而取得的子公司。</w:t>
              </w:r>
            </w:p>
          </w:sdtContent>
        </w:sdt>
      </w:sdtContent>
    </w:sdt>
    <w:p w14:paraId="530C6660">
      <w:pPr>
        <w:rPr>
          <w:color w:val="000000" w:themeColor="text1"/>
          <w14:textFill>
            <w14:solidFill>
              <w14:schemeClr w14:val="tx1"/>
            </w14:solidFill>
          </w14:textFill>
        </w:rPr>
      </w:pPr>
    </w:p>
    <w:bookmarkEnd w:id="136"/>
    <w:p w14:paraId="1DC05E0C">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长期股权投资</w:t>
      </w:r>
    </w:p>
    <w:sdt>
      <w:sdtPr>
        <w:rPr>
          <w:color w:val="000000" w:themeColor="text1"/>
          <w14:textFill>
            <w14:solidFill>
              <w14:schemeClr w14:val="tx1"/>
            </w14:solidFill>
          </w14:textFill>
        </w:rPr>
        <w:alias w:val="是否适用：长期股权投资_重要会计政策和估计[双击切换]"/>
        <w:tag w:val="_GBC_a2b657853ac547afaaad118dec96d0e1"/>
        <w:id w:val="21208648"/>
        <w:placeholder>
          <w:docPart w:val="GBC22222222222222222222222222222"/>
        </w:placeholder>
      </w:sdtPr>
      <w:sdtEndPr>
        <w:rPr>
          <w:color w:val="000000" w:themeColor="text1"/>
          <w14:textFill>
            <w14:solidFill>
              <w14:schemeClr w14:val="tx1"/>
            </w14:solidFill>
          </w14:textFill>
        </w:rPr>
      </w:sdtEndPr>
      <w:sdtContent>
        <w:p w14:paraId="77E4BEC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长期股权投资的核算方法"/>
        <w:tag w:val="_GBC_3e77074cd50946b1bccdff9bc1c9556f"/>
        <w:id w:val="-1618983239"/>
        <w:placeholder>
          <w:docPart w:val="GBC22222222222222222222222222222"/>
        </w:placeholder>
      </w:sdtPr>
      <w:sdtEndPr>
        <w:rPr>
          <w:color w:val="auto"/>
        </w:rPr>
      </w:sdtEndPr>
      <w:sdtContent>
        <w:sdt>
          <w:sdtPr>
            <w:rPr>
              <w:color w:val="000000" w:themeColor="text1"/>
              <w14:textFill>
                <w14:solidFill>
                  <w14:schemeClr w14:val="tx1"/>
                </w14:solidFill>
              </w14:textFill>
            </w:rPr>
            <w:alias w:val="长期股权投资的核算方法"/>
            <w:tag w:val="_GBC_3e77074cd50946b1bccdff9bc1c9556f"/>
            <w:id w:val="-756440414"/>
          </w:sdtPr>
          <w:sdtEndPr>
            <w:rPr>
              <w:color w:val="auto"/>
            </w:rPr>
          </w:sdtEndPr>
          <w:sdtContent>
            <w:p w14:paraId="5E59AFA5">
              <w:pPr>
                <w:spacing w:line="360" w:lineRule="auto"/>
                <w:ind w:left="420" w:leftChars="200"/>
                <w:rPr>
                  <w:color w:val="000000" w:themeColor="text1"/>
                  <w14:textFill>
                    <w14:solidFill>
                      <w14:schemeClr w14:val="tx1"/>
                    </w14:solidFill>
                  </w14:textFill>
                </w:rPr>
              </w:pPr>
              <w:r>
                <w:rPr>
                  <w:rFonts w:hint="eastAsia"/>
                  <w:color w:val="000000" w:themeColor="text1"/>
                  <w14:textFill>
                    <w14:solidFill>
                      <w14:schemeClr w14:val="tx1"/>
                    </w14:solidFill>
                  </w14:textFill>
                </w:rPr>
                <w:t>长期股权投资是指本公司对被投资单位具有控制、共同控制或重大影响的长期股权投资。（1）初始投资成本确定</w:t>
              </w:r>
            </w:p>
            <w:p w14:paraId="021CD207">
              <w:pPr>
                <w:spacing w:line="360" w:lineRule="auto"/>
                <w:ind w:firstLine="420" w:firstLineChars="20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①</w:t>
              </w:r>
              <w:r>
                <w:rPr>
                  <w:rFonts w:hint="eastAsia"/>
                  <w:color w:val="000000" w:themeColor="text1"/>
                  <w14:textFill>
                    <w14:solidFill>
                      <w14:schemeClr w14:val="tx1"/>
                    </w14:solidFill>
                  </w14:textFill>
                </w:rPr>
                <w:t>对于本公司合并取得的长期股权投资，如为同一控制下的企业合并，按照取得被合并所</w:t>
              </w:r>
            </w:p>
            <w:p w14:paraId="3CCE61DC">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有者权益账面价值的份额确认为初始成本；如为非同一控制下的企业合并，按购买日确定的合并成本确认为初始成本；    </w:t>
              </w:r>
            </w:p>
            <w:p w14:paraId="06523ED4">
              <w:pPr>
                <w:pStyle w:val="55"/>
                <w:numPr>
                  <w:ilvl w:val="0"/>
                  <w:numId w:val="40"/>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本公司对于除合并形成的长期股权投资外的其他股权投资，以支付现金取得的长期股权</w:t>
              </w:r>
            </w:p>
            <w:p w14:paraId="0FFB4E50">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投资，初始投资成本为实际支付的购买价款；以发行权益性证券取得的长期股权投资，初始投资成本为发行权益性证券的公允价值；通过债务重组取得的长期股权投资，其初始投资成本按照《企业会计准则第12号——债务重组》的有关规定确定；非货币性资产交换取得，初始投资成本根据准则相关规定确定。    </w:t>
              </w:r>
            </w:p>
            <w:p w14:paraId="091C9C8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（2）后续计量及损益确认方法    </w:t>
              </w:r>
            </w:p>
            <w:p w14:paraId="1CDB744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①成本法核算    </w:t>
              </w:r>
            </w:p>
            <w:p w14:paraId="5468381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能够对被投资单位实施控制的长期股权投资采用成本法核算。采用成本法核算的长期股权投资，除追加或收回投资外，账面价值一般不变。对被投资企业宣告分派的利润或现金股利，本公司计算应分得的部分，确认为投资收益。    </w:t>
              </w:r>
            </w:p>
            <w:p w14:paraId="765B0275">
              <w:pPr>
                <w:pStyle w:val="55"/>
                <w:numPr>
                  <w:ilvl w:val="0"/>
                  <w:numId w:val="40"/>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权益法核算    </w:t>
              </w:r>
            </w:p>
            <w:p w14:paraId="496C899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对联营企业和合营企业的长期股权投资采用权益法核算。采用权益法核算时，长期股权投资的初始投资成本大于投资时应享有被投资单位可辨认净资产公允价值份额的，不调整长期股权投资的初始投资成本；初始投资成本小于投资时应享有被投资单位可辨认净资产公允价值份额的，其差额计入当期损益，同时调整长期股权投资的成本。     </w:t>
              </w:r>
            </w:p>
            <w:p w14:paraId="321756D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采用权益法核算时，本公司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资本公积。本公司在确认应享有被投资单位净损益的份额时，以取得投资时被投资单位各项可辨认资产等的公允价值为基础，对被投资单位的净利润进行调整后确认。被投资单位采用的会计政策及会计期间与本公司不一致的，按照本公司的会计政策及会计期间对被投资单位的财务报表进行调整，并据以确认投资收益和其他综合收益。            </w:t>
              </w:r>
            </w:p>
            <w:p w14:paraId="471F740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在确认应分担被投资单位发生的净亏损时，以长期股权投资的账面价值和其他实质上构成对被投资单位净投资的长期权益减记至零为限。此外，如本公司对被投资单位负有承担额外损失的义务，则按预计承担的义务确认预计负债，计入当期投资损失。被投资单位以后期间实现净利润的，本公司在收益分享额弥补未确认的亏损分担额后，恢复确认收益分享额。    </w:t>
              </w:r>
            </w:p>
            <w:p w14:paraId="3A29E3A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（3）长期股权投资核算方法的转换    </w:t>
              </w:r>
            </w:p>
            <w:p w14:paraId="7416D6D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①公允价值计量转权益法核算：本公司原持有的对被投资单位的股权投资（不具有控制、共同控制或重大影响的），按照金融工具确认和计量准则进行会计处理的，因追加投资等原因导致持股比例上升，能够对被投资单位施加共同控制或重大影响的，在转按权益法核算时，本公司按照金融工具确认和计量准则确定的原股权投资的公允价值加上为取得新增投资而应支付对价的公允价值，作为改按权益法核算的初始投资成本。    </w:t>
              </w:r>
            </w:p>
            <w:p w14:paraId="517C084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②公允价值计量或权益法核算转成本法核算：本公司原持有的对被投资单位不具有控制、共同控制或重大影响的按照金融工具确认和计量准则进行会计处理的权益性投资，或者原持有对联营企业、合营企业的长期股权投资，因追加投资等原因，能够对被投资单位实施控制的，按有关企业合并形成的长期股权投资进行会计处理。    </w:t>
              </w:r>
            </w:p>
            <w:p w14:paraId="28A526D4">
              <w:pPr>
                <w:spacing w:line="360" w:lineRule="auto"/>
                <w:ind w:firstLine="420" w:firstLineChars="20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③</w:t>
              </w:r>
              <w:r>
                <w:rPr>
                  <w:rFonts w:hint="eastAsia"/>
                  <w:color w:val="000000" w:themeColor="text1"/>
                  <w14:textFill>
                    <w14:solidFill>
                      <w14:schemeClr w14:val="tx1"/>
                    </w14:solidFill>
                  </w14:textFill>
                </w:rPr>
                <w:t xml:space="preserve">权益法核算转公允价值计量：本公司原持有的对被投资单位具有共同控制或重大影响的长期股权投资，因部分处置等原因导致持股比例下降，不能再对被投资单位实施共同控制或重大影响的，改按金融工具确认和计量准则对剩余股权投资进行会计处理，其在丧失共同控制或重大影响之日的公允价值与账面价值之间的差额计入当期损益。    </w:t>
              </w:r>
            </w:p>
            <w:p w14:paraId="0140A5E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④成本法转权益法或公允价值计量： 本公司因处置部分权益性投资等原因丧失了对被投资单位的控制的，在编制个别财务报表时，处置后的剩余股权能够对被投资单位实施共同控制或施加重大影响的，本公司改按权益法核算，并对该剩余股权视同自取得时即采用权益法核算进行调整；处置后的剩余股权不能对被投资单位实施共同控制或施加重大影响的，本公司改按《企业会计准则第22号——金融工具确认和计量》的有关规定进行会计处理，其在丧失控制之日的公允价值与账面价值间的差额计入当期损益。在编制合并财务报表时，按照《企业会计准则第33号——合并财务报表》的有关规定进行会计处理。    </w:t>
              </w:r>
            </w:p>
            <w:p w14:paraId="7940091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（4）确定对被投资单位具有共同控制、重大影响的依据    </w:t>
              </w:r>
            </w:p>
            <w:p w14:paraId="4581088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共同控制，是指按照相关约定对某项安排所共有的控制，并且该安排的相关活动必须经过分享控制权的参与方一致同意后才能决策。如果所有参与方或一组参与方必须一致行动才能决定某项安排的相关活动，则认为所有参与方或一组参与方集体控制该安排。在判断是否存在共同控制时，首先判断是否由所有参与方或参与方组合集体控制该安排，其次再判断该安排相关活动的决策是否必须经过这些集体控制该安排的参与方一致同意。如果存在两个或两个以上的参与方组合能够集体控制某项安排的，不构成共同控制。判断是否存在共同控制时，不考虑享有的保护性权利。</w:t>
              </w:r>
            </w:p>
            <w:p w14:paraId="79A8C274">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重大影响，是指投资方对被投资单位的财务和经营政策有参与决策的权力，但并不能够控制或者与其他方一起共同控制这些政策的制定。本公司在确定能否对被投资单位施加重大影响时，考虑直接或间接持有被投资单位的表决权股份以及本公司及其他方持有的当期可执行潜在表决权在假定转换为对被投资方单位的股权后产生的影响，包括被投资单位发行的当期可转换的认股权证、股份期权及可转换公司债券等的影响。    </w:t>
              </w:r>
            </w:p>
            <w:p w14:paraId="4F75EFA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当本公司直接或通过子公司间接拥有被投资单位20%（含20%）以上但低于50%的表决权股份时，一般认为对被投资单位具有重大影响，除非有明确证据表明该种情况下不能参与被投资单位的生产经营决策，不形成重大影响。    </w:t>
              </w:r>
            </w:p>
            <w:p w14:paraId="5E8FE3F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本公司通常通过以下一种或几种情形来判断是否对被投资单位具有重大影响：    </w:t>
              </w:r>
            </w:p>
            <w:p w14:paraId="6094B5F3">
              <w:pPr>
                <w:pStyle w:val="55"/>
                <w:numPr>
                  <w:ilvl w:val="0"/>
                  <w:numId w:val="41"/>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在被投资单位的董事会或类似权力机构中派有代表。    </w:t>
              </w:r>
            </w:p>
            <w:p w14:paraId="7BB6EA6B">
              <w:pPr>
                <w:pStyle w:val="55"/>
                <w:spacing w:line="360" w:lineRule="auto"/>
                <w:ind w:left="105" w:firstLine="315" w:firstLineChars="15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②</w:t>
              </w:r>
              <w:r>
                <w:rPr>
                  <w:rFonts w:hint="eastAsia"/>
                  <w:color w:val="000000" w:themeColor="text1"/>
                  <w14:textFill>
                    <w14:solidFill>
                      <w14:schemeClr w14:val="tx1"/>
                    </w14:solidFill>
                  </w14:textFill>
                </w:rPr>
                <w:t xml:space="preserve">参与被投资单位财务和经营政策制定过程。    </w:t>
              </w:r>
            </w:p>
            <w:p w14:paraId="36B4A599">
              <w:pPr>
                <w:spacing w:line="360" w:lineRule="auto"/>
                <w:ind w:firstLine="420" w:firstLineChars="20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③</w:t>
              </w:r>
              <w:r>
                <w:rPr>
                  <w:rFonts w:hint="eastAsia"/>
                  <w:color w:val="000000" w:themeColor="text1"/>
                  <w14:textFill>
                    <w14:solidFill>
                      <w14:schemeClr w14:val="tx1"/>
                    </w14:solidFill>
                  </w14:textFill>
                </w:rPr>
                <w:t xml:space="preserve">与被投资单位之间发生重要交易。    </w:t>
              </w:r>
            </w:p>
            <w:p w14:paraId="425624E9">
              <w:pPr>
                <w:pStyle w:val="55"/>
                <w:numPr>
                  <w:ilvl w:val="0"/>
                  <w:numId w:val="40"/>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向被投资单位派出管理人员。    </w:t>
              </w:r>
            </w:p>
            <w:p w14:paraId="74DA14D9">
              <w:pPr>
                <w:pStyle w:val="55"/>
                <w:numPr>
                  <w:ilvl w:val="0"/>
                  <w:numId w:val="40"/>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向被投资单位提供关键技术资料。    </w:t>
              </w:r>
            </w:p>
            <w:p w14:paraId="65BACF1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存在上述一种或多种情形并不意味着本公司一定对被投资单位具有重大影响，本公司需要综合考虑所有事实和情况来做出恰当的判断。    </w:t>
              </w:r>
            </w:p>
            <w:p w14:paraId="314741A1">
              <w:pPr>
                <w:pStyle w:val="55"/>
                <w:numPr>
                  <w:ilvl w:val="0"/>
                  <w:numId w:val="42"/>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长期股权投资处置    </w:t>
              </w:r>
            </w:p>
            <w:p w14:paraId="1D78095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处置长期股权投资时，将投资账面价值与实际取得价款之间的差额计入当期损益。采用权益法核算的长期股权投资，在处置该项投资时，采用与被投资单位直接处置相关资产或负债相同的基础，按相应比例对原计入其他综合收益的部分进行会计处理。</w:t>
              </w:r>
            </w:p>
          </w:sdtContent>
        </w:sdt>
      </w:sdtContent>
    </w:sdt>
    <w:p w14:paraId="210B7D91">
      <w:pPr>
        <w:rPr>
          <w:color w:val="000000" w:themeColor="text1"/>
          <w14:textFill>
            <w14:solidFill>
              <w14:schemeClr w14:val="tx1"/>
            </w14:solidFill>
          </w14:textFill>
        </w:rPr>
      </w:pPr>
    </w:p>
    <w:p w14:paraId="50DCDC2C">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投资性房地产</w:t>
      </w:r>
    </w:p>
    <w:p w14:paraId="43F75C2D">
      <w:pPr>
        <w:pStyle w:val="5"/>
        <w:numPr>
          <w:ilvl w:val="0"/>
          <w:numId w:val="43"/>
        </w:numP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如果</w:t>
      </w:r>
      <w:r>
        <w:rPr>
          <w:rFonts w:hint="eastAsia" w:ascii="宋体" w:hAnsi="宋体"/>
          <w:color w:val="000000" w:themeColor="text1"/>
          <w14:textFill>
            <w14:solidFill>
              <w14:schemeClr w14:val="tx1"/>
            </w14:solidFill>
          </w14:textFill>
        </w:rPr>
        <w:t>采用成本计量模式的</w:t>
      </w:r>
    </w:p>
    <w:p w14:paraId="0397FC2C">
      <w:pPr>
        <w:pStyle w:val="36"/>
        <w:rPr>
          <w:rFonts w:hint="eastAsia" w:ascii="宋体" w:hAnsi="宋体"/>
          <w:b w:val="0"/>
          <w:color w:val="000000" w:themeColor="text1"/>
          <w:szCs w:val="21"/>
          <w14:textFill>
            <w14:solidFill>
              <w14:schemeClr w14:val="tx1"/>
            </w14:solidFill>
          </w14:textFill>
        </w:rPr>
      </w:pPr>
      <w:r>
        <w:rPr>
          <w:rFonts w:hint="eastAsia" w:ascii="宋体" w:hAnsi="宋体"/>
          <w:b w:val="0"/>
          <w:color w:val="000000" w:themeColor="text1"/>
          <w:szCs w:val="21"/>
          <w14:textFill>
            <w14:solidFill>
              <w14:schemeClr w14:val="tx1"/>
            </w14:solidFill>
          </w14:textFill>
        </w:rPr>
        <w:t>折旧或摊销方法</w:t>
      </w:r>
    </w:p>
    <w:sdt>
      <w:sdtPr>
        <w:rPr>
          <w:color w:val="000000" w:themeColor="text1"/>
          <w14:textFill>
            <w14:solidFill>
              <w14:schemeClr w14:val="tx1"/>
            </w14:solidFill>
          </w14:textFill>
        </w:rPr>
        <w:alias w:val="采用成本计量模式的折旧或摊销方法"/>
        <w:tag w:val="_GBC_5b2898357289426780691d99ea19aa67"/>
        <w:id w:val="2002924984"/>
        <w:placeholder>
          <w:docPart w:val="GBC22222222222222222222222222222"/>
        </w:placeholder>
      </w:sdtPr>
      <w:sdtEndPr>
        <w:rPr>
          <w:color w:val="000000" w:themeColor="text1"/>
          <w14:textFill>
            <w14:solidFill>
              <w14:schemeClr w14:val="tx1"/>
            </w14:solidFill>
          </w14:textFill>
        </w:rPr>
      </w:sdtEndPr>
      <w:sdtContent>
        <w:p w14:paraId="74C991B0">
          <w:pPr>
            <w:spacing w:line="360" w:lineRule="auto"/>
            <w:rPr>
              <w:b/>
              <w:color w:val="000000" w:themeColor="text1"/>
              <w14:textFill>
                <w14:solidFill>
                  <w14:schemeClr w14:val="tx1"/>
                </w14:solidFill>
              </w14:textFill>
            </w:rPr>
          </w:pPr>
          <w:r>
            <w:rPr>
              <w:rFonts w:hint="eastAsia"/>
              <w:b/>
              <w:color w:val="000000" w:themeColor="text1"/>
              <w14:textFill>
                <w14:solidFill>
                  <w14:schemeClr w14:val="tx1"/>
                </w14:solidFill>
              </w14:textFill>
            </w:rPr>
            <w:t>折旧或摊销方法</w:t>
          </w:r>
        </w:p>
        <w:sdt>
          <w:sdtPr>
            <w:rPr>
              <w:color w:val="000000" w:themeColor="text1"/>
              <w14:textFill>
                <w14:solidFill>
                  <w14:schemeClr w14:val="tx1"/>
                </w14:solidFill>
              </w14:textFill>
            </w:rPr>
            <w:alias w:val="采用成本计量模式的折旧或摊销方法"/>
            <w:tag w:val="_GBC_5b2898357289426780691d99ea19aa67"/>
            <w:id w:val="2001382566"/>
          </w:sdtPr>
          <w:sdtEndPr>
            <w:rPr>
              <w:color w:val="000000" w:themeColor="text1"/>
              <w14:textFill>
                <w14:solidFill>
                  <w14:schemeClr w14:val="tx1"/>
                </w14:solidFill>
              </w14:textFill>
            </w:rPr>
          </w:sdtEndPr>
          <w:sdtContent>
            <w:p w14:paraId="73E6FC5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（1）投资性房地产的种类和计量模式</w:t>
              </w:r>
            </w:p>
            <w:p w14:paraId="15B70D0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本公司投资性房地产的种类有：出租的土地使用权、出租的建筑物、持有并准备增值后转让的土地使用权。    </w:t>
              </w:r>
            </w:p>
            <w:p w14:paraId="0BF093D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本公司投资性房地产按照成本进行初始计量，采用成本模式进行后续计量。</w:t>
              </w:r>
            </w:p>
            <w:p w14:paraId="5B46BA5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（2）采用成本模式核算政策    </w:t>
              </w:r>
            </w:p>
            <w:p w14:paraId="4A1B3FD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投资性房地产中出租的建筑物采用年限平均法计提折旧，具体核算政策与固定资产部分相同。投资性房地产中出租的土地使用权、持有并准备增值后转让的土地使用权采用直线法摊销，具体核算政策与无形资产部分相同。    </w:t>
              </w:r>
            </w:p>
            <w:p w14:paraId="7F6C0CC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本公司的投资性房地产类别、折旧方法、折旧年限、预计残值率、年折旧率如下：</w:t>
              </w:r>
            </w:p>
            <w:tbl>
              <w:tblPr>
                <w:tblStyle w:val="37"/>
                <w:tblW w:w="737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275"/>
                <w:gridCol w:w="2451"/>
                <w:gridCol w:w="1944"/>
              </w:tblGrid>
              <w:tr w14:paraId="4A3642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702" w:type="dxa"/>
                    <w:tcBorders>
                      <w:top w:val="single" w:color="auto" w:sz="12" w:space="0"/>
                      <w:left w:val="nil"/>
                      <w:bottom w:val="single" w:color="auto" w:sz="12" w:space="0"/>
                      <w:right w:val="single" w:color="auto" w:sz="4" w:space="0"/>
                    </w:tcBorders>
                    <w:vAlign w:val="center"/>
                  </w:tcPr>
                  <w:p w14:paraId="6F33AA93">
                    <w:pPr>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类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别</w:t>
                    </w:r>
                  </w:p>
                </w:tc>
                <w:tc>
                  <w:tcPr>
                    <w:tcW w:w="1275" w:type="dxa"/>
                    <w:tcBorders>
                      <w:top w:val="single" w:color="auto" w:sz="12" w:space="0"/>
                      <w:left w:val="single" w:color="auto" w:sz="4" w:space="0"/>
                      <w:bottom w:val="single" w:color="auto" w:sz="12" w:space="0"/>
                      <w:right w:val="single" w:color="auto" w:sz="4" w:space="0"/>
                    </w:tcBorders>
                    <w:vAlign w:val="center"/>
                  </w:tcPr>
                  <w:p w14:paraId="2C23B9B9">
                    <w:pPr>
                      <w:rPr>
                        <w:color w:val="000000" w:themeColor="text1"/>
                        <w14:textFill>
                          <w14:solidFill>
                            <w14:schemeClr w14:val="tx1"/>
                          </w14:solidFill>
                        </w14:textFill>
                      </w:rPr>
                    </w:pPr>
                    <w:r>
                      <w:rPr>
                        <w:rFonts w:hint="eastAsia"/>
                        <w:color w:val="000000" w:themeColor="text1"/>
                        <w14:textFill>
                          <w14:solidFill>
                            <w14:schemeClr w14:val="tx1"/>
                          </w14:solidFill>
                        </w14:textFill>
                      </w:rPr>
                      <w:t>折旧方法</w:t>
                    </w:r>
                  </w:p>
                </w:tc>
                <w:tc>
                  <w:tcPr>
                    <w:tcW w:w="2451" w:type="dxa"/>
                    <w:tcBorders>
                      <w:top w:val="single" w:color="auto" w:sz="12" w:space="0"/>
                      <w:left w:val="single" w:color="auto" w:sz="4" w:space="0"/>
                      <w:bottom w:val="single" w:color="auto" w:sz="12" w:space="0"/>
                      <w:right w:val="single" w:color="auto" w:sz="4" w:space="0"/>
                    </w:tcBorders>
                    <w:vAlign w:val="center"/>
                  </w:tcPr>
                  <w:p w14:paraId="7198AC78">
                    <w:pPr>
                      <w:rPr>
                        <w:color w:val="000000" w:themeColor="text1"/>
                        <w14:textFill>
                          <w14:solidFill>
                            <w14:schemeClr w14:val="tx1"/>
                          </w14:solidFill>
                        </w14:textFill>
                      </w:rPr>
                    </w:pPr>
                    <w:r>
                      <w:rPr>
                        <w:rFonts w:hint="eastAsia"/>
                        <w:color w:val="000000" w:themeColor="text1"/>
                        <w14:textFill>
                          <w14:solidFill>
                            <w14:schemeClr w14:val="tx1"/>
                          </w14:solidFill>
                        </w14:textFill>
                      </w:rPr>
                      <w:t>折旧年限(年)</w:t>
                    </w:r>
                  </w:p>
                </w:tc>
                <w:tc>
                  <w:tcPr>
                    <w:tcW w:w="1944" w:type="dxa"/>
                    <w:tcBorders>
                      <w:top w:val="single" w:color="auto" w:sz="12" w:space="0"/>
                      <w:left w:val="single" w:color="auto" w:sz="4" w:space="0"/>
                      <w:bottom w:val="single" w:color="auto" w:sz="12" w:space="0"/>
                      <w:right w:val="nil"/>
                    </w:tcBorders>
                    <w:vAlign w:val="center"/>
                  </w:tcPr>
                  <w:p w14:paraId="091D75A0">
                    <w:pPr>
                      <w:rPr>
                        <w:color w:val="000000" w:themeColor="text1"/>
                        <w14:textFill>
                          <w14:solidFill>
                            <w14:schemeClr w14:val="tx1"/>
                          </w14:solidFill>
                        </w14:textFill>
                      </w:rPr>
                    </w:pPr>
                    <w:r>
                      <w:rPr>
                        <w:rFonts w:hint="eastAsia"/>
                        <w:color w:val="000000" w:themeColor="text1"/>
                        <w14:textFill>
                          <w14:solidFill>
                            <w14:schemeClr w14:val="tx1"/>
                          </w14:solidFill>
                        </w14:textFill>
                      </w:rPr>
                      <w:t>年折旧率（%）</w:t>
                    </w:r>
                  </w:p>
                </w:tc>
              </w:tr>
              <w:tr w14:paraId="6D783C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702" w:type="dxa"/>
                    <w:tcBorders>
                      <w:top w:val="single" w:color="auto" w:sz="12" w:space="0"/>
                      <w:left w:val="nil"/>
                      <w:bottom w:val="single" w:color="auto" w:sz="4" w:space="0"/>
                      <w:right w:val="single" w:color="auto" w:sz="4" w:space="0"/>
                    </w:tcBorders>
                    <w:vAlign w:val="center"/>
                  </w:tcPr>
                  <w:p w14:paraId="1EA8F8F6">
                    <w:pPr>
                      <w:rPr>
                        <w:color w:val="000000" w:themeColor="text1"/>
                        <w14:textFill>
                          <w14:solidFill>
                            <w14:schemeClr w14:val="tx1"/>
                          </w14:solidFill>
                        </w14:textFill>
                      </w:rPr>
                    </w:pPr>
                    <w:r>
                      <w:rPr>
                        <w:rFonts w:hint="eastAsia"/>
                        <w:color w:val="000000" w:themeColor="text1"/>
                        <w14:textFill>
                          <w14:solidFill>
                            <w14:schemeClr w14:val="tx1"/>
                          </w14:solidFill>
                        </w14:textFill>
                      </w:rPr>
                      <w:t>房屋及建筑物</w:t>
                    </w:r>
                  </w:p>
                </w:tc>
                <w:tc>
                  <w:tcPr>
                    <w:tcW w:w="1275" w:type="dxa"/>
                    <w:tcBorders>
                      <w:top w:val="single" w:color="auto" w:sz="12" w:space="0"/>
                      <w:left w:val="single" w:color="auto" w:sz="4" w:space="0"/>
                      <w:bottom w:val="single" w:color="auto" w:sz="4" w:space="0"/>
                      <w:right w:val="single" w:color="auto" w:sz="4" w:space="0"/>
                    </w:tcBorders>
                    <w:vAlign w:val="center"/>
                  </w:tcPr>
                  <w:p w14:paraId="5363B07C">
                    <w:pPr>
                      <w:rPr>
                        <w:color w:val="000000" w:themeColor="text1"/>
                        <w14:textFill>
                          <w14:solidFill>
                            <w14:schemeClr w14:val="tx1"/>
                          </w14:solidFill>
                        </w14:textFill>
                      </w:rPr>
                    </w:pPr>
                    <w:r>
                      <w:rPr>
                        <w:rFonts w:hint="eastAsia"/>
                        <w:color w:val="000000" w:themeColor="text1"/>
                        <w14:textFill>
                          <w14:solidFill>
                            <w14:schemeClr w14:val="tx1"/>
                          </w14:solidFill>
                        </w14:textFill>
                      </w:rPr>
                      <w:t>直线法</w:t>
                    </w:r>
                  </w:p>
                </w:tc>
                <w:tc>
                  <w:tcPr>
                    <w:tcW w:w="2451" w:type="dxa"/>
                    <w:tcBorders>
                      <w:top w:val="single" w:color="auto" w:sz="12" w:space="0"/>
                      <w:left w:val="single" w:color="auto" w:sz="4" w:space="0"/>
                      <w:bottom w:val="single" w:color="auto" w:sz="4" w:space="0"/>
                      <w:right w:val="single" w:color="auto" w:sz="4" w:space="0"/>
                    </w:tcBorders>
                    <w:vAlign w:val="center"/>
                  </w:tcPr>
                  <w:p w14:paraId="32766AF3">
                    <w:pPr>
                      <w:rPr>
                        <w:color w:val="000000" w:themeColor="text1"/>
                        <w14:textFill>
                          <w14:solidFill>
                            <w14:schemeClr w14:val="tx1"/>
                          </w14:solidFill>
                        </w14:textFill>
                      </w:rPr>
                    </w:pPr>
                    <w:r>
                      <w:rPr>
                        <w:rFonts w:hint="eastAsia"/>
                        <w:color w:val="000000" w:themeColor="text1"/>
                        <w14:textFill>
                          <w14:solidFill>
                            <w14:schemeClr w14:val="tx1"/>
                          </w14:solidFill>
                        </w14:textFill>
                      </w:rPr>
                      <w:t>15-50</w:t>
                    </w:r>
                  </w:p>
                </w:tc>
                <w:tc>
                  <w:tcPr>
                    <w:tcW w:w="1944" w:type="dxa"/>
                    <w:tcBorders>
                      <w:top w:val="single" w:color="auto" w:sz="12" w:space="0"/>
                      <w:left w:val="single" w:color="auto" w:sz="4" w:space="0"/>
                      <w:bottom w:val="single" w:color="auto" w:sz="4" w:space="0"/>
                      <w:right w:val="nil"/>
                    </w:tcBorders>
                    <w:vAlign w:val="center"/>
                  </w:tcPr>
                  <w:p w14:paraId="03F1C752">
                    <w:pPr>
                      <w:rPr>
                        <w:color w:val="000000" w:themeColor="text1"/>
                        <w14:textFill>
                          <w14:solidFill>
                            <w14:schemeClr w14:val="tx1"/>
                          </w14:solidFill>
                        </w14:textFill>
                      </w:rPr>
                    </w:pPr>
                    <w:r>
                      <w:rPr>
                        <w:rFonts w:hint="eastAsia"/>
                        <w:color w:val="000000" w:themeColor="text1"/>
                        <w14:textFill>
                          <w14:solidFill>
                            <w14:schemeClr w14:val="tx1"/>
                          </w14:solidFill>
                        </w14:textFill>
                      </w:rPr>
                      <w:t>1.8-6</w:t>
                    </w:r>
                  </w:p>
                </w:tc>
              </w:tr>
              <w:tr w14:paraId="099613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702" w:type="dxa"/>
                    <w:tcBorders>
                      <w:top w:val="single" w:color="auto" w:sz="4" w:space="0"/>
                      <w:left w:val="nil"/>
                      <w:bottom w:val="single" w:color="auto" w:sz="12" w:space="0"/>
                      <w:right w:val="single" w:color="auto" w:sz="4" w:space="0"/>
                    </w:tcBorders>
                    <w:vAlign w:val="center"/>
                  </w:tcPr>
                  <w:p w14:paraId="38B5DEAE">
                    <w:pPr>
                      <w:rPr>
                        <w:color w:val="000000" w:themeColor="text1"/>
                        <w14:textFill>
                          <w14:solidFill>
                            <w14:schemeClr w14:val="tx1"/>
                          </w14:solidFill>
                        </w14:textFill>
                      </w:rPr>
                    </w:pPr>
                    <w:r>
                      <w:rPr>
                        <w:rFonts w:hint="eastAsia"/>
                        <w:color w:val="000000" w:themeColor="text1"/>
                        <w14:textFill>
                          <w14:solidFill>
                            <w14:schemeClr w14:val="tx1"/>
                          </w14:solidFill>
                        </w14:textFill>
                      </w:rPr>
                      <w:t>土地使用权</w:t>
                    </w:r>
                  </w:p>
                </w:tc>
                <w:tc>
                  <w:tcPr>
                    <w:tcW w:w="1275" w:type="dxa"/>
                    <w:tcBorders>
                      <w:top w:val="single" w:color="auto" w:sz="4" w:space="0"/>
                      <w:left w:val="single" w:color="auto" w:sz="4" w:space="0"/>
                      <w:bottom w:val="single" w:color="auto" w:sz="12" w:space="0"/>
                      <w:right w:val="single" w:color="auto" w:sz="4" w:space="0"/>
                    </w:tcBorders>
                    <w:vAlign w:val="center"/>
                  </w:tcPr>
                  <w:p w14:paraId="342C8D82">
                    <w:pPr>
                      <w:rPr>
                        <w:color w:val="000000" w:themeColor="text1"/>
                        <w14:textFill>
                          <w14:solidFill>
                            <w14:schemeClr w14:val="tx1"/>
                          </w14:solidFill>
                        </w14:textFill>
                      </w:rPr>
                    </w:pPr>
                    <w:r>
                      <w:rPr>
                        <w:rFonts w:hint="eastAsia"/>
                        <w:color w:val="000000" w:themeColor="text1"/>
                        <w14:textFill>
                          <w14:solidFill>
                            <w14:schemeClr w14:val="tx1"/>
                          </w14:solidFill>
                        </w14:textFill>
                      </w:rPr>
                      <w:t>直线法</w:t>
                    </w:r>
                  </w:p>
                </w:tc>
                <w:tc>
                  <w:tcPr>
                    <w:tcW w:w="2451" w:type="dxa"/>
                    <w:tcBorders>
                      <w:top w:val="single" w:color="auto" w:sz="4" w:space="0"/>
                      <w:left w:val="single" w:color="auto" w:sz="4" w:space="0"/>
                      <w:bottom w:val="single" w:color="auto" w:sz="12" w:space="0"/>
                      <w:right w:val="single" w:color="auto" w:sz="4" w:space="0"/>
                    </w:tcBorders>
                    <w:vAlign w:val="center"/>
                  </w:tcPr>
                  <w:p w14:paraId="2C3D74F7">
                    <w:pPr>
                      <w:rPr>
                        <w:color w:val="000000" w:themeColor="text1"/>
                        <w14:textFill>
                          <w14:solidFill>
                            <w14:schemeClr w14:val="tx1"/>
                          </w14:solidFill>
                        </w14:textFill>
                      </w:rPr>
                    </w:pPr>
                    <w:r>
                      <w:rPr>
                        <w:rFonts w:hint="eastAsia"/>
                        <w:color w:val="000000" w:themeColor="text1"/>
                        <w14:textFill>
                          <w14:solidFill>
                            <w14:schemeClr w14:val="tx1"/>
                          </w14:solidFill>
                        </w14:textFill>
                      </w:rPr>
                      <w:t>20-50</w:t>
                    </w:r>
                  </w:p>
                </w:tc>
                <w:tc>
                  <w:tcPr>
                    <w:tcW w:w="1944" w:type="dxa"/>
                    <w:tcBorders>
                      <w:top w:val="single" w:color="auto" w:sz="4" w:space="0"/>
                      <w:left w:val="single" w:color="auto" w:sz="4" w:space="0"/>
                      <w:bottom w:val="single" w:color="auto" w:sz="12" w:space="0"/>
                      <w:right w:val="nil"/>
                    </w:tcBorders>
                    <w:vAlign w:val="center"/>
                  </w:tcPr>
                  <w:p w14:paraId="4CBCFF2C">
                    <w:pPr>
                      <w:rPr>
                        <w:color w:val="000000" w:themeColor="text1"/>
                        <w14:textFill>
                          <w14:solidFill>
                            <w14:schemeClr w14:val="tx1"/>
                          </w14:solidFill>
                        </w14:textFill>
                      </w:rPr>
                    </w:pPr>
                    <w:r>
                      <w:rPr>
                        <w:rFonts w:hint="eastAsia"/>
                        <w:color w:val="000000" w:themeColor="text1"/>
                        <w14:textFill>
                          <w14:solidFill>
                            <w14:schemeClr w14:val="tx1"/>
                          </w14:solidFill>
                        </w14:textFill>
                      </w:rPr>
                      <w:t>2-5</w:t>
                    </w:r>
                  </w:p>
                </w:tc>
              </w:tr>
            </w:tbl>
            <w:p w14:paraId="78B1E4F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对于投资性房地产出售、转让、报废或毁损的处置收入扣除其账面价值和相关税费后的差额计入当期损益。本公司在有证据表明将自用的房屋及建筑物改用于出租或将持有的房地产开发产品以经营租赁的方式出租时，固定资产、无形资产或存货以转换前的账面价值转换为投资性房地产。本公司在有证据表明将原本用于赚取租金或资本增值的房屋及建筑物改为自用或将用于经营租出的房屋及建筑物重新用于对外销售的，投资性房地产以转换前的账面价值转换为固定资产、无形资产或存货。</w:t>
              </w:r>
            </w:p>
          </w:sdtContent>
        </w:sdt>
      </w:sdtContent>
    </w:sdt>
    <w:p w14:paraId="11EAC526">
      <w:pPr>
        <w:rPr>
          <w:color w:val="000000" w:themeColor="text1"/>
          <w14:textFill>
            <w14:solidFill>
              <w14:schemeClr w14:val="tx1"/>
            </w14:solidFill>
          </w14:textFill>
        </w:rPr>
      </w:pPr>
    </w:p>
    <w:p w14:paraId="7699F262">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固定资产</w:t>
      </w:r>
    </w:p>
    <w:p w14:paraId="0AF4808E">
      <w:pPr>
        <w:pStyle w:val="5"/>
        <w:numPr>
          <w:ilvl w:val="0"/>
          <w:numId w:val="44"/>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确认条件</w:t>
      </w:r>
    </w:p>
    <w:sdt>
      <w:sdtPr>
        <w:rPr>
          <w:color w:val="000000" w:themeColor="text1"/>
          <w14:textFill>
            <w14:solidFill>
              <w14:schemeClr w14:val="tx1"/>
            </w14:solidFill>
          </w14:textFill>
        </w:rPr>
        <w:alias w:val="是否适用：固定资产确认条件[双击切换]"/>
        <w:tag w:val="_GBC_45cce032cd1f43bfad18a80dd94e9cc4"/>
        <w:id w:val="817772317"/>
        <w:placeholder>
          <w:docPart w:val="GBC22222222222222222222222222222"/>
        </w:placeholder>
      </w:sdtPr>
      <w:sdtEndPr>
        <w:rPr>
          <w:color w:val="000000" w:themeColor="text1"/>
          <w14:textFill>
            <w14:solidFill>
              <w14:schemeClr w14:val="tx1"/>
            </w14:solidFill>
          </w14:textFill>
        </w:rPr>
      </w:sdtEndPr>
      <w:sdtContent>
        <w:p w14:paraId="60F4913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bCs w:val="0"/>
          <w:color w:val="000000" w:themeColor="text1"/>
          <w14:textFill>
            <w14:solidFill>
              <w14:schemeClr w14:val="tx1"/>
            </w14:solidFill>
          </w14:textFill>
        </w:rPr>
        <w:alias w:val="固定资产确认条件"/>
        <w:tag w:val="_GBC_3044d53470b143fa9477fa34b85d4ec5"/>
        <w:id w:val="-1463886577"/>
        <w:placeholder>
          <w:docPart w:val="GBC22222222222222222222222222222"/>
        </w:placeholder>
      </w:sdtPr>
      <w:sdtEndPr>
        <w:rPr>
          <w:b/>
          <w:bCs w:val="0"/>
          <w:color w:val="000000" w:themeColor="text1"/>
          <w14:textFill>
            <w14:solidFill>
              <w14:schemeClr w14:val="tx1"/>
            </w14:solidFill>
          </w14:textFill>
        </w:rPr>
      </w:sdtEndPr>
      <w:sdtContent>
        <w:sdt>
          <w:sdtPr>
            <w:rPr>
              <w:bCs w:val="0"/>
              <w:color w:val="000000" w:themeColor="text1"/>
              <w14:textFill>
                <w14:solidFill>
                  <w14:schemeClr w14:val="tx1"/>
                </w14:solidFill>
              </w14:textFill>
            </w:rPr>
            <w:alias w:val="固定资产确认条件"/>
            <w:tag w:val="_GBC_3044d53470b143fa9477fa34b85d4ec5"/>
            <w:id w:val="466559355"/>
          </w:sdtPr>
          <w:sdtEndPr>
            <w:rPr>
              <w:bCs/>
              <w:color w:val="auto"/>
            </w:rPr>
          </w:sdtEndPr>
          <w:sdtContent>
            <w:p w14:paraId="7D714FB5">
              <w:pPr>
                <w:spacing w:line="360" w:lineRule="auto"/>
                <w:ind w:firstLine="420" w:firstLineChars="200"/>
                <w:rPr>
                  <w:bCs w:val="0"/>
                  <w:color w:val="000000" w:themeColor="text1"/>
                  <w14:textFill>
                    <w14:solidFill>
                      <w14:schemeClr w14:val="tx1"/>
                    </w14:solidFill>
                  </w14:textFill>
                </w:rPr>
              </w:pPr>
              <w:r>
                <w:rPr>
                  <w:rFonts w:hint="eastAsia"/>
                  <w:bCs w:val="0"/>
                  <w:color w:val="000000" w:themeColor="text1"/>
                  <w14:textFill>
                    <w14:solidFill>
                      <w14:schemeClr w14:val="tx1"/>
                    </w14:solidFill>
                  </w14:textFill>
                </w:rPr>
                <w:t xml:space="preserve">本公司固定资产指为生产商品、提供劳务、出租或经营管理而持有的，使用寿命超过一个会计年度的有形资产，同时满足以下条件时予以确认：    </w:t>
              </w:r>
            </w:p>
            <w:p w14:paraId="026CA0FB">
              <w:pPr>
                <w:spacing w:line="360" w:lineRule="auto"/>
                <w:ind w:firstLine="420" w:firstLineChars="200"/>
                <w:rPr>
                  <w:bCs w:val="0"/>
                  <w:color w:val="000000" w:themeColor="text1"/>
                  <w14:textFill>
                    <w14:solidFill>
                      <w14:schemeClr w14:val="tx1"/>
                    </w14:solidFill>
                  </w14:textFill>
                </w:rPr>
              </w:pPr>
              <w:r>
                <w:rPr>
                  <w:rFonts w:hint="eastAsia" w:ascii="BatangChe" w:hAnsi="BatangChe" w:eastAsia="BatangChe"/>
                  <w:bCs w:val="0"/>
                  <w:color w:val="000000" w:themeColor="text1"/>
                  <w14:textFill>
                    <w14:solidFill>
                      <w14:schemeClr w14:val="tx1"/>
                    </w14:solidFill>
                  </w14:textFill>
                </w:rPr>
                <w:t>①</w:t>
              </w:r>
              <w:r>
                <w:rPr>
                  <w:rFonts w:hint="eastAsia"/>
                  <w:bCs w:val="0"/>
                  <w:color w:val="000000" w:themeColor="text1"/>
                  <w14:textFill>
                    <w14:solidFill>
                      <w14:schemeClr w14:val="tx1"/>
                    </w14:solidFill>
                  </w14:textFill>
                </w:rPr>
                <w:t xml:space="preserve">与该固定资产有关的经济利益很可能流入本公司；    </w:t>
              </w:r>
            </w:p>
            <w:p w14:paraId="2A665376">
              <w:pPr>
                <w:pStyle w:val="55"/>
                <w:spacing w:line="360" w:lineRule="auto"/>
                <w:ind w:left="105" w:firstLine="315" w:firstLineChars="150"/>
                <w:rPr>
                  <w:bCs w:val="0"/>
                  <w:color w:val="000000" w:themeColor="text1"/>
                  <w14:textFill>
                    <w14:solidFill>
                      <w14:schemeClr w14:val="tx1"/>
                    </w14:solidFill>
                  </w14:textFill>
                </w:rPr>
              </w:pPr>
              <w:r>
                <w:rPr>
                  <w:rFonts w:hint="eastAsia" w:ascii="BatangChe" w:hAnsi="BatangChe" w:eastAsia="BatangChe"/>
                  <w:bCs w:val="0"/>
                  <w:color w:val="000000" w:themeColor="text1"/>
                  <w14:textFill>
                    <w14:solidFill>
                      <w14:schemeClr w14:val="tx1"/>
                    </w14:solidFill>
                  </w14:textFill>
                </w:rPr>
                <w:t>②</w:t>
              </w:r>
              <w:r>
                <w:rPr>
                  <w:rFonts w:hint="eastAsia"/>
                  <w:bCs w:val="0"/>
                  <w:color w:val="000000" w:themeColor="text1"/>
                  <w14:textFill>
                    <w14:solidFill>
                      <w14:schemeClr w14:val="tx1"/>
                    </w14:solidFill>
                  </w14:textFill>
                </w:rPr>
                <w:t xml:space="preserve">该固定资产的成本能够可靠地计量。    </w:t>
              </w:r>
            </w:p>
            <w:p w14:paraId="265A7C9E">
              <w:pPr>
                <w:pStyle w:val="55"/>
                <w:spacing w:line="360" w:lineRule="auto"/>
                <w:ind w:left="105" w:firstLine="315" w:firstLineChars="150"/>
                <w:rPr>
                  <w:bCs w:val="0"/>
                  <w:color w:val="000000" w:themeColor="text1"/>
                  <w14:textFill>
                    <w14:solidFill>
                      <w14:schemeClr w14:val="tx1"/>
                    </w14:solidFill>
                  </w14:textFill>
                </w:rPr>
              </w:pPr>
              <w:r>
                <w:rPr>
                  <w:rFonts w:hint="eastAsia"/>
                  <w:bCs w:val="0"/>
                  <w:color w:val="000000" w:themeColor="text1"/>
                  <w14:textFill>
                    <w14:solidFill>
                      <w14:schemeClr w14:val="tx1"/>
                    </w14:solidFill>
                  </w14:textFill>
                </w:rPr>
                <w:t>与固定资产有关的后续支出，符合上述确认条件的，计入固定资产成本，并终止确认被替</w:t>
              </w:r>
            </w:p>
            <w:p w14:paraId="6A195CF6">
              <w:pPr>
                <w:spacing w:line="360" w:lineRule="auto"/>
                <w:rPr>
                  <w:bCs w:val="0"/>
                  <w:color w:val="000000" w:themeColor="text1"/>
                  <w14:textFill>
                    <w14:solidFill>
                      <w14:schemeClr w14:val="tx1"/>
                    </w14:solidFill>
                  </w14:textFill>
                </w:rPr>
              </w:pPr>
              <w:r>
                <w:rPr>
                  <w:rFonts w:hint="eastAsia"/>
                  <w:bCs w:val="0"/>
                  <w:color w:val="000000" w:themeColor="text1"/>
                  <w14:textFill>
                    <w14:solidFill>
                      <w14:schemeClr w14:val="tx1"/>
                    </w14:solidFill>
                  </w14:textFill>
                </w:rPr>
                <w:t xml:space="preserve">换部分的账面价值；否则，在发生时计入当期损益。    </w:t>
              </w:r>
            </w:p>
            <w:p w14:paraId="2174C035">
              <w:pPr>
                <w:spacing w:line="360" w:lineRule="auto"/>
                <w:ind w:firstLine="420" w:firstLineChars="200"/>
                <w:rPr>
                  <w:bCs w:val="0"/>
                  <w:color w:val="000000" w:themeColor="text1"/>
                  <w14:textFill>
                    <w14:solidFill>
                      <w14:schemeClr w14:val="tx1"/>
                    </w14:solidFill>
                  </w14:textFill>
                </w:rPr>
              </w:pPr>
              <w:r>
                <w:rPr>
                  <w:rFonts w:hint="eastAsia"/>
                  <w:bCs w:val="0"/>
                  <w:color w:val="000000" w:themeColor="text1"/>
                  <w14:textFill>
                    <w14:solidFill>
                      <w14:schemeClr w14:val="tx1"/>
                    </w14:solidFill>
                  </w14:textFill>
                </w:rPr>
                <w:t>本公司固定资产按照成本进行初始计量。固定资产的成本一般包括购买价款、相关税费、以及为使固定资产达到预定可使用状态前所发生的可直接归属于该资产的其他支出，如运输费、安装费等。但购买的固定资产如果超过正常的信用条件延期支付，固定资产的成本以各期付款额的现值之和为基础确定。实际支付的价款与购买价款的现值之间的差额，除按照《企业会计准则第 17 号——借款费用》应予资本化的以外，在信用期内计入当期损益。</w:t>
              </w:r>
            </w:p>
          </w:sdtContent>
        </w:sdt>
      </w:sdtContent>
    </w:sdt>
    <w:p w14:paraId="16FE6C13">
      <w:pPr>
        <w:rPr>
          <w:color w:val="000000" w:themeColor="text1"/>
          <w14:textFill>
            <w14:solidFill>
              <w14:schemeClr w14:val="tx1"/>
            </w14:solidFill>
          </w14:textFill>
        </w:rPr>
      </w:pPr>
    </w:p>
    <w:p w14:paraId="3984DEEF">
      <w:pPr>
        <w:pStyle w:val="5"/>
        <w:numPr>
          <w:ilvl w:val="0"/>
          <w:numId w:val="44"/>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折旧方法</w:t>
      </w:r>
    </w:p>
    <w:sdt>
      <w:sdtPr>
        <w:rPr>
          <w:color w:val="000000" w:themeColor="text1"/>
          <w14:textFill>
            <w14:solidFill>
              <w14:schemeClr w14:val="tx1"/>
            </w14:solidFill>
          </w14:textFill>
        </w:rPr>
        <w:alias w:val="是否适用：固定资产折旧方法[双击切换]"/>
        <w:tag w:val="_GBC_c221ef38ff6a4242aab725946697311c"/>
        <w:id w:val="-346182172"/>
        <w:placeholder>
          <w:docPart w:val="GBC22222222222222222222222222222"/>
        </w:placeholder>
      </w:sdtPr>
      <w:sdtEndPr>
        <w:rPr>
          <w:color w:val="000000" w:themeColor="text1"/>
          <w14:textFill>
            <w14:solidFill>
              <w14:schemeClr w14:val="tx1"/>
            </w14:solidFill>
          </w14:textFill>
        </w:rPr>
      </w:sdtEndPr>
      <w:sdtContent>
        <w:p w14:paraId="39693BF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1785"/>
        <w:gridCol w:w="1788"/>
        <w:gridCol w:w="1788"/>
        <w:gridCol w:w="1788"/>
      </w:tblGrid>
      <w:tr w14:paraId="0698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d39db65ac15c4d7583d7fe75cb893517"/>
            <w:id w:val="1624343303"/>
          </w:sdtPr>
          <w:sdtContent>
            <w:tc>
              <w:tcPr>
                <w:tcW w:w="949" w:type="pct"/>
                <w:vAlign w:val="center"/>
              </w:tcPr>
              <w:p w14:paraId="152EFF20">
                <w:pPr>
                  <w:jc w:val="center"/>
                  <w:rPr>
                    <w:color w:val="000000" w:themeColor="text1"/>
                    <w14:textFill>
                      <w14:solidFill>
                        <w14:schemeClr w14:val="tx1"/>
                      </w14:solidFill>
                    </w14:textFill>
                  </w:rPr>
                </w:pPr>
                <w:r>
                  <w:rPr>
                    <w:color w:val="000000" w:themeColor="text1"/>
                    <w14:textFill>
                      <w14:solidFill>
                        <w14:schemeClr w14:val="tx1"/>
                      </w14:solidFill>
                    </w14:textFill>
                  </w:rPr>
                  <w:t>类别</w:t>
                </w:r>
              </w:p>
            </w:tc>
          </w:sdtContent>
        </w:sdt>
        <w:sdt>
          <w:sdtPr>
            <w:tag w:val="_PLD_1b5147121b9948e5a115c7a4d6c95995"/>
            <w:id w:val="-175274990"/>
          </w:sdtPr>
          <w:sdtContent>
            <w:tc>
              <w:tcPr>
                <w:tcW w:w="1012" w:type="pct"/>
                <w:vAlign w:val="center"/>
              </w:tcPr>
              <w:p w14:paraId="46FE3A8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折旧方法</w:t>
                </w:r>
              </w:p>
            </w:tc>
          </w:sdtContent>
        </w:sdt>
        <w:sdt>
          <w:sdtPr>
            <w:tag w:val="_PLD_65441224aa3f4fd3be4ca0650b16b1aa"/>
            <w:id w:val="209306491"/>
          </w:sdtPr>
          <w:sdtContent>
            <w:tc>
              <w:tcPr>
                <w:tcW w:w="1013" w:type="pct"/>
                <w:vAlign w:val="center"/>
              </w:tcPr>
              <w:p w14:paraId="221826F6">
                <w:pPr>
                  <w:jc w:val="center"/>
                  <w:rPr>
                    <w:color w:val="000000" w:themeColor="text1"/>
                    <w14:textFill>
                      <w14:solidFill>
                        <w14:schemeClr w14:val="tx1"/>
                      </w14:solidFill>
                    </w14:textFill>
                  </w:rPr>
                </w:pPr>
                <w:r>
                  <w:rPr>
                    <w:color w:val="000000" w:themeColor="text1"/>
                    <w14:textFill>
                      <w14:solidFill>
                        <w14:schemeClr w14:val="tx1"/>
                      </w14:solidFill>
                    </w14:textFill>
                  </w:rPr>
                  <w:t>折旧年限（年）</w:t>
                </w:r>
              </w:p>
            </w:tc>
          </w:sdtContent>
        </w:sdt>
        <w:sdt>
          <w:sdtPr>
            <w:tag w:val="_PLD_1c82a37539a842289bf80f2937f33bee"/>
            <w:id w:val="-1111822401"/>
          </w:sdtPr>
          <w:sdtContent>
            <w:tc>
              <w:tcPr>
                <w:tcW w:w="1013" w:type="pct"/>
                <w:vAlign w:val="center"/>
              </w:tcPr>
              <w:p w14:paraId="139B5DA6">
                <w:pPr>
                  <w:jc w:val="center"/>
                  <w:rPr>
                    <w:color w:val="000000" w:themeColor="text1"/>
                    <w14:textFill>
                      <w14:solidFill>
                        <w14:schemeClr w14:val="tx1"/>
                      </w14:solidFill>
                    </w14:textFill>
                  </w:rPr>
                </w:pPr>
                <w:r>
                  <w:rPr>
                    <w:color w:val="000000" w:themeColor="text1"/>
                    <w14:textFill>
                      <w14:solidFill>
                        <w14:schemeClr w14:val="tx1"/>
                      </w14:solidFill>
                    </w14:textFill>
                  </w:rPr>
                  <w:t>残值率</w:t>
                </w:r>
              </w:p>
            </w:tc>
          </w:sdtContent>
        </w:sdt>
        <w:sdt>
          <w:sdtPr>
            <w:tag w:val="_PLD_a67e8338c181496fa22b9944b63ec82c"/>
            <w:id w:val="-830592323"/>
          </w:sdtPr>
          <w:sdtContent>
            <w:tc>
              <w:tcPr>
                <w:tcW w:w="1013" w:type="pct"/>
                <w:vAlign w:val="center"/>
              </w:tcPr>
              <w:p w14:paraId="4A645836">
                <w:pPr>
                  <w:jc w:val="center"/>
                  <w:rPr>
                    <w:color w:val="000000" w:themeColor="text1"/>
                    <w14:textFill>
                      <w14:solidFill>
                        <w14:schemeClr w14:val="tx1"/>
                      </w14:solidFill>
                    </w14:textFill>
                  </w:rPr>
                </w:pPr>
                <w:r>
                  <w:rPr>
                    <w:color w:val="000000" w:themeColor="text1"/>
                    <w14:textFill>
                      <w14:solidFill>
                        <w14:schemeClr w14:val="tx1"/>
                      </w14:solidFill>
                    </w14:textFill>
                  </w:rPr>
                  <w:t>年折旧率</w:t>
                </w:r>
              </w:p>
            </w:tc>
          </w:sdtContent>
        </w:sdt>
      </w:tr>
      <w:tr w14:paraId="7611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pct"/>
          </w:tcPr>
          <w:p w14:paraId="3191D293">
            <w:r>
              <w:rPr>
                <w:rFonts w:hint="eastAsia" w:ascii="宋体" w:hAnsi="宋体"/>
              </w:rPr>
              <w:t>房屋及建筑物</w:t>
            </w:r>
          </w:p>
        </w:tc>
        <w:tc>
          <w:tcPr>
            <w:tcW w:w="1012" w:type="pct"/>
          </w:tcPr>
          <w:p w14:paraId="42482F23">
            <w:r>
              <w:rPr>
                <w:rFonts w:hint="eastAsia" w:ascii="宋体" w:hAnsi="宋体"/>
              </w:rPr>
              <w:t>直线法</w:t>
            </w:r>
          </w:p>
        </w:tc>
        <w:tc>
          <w:tcPr>
            <w:tcW w:w="1013" w:type="pct"/>
          </w:tcPr>
          <w:p w14:paraId="66453478">
            <w:r>
              <w:rPr>
                <w:rFonts w:hint="eastAsia" w:cs="Times New Roman"/>
              </w:rPr>
              <w:t>15-50</w:t>
            </w:r>
          </w:p>
        </w:tc>
        <w:tc>
          <w:tcPr>
            <w:tcW w:w="1013" w:type="pct"/>
          </w:tcPr>
          <w:p w14:paraId="07FAC8DF">
            <w:r>
              <w:rPr>
                <w:rFonts w:hint="eastAsia" w:cs="Times New Roman"/>
              </w:rPr>
              <w:t>5%-10%</w:t>
            </w:r>
          </w:p>
        </w:tc>
        <w:tc>
          <w:tcPr>
            <w:tcW w:w="1013" w:type="pct"/>
          </w:tcPr>
          <w:p w14:paraId="3AF8CE5B">
            <w:r>
              <w:rPr>
                <w:rFonts w:hint="eastAsia" w:cs="Times New Roman"/>
              </w:rPr>
              <w:t>1.8%-6%</w:t>
            </w:r>
          </w:p>
        </w:tc>
      </w:tr>
      <w:tr w14:paraId="0FC8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pct"/>
          </w:tcPr>
          <w:p w14:paraId="10D71C8B">
            <w:r>
              <w:rPr>
                <w:rFonts w:hint="eastAsia" w:ascii="宋体" w:hAnsi="宋体"/>
              </w:rPr>
              <w:t>通用设备</w:t>
            </w:r>
          </w:p>
        </w:tc>
        <w:tc>
          <w:tcPr>
            <w:tcW w:w="1012" w:type="pct"/>
          </w:tcPr>
          <w:p w14:paraId="276EA97C">
            <w:r>
              <w:rPr>
                <w:rFonts w:hint="eastAsia" w:ascii="宋体" w:hAnsi="宋体"/>
              </w:rPr>
              <w:t>直线法</w:t>
            </w:r>
          </w:p>
        </w:tc>
        <w:tc>
          <w:tcPr>
            <w:tcW w:w="1013" w:type="pct"/>
          </w:tcPr>
          <w:p w14:paraId="5B68BB3C">
            <w:r>
              <w:rPr>
                <w:rFonts w:hint="eastAsia" w:cs="Times New Roman"/>
              </w:rPr>
              <w:t>6-10</w:t>
            </w:r>
          </w:p>
        </w:tc>
        <w:tc>
          <w:tcPr>
            <w:tcW w:w="1013" w:type="pct"/>
          </w:tcPr>
          <w:p w14:paraId="5BE3C7AF">
            <w:r>
              <w:rPr>
                <w:rFonts w:hint="eastAsia" w:cs="Times New Roman"/>
              </w:rPr>
              <w:t>5%-10%</w:t>
            </w:r>
          </w:p>
        </w:tc>
        <w:tc>
          <w:tcPr>
            <w:tcW w:w="1013" w:type="pct"/>
          </w:tcPr>
          <w:p w14:paraId="4C706B13">
            <w:r>
              <w:rPr>
                <w:rFonts w:hint="eastAsia" w:cs="Times New Roman"/>
              </w:rPr>
              <w:t>9%-15%</w:t>
            </w:r>
          </w:p>
        </w:tc>
      </w:tr>
      <w:tr w14:paraId="0F3C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pct"/>
          </w:tcPr>
          <w:p w14:paraId="317CA039">
            <w:r>
              <w:rPr>
                <w:rFonts w:hint="eastAsia" w:ascii="宋体" w:hAnsi="宋体"/>
              </w:rPr>
              <w:t>运输设备</w:t>
            </w:r>
          </w:p>
        </w:tc>
        <w:tc>
          <w:tcPr>
            <w:tcW w:w="1012" w:type="pct"/>
          </w:tcPr>
          <w:p w14:paraId="151B78C9">
            <w:r>
              <w:rPr>
                <w:rFonts w:hint="eastAsia" w:ascii="宋体" w:hAnsi="宋体"/>
              </w:rPr>
              <w:t>直线法</w:t>
            </w:r>
          </w:p>
        </w:tc>
        <w:tc>
          <w:tcPr>
            <w:tcW w:w="1013" w:type="pct"/>
          </w:tcPr>
          <w:p w14:paraId="59F58056">
            <w:r>
              <w:rPr>
                <w:rFonts w:hint="eastAsia" w:cs="Times New Roman"/>
              </w:rPr>
              <w:t>5-6</w:t>
            </w:r>
          </w:p>
        </w:tc>
        <w:tc>
          <w:tcPr>
            <w:tcW w:w="1013" w:type="pct"/>
          </w:tcPr>
          <w:p w14:paraId="3A49461C">
            <w:r>
              <w:rPr>
                <w:rFonts w:hint="eastAsia" w:cs="Times New Roman"/>
              </w:rPr>
              <w:t>5%-10%</w:t>
            </w:r>
          </w:p>
        </w:tc>
        <w:tc>
          <w:tcPr>
            <w:tcW w:w="1013" w:type="pct"/>
          </w:tcPr>
          <w:p w14:paraId="281380AE">
            <w:r>
              <w:rPr>
                <w:rFonts w:hint="eastAsia" w:cs="Times New Roman"/>
              </w:rPr>
              <w:t>15%-18%</w:t>
            </w:r>
          </w:p>
        </w:tc>
      </w:tr>
      <w:tr w14:paraId="7029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pct"/>
          </w:tcPr>
          <w:p w14:paraId="1E30E6E3">
            <w:r>
              <w:rPr>
                <w:rFonts w:hint="eastAsia" w:ascii="宋体" w:hAnsi="宋体"/>
              </w:rPr>
              <w:t>专用设备</w:t>
            </w:r>
          </w:p>
        </w:tc>
        <w:tc>
          <w:tcPr>
            <w:tcW w:w="1012" w:type="pct"/>
          </w:tcPr>
          <w:p w14:paraId="5516462A">
            <w:r>
              <w:rPr>
                <w:rFonts w:hint="eastAsia" w:ascii="宋体" w:hAnsi="宋体"/>
              </w:rPr>
              <w:t>直线法</w:t>
            </w:r>
          </w:p>
        </w:tc>
        <w:tc>
          <w:tcPr>
            <w:tcW w:w="1013" w:type="pct"/>
          </w:tcPr>
          <w:p w14:paraId="528E9FD5">
            <w:r>
              <w:rPr>
                <w:rFonts w:hint="eastAsia" w:cs="Times New Roman"/>
              </w:rPr>
              <w:t>6-10</w:t>
            </w:r>
          </w:p>
        </w:tc>
        <w:tc>
          <w:tcPr>
            <w:tcW w:w="1013" w:type="pct"/>
          </w:tcPr>
          <w:p w14:paraId="4496A1C5">
            <w:r>
              <w:rPr>
                <w:rFonts w:hint="eastAsia" w:cs="Times New Roman"/>
              </w:rPr>
              <w:t>5%-10%</w:t>
            </w:r>
          </w:p>
        </w:tc>
        <w:tc>
          <w:tcPr>
            <w:tcW w:w="1013" w:type="pct"/>
          </w:tcPr>
          <w:p w14:paraId="61C8D1EA">
            <w:r>
              <w:rPr>
                <w:rFonts w:hint="eastAsia" w:cs="Times New Roman"/>
              </w:rPr>
              <w:t>9%-15%</w:t>
            </w:r>
          </w:p>
        </w:tc>
      </w:tr>
    </w:tbl>
    <w:p w14:paraId="1F54D7A0">
      <w:pPr>
        <w:rPr>
          <w:color w:val="000000" w:themeColor="text1"/>
          <w14:textFill>
            <w14:solidFill>
              <w14:schemeClr w14:val="tx1"/>
            </w14:solidFill>
          </w14:textFill>
        </w:rPr>
      </w:pPr>
    </w:p>
    <w:p w14:paraId="14E0D5F1">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在建工程</w:t>
      </w:r>
    </w:p>
    <w:p w14:paraId="107C369A">
      <w:pPr>
        <w:rPr>
          <w:color w:val="000000" w:themeColor="text1"/>
          <w14:textFill>
            <w14:solidFill>
              <w14:schemeClr w14:val="tx1"/>
            </w14:solidFill>
          </w14:textFill>
        </w:rPr>
      </w:pPr>
      <w:sdt>
        <w:sdtPr>
          <w:rPr>
            <w:rFonts w:hint="eastAsia"/>
            <w:color w:val="000000" w:themeColor="text1"/>
            <w14:textFill>
              <w14:solidFill>
                <w14:schemeClr w14:val="tx1"/>
              </w14:solidFill>
            </w14:textFill>
          </w:rPr>
          <w:alias w:val="是否适用：在建工程_重要会计政策和估计[双击切换]"/>
          <w:tag w:val="_GBC_d9803b41f65e4a7fbebb412a259d9bf9"/>
          <w:id w:val="-713272602"/>
          <w:placeholder>
            <w:docPart w:val="GBC22222222222222222222222222222"/>
          </w:placeholder>
        </w:sdtPr>
        <w:sdtEndPr>
          <w:rPr>
            <w:rFonts w:hint="eastAsia"/>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sdt>
      <w:sdtPr>
        <w:rPr>
          <w:rFonts w:hint="eastAsia"/>
        </w:rPr>
        <w:alias w:val="在建工程核算方法"/>
        <w:tag w:val="_GBC_ed79f983df814c58add61776fe84c76e"/>
        <w:id w:val="-1724282552"/>
        <w:placeholder>
          <w:docPart w:val="GBC22222222222222222222222222222"/>
        </w:placeholder>
      </w:sdtPr>
      <w:sdtEndPr>
        <w:rPr>
          <w:rFonts w:hint="eastAsia"/>
          <w:color w:val="000000" w:themeColor="text1"/>
          <w14:textFill>
            <w14:solidFill>
              <w14:schemeClr w14:val="tx1"/>
            </w14:solidFill>
          </w14:textFill>
        </w:rPr>
      </w:sdtEndPr>
      <w:sdtContent>
        <w:sdt>
          <w:sdtPr>
            <w:alias w:val="是否适用：在建工程_重要会计政策和估计[双击切换]"/>
            <w:tag w:val="_GBC_d9803b41f65e4a7fbebb412a259d9bf9"/>
            <w:id w:val="2134060971"/>
          </w:sdtPr>
          <w:sdtEndPr>
            <w:rPr>
              <w:color w:val="000000" w:themeColor="text1"/>
              <w14:textFill>
                <w14:solidFill>
                  <w14:schemeClr w14:val="tx1"/>
                </w14:solidFill>
              </w14:textFill>
            </w:rPr>
          </w:sdtEndPr>
          <w:sdtContent>
            <w:p w14:paraId="264F5AFE">
              <w:pPr>
                <w:spacing w:line="360" w:lineRule="auto"/>
                <w:ind w:firstLine="420" w:firstLineChars="200"/>
                <w:rPr>
                  <w:color w:val="000000" w:themeColor="text1"/>
                  <w14:textFill>
                    <w14:solidFill>
                      <w14:schemeClr w14:val="tx1"/>
                    </w14:solidFill>
                  </w14:textFill>
                </w:rPr>
              </w:pPr>
              <w:r>
                <w:rPr>
                  <w:rFonts w:hint="eastAsia"/>
                </w:rPr>
                <w:t>（1）</w:t>
              </w:r>
              <w:r>
                <w:rPr>
                  <w:rFonts w:hint="eastAsia"/>
                  <w:color w:val="000000" w:themeColor="text1"/>
                  <w14:textFill>
                    <w14:solidFill>
                      <w14:schemeClr w14:val="tx1"/>
                    </w14:solidFill>
                  </w14:textFill>
                </w:rPr>
                <w:t xml:space="preserve">在建工程的计量本公司在建工程成本按实际工程支出确定﹐包括在建期间发生的各项必要工程支出、工程达到预定可使用状态前的应予资本化的借款费用以及其他相关费用等。    </w:t>
              </w:r>
            </w:p>
            <w:p w14:paraId="391E52B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（2）在建工程结转固定资产的标准和时点    </w:t>
              </w:r>
            </w:p>
            <w:p w14:paraId="3B37008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本公司在建工程在工程完工达到预定可使用状态时，结转固定资产。    </w:t>
              </w:r>
            </w:p>
            <w:p w14:paraId="7AFA958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所建造工程已达到预定可使用状态，但尚未办理竣工决算的，自达到预定可使用状态之日起，根据工程预算、造价或者工程实际成本等，按估计的价值转入固定资产，并按本公司固定资产折旧政策计提固定资产的折旧。待办理竣工决算后，再按实际成本调整原来的暂估价值，但不调整原已计提的折旧额。    </w:t>
              </w:r>
            </w:p>
            <w:p w14:paraId="6BD2656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本公司各类别在建工程具体转固标准和时点：</w:t>
              </w:r>
            </w:p>
            <w:tbl>
              <w:tblPr>
                <w:tblStyle w:val="37"/>
                <w:tblW w:w="9474" w:type="dxa"/>
                <w:jc w:val="center"/>
                <w:tblBorders>
                  <w:top w:val="single" w:color="auto" w:sz="8" w:space="0"/>
                  <w:left w:val="none" w:color="auto" w:sz="0" w:space="0"/>
                  <w:bottom w:val="single" w:color="auto" w:sz="8"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2553"/>
                <w:gridCol w:w="6921"/>
              </w:tblGrid>
              <w:tr w14:paraId="481ECF41">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PrEx>
                <w:trPr>
                  <w:trHeight w:val="397" w:hRule="atLeast"/>
                  <w:jc w:val="center"/>
                </w:trPr>
                <w:tc>
                  <w:tcPr>
                    <w:tcW w:w="2553" w:type="dxa"/>
                    <w:tcBorders>
                      <w:top w:val="single" w:color="auto" w:sz="8" w:space="0"/>
                      <w:left w:val="nil"/>
                      <w:bottom w:val="single" w:color="auto" w:sz="4" w:space="0"/>
                      <w:right w:val="dotted" w:color="auto" w:sz="4" w:space="0"/>
                    </w:tcBorders>
                    <w:vAlign w:val="center"/>
                  </w:tcPr>
                  <w:p w14:paraId="01880732">
                    <w:pPr>
                      <w:rPr>
                        <w:color w:val="000000" w:themeColor="text1"/>
                        <w14:textFill>
                          <w14:solidFill>
                            <w14:schemeClr w14:val="tx1"/>
                          </w14:solidFill>
                        </w14:textFill>
                      </w:rPr>
                    </w:pPr>
                    <w:bookmarkStart w:id="147" w:name="_Hlk203483819"/>
                    <w:r>
                      <w:rPr>
                        <w:rFonts w:hint="eastAsia"/>
                        <w:color w:val="000000" w:themeColor="text1"/>
                        <w14:textFill>
                          <w14:solidFill>
                            <w14:schemeClr w14:val="tx1"/>
                          </w14:solidFill>
                        </w14:textFill>
                      </w:rPr>
                      <w:t>类别</w:t>
                    </w:r>
                    <w:bookmarkEnd w:id="147"/>
                  </w:p>
                </w:tc>
                <w:tc>
                  <w:tcPr>
                    <w:tcW w:w="6921" w:type="dxa"/>
                    <w:tcBorders>
                      <w:top w:val="single" w:color="auto" w:sz="8" w:space="0"/>
                      <w:left w:val="nil"/>
                      <w:bottom w:val="single" w:color="auto" w:sz="4" w:space="0"/>
                      <w:right w:val="nil"/>
                    </w:tcBorders>
                    <w:vAlign w:val="center"/>
                  </w:tcPr>
                  <w:p w14:paraId="5A88AB41">
                    <w:pPr>
                      <w:rPr>
                        <w:color w:val="000000" w:themeColor="text1"/>
                        <w14:textFill>
                          <w14:solidFill>
                            <w14:schemeClr w14:val="tx1"/>
                          </w14:solidFill>
                        </w14:textFill>
                      </w:rPr>
                    </w:pPr>
                    <w:r>
                      <w:rPr>
                        <w:rFonts w:hint="eastAsia"/>
                        <w:color w:val="000000" w:themeColor="text1"/>
                        <w14:textFill>
                          <w14:solidFill>
                            <w14:schemeClr w14:val="tx1"/>
                          </w14:solidFill>
                        </w14:textFill>
                      </w:rPr>
                      <w:t>转固标准和时点</w:t>
                    </w:r>
                  </w:p>
                </w:tc>
              </w:tr>
              <w:tr w14:paraId="3AAE6841">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2553" w:type="dxa"/>
                    <w:tcBorders>
                      <w:top w:val="single" w:color="auto" w:sz="4" w:space="0"/>
                      <w:left w:val="nil"/>
                      <w:bottom w:val="single" w:color="auto" w:sz="4" w:space="0"/>
                      <w:right w:val="single" w:color="auto" w:sz="4" w:space="0"/>
                    </w:tcBorders>
                    <w:vAlign w:val="center"/>
                  </w:tcPr>
                  <w:p w14:paraId="6101D278">
                    <w:pPr>
                      <w:rPr>
                        <w:color w:val="000000" w:themeColor="text1"/>
                        <w14:textFill>
                          <w14:solidFill>
                            <w14:schemeClr w14:val="tx1"/>
                          </w14:solidFill>
                        </w14:textFill>
                      </w:rPr>
                    </w:pPr>
                    <w:r>
                      <w:rPr>
                        <w:rFonts w:hint="eastAsia"/>
                        <w:color w:val="000000" w:themeColor="text1"/>
                        <w14:textFill>
                          <w14:solidFill>
                            <w14:schemeClr w14:val="tx1"/>
                          </w14:solidFill>
                        </w14:textFill>
                      </w:rPr>
                      <w:t>房屋及建筑物</w:t>
                    </w:r>
                  </w:p>
                </w:tc>
                <w:tc>
                  <w:tcPr>
                    <w:tcW w:w="6921" w:type="dxa"/>
                    <w:tcBorders>
                      <w:top w:val="single" w:color="auto" w:sz="4" w:space="0"/>
                      <w:left w:val="nil"/>
                      <w:bottom w:val="single" w:color="auto" w:sz="4" w:space="0"/>
                      <w:right w:val="nil"/>
                    </w:tcBorders>
                    <w:vAlign w:val="center"/>
                  </w:tcPr>
                  <w:p w14:paraId="1DF427FA">
                    <w:pPr>
                      <w:rPr>
                        <w:color w:val="000000" w:themeColor="text1"/>
                        <w14:textFill>
                          <w14:solidFill>
                            <w14:schemeClr w14:val="tx1"/>
                          </w14:solidFill>
                        </w14:textFill>
                      </w:rPr>
                    </w:pPr>
                    <w:r>
                      <w:rPr>
                        <w:rFonts w:hint="eastAsia"/>
                        <w:color w:val="000000" w:themeColor="text1"/>
                        <w14:textFill>
                          <w14:solidFill>
                            <w14:schemeClr w14:val="tx1"/>
                          </w14:solidFill>
                        </w14:textFill>
                      </w:rPr>
                      <w:t>（1）主体建设工程及配套工程已实质上完工；（2）建造工程达到预定设计要求，经勘察、设计、施工、监理等单位完成验收；（3）经消防、国土、规划等外部部门验收；（4）建设工程达到预定可使用状态但尚未办理竣工决算的，自达到预定可使用状态之日起，根据工程实际造价按预估价值转入固定资产。</w:t>
                    </w:r>
                  </w:p>
                </w:tc>
              </w:tr>
              <w:tr w14:paraId="4E478962">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2553" w:type="dxa"/>
                    <w:tcBorders>
                      <w:top w:val="single" w:color="auto" w:sz="4" w:space="0"/>
                      <w:left w:val="nil"/>
                      <w:bottom w:val="single" w:color="auto" w:sz="8" w:space="0"/>
                      <w:right w:val="dotted" w:color="auto" w:sz="4" w:space="0"/>
                    </w:tcBorders>
                    <w:vAlign w:val="center"/>
                  </w:tcPr>
                  <w:p w14:paraId="4FE25590">
                    <w:pPr>
                      <w:rPr>
                        <w:color w:val="000000" w:themeColor="text1"/>
                        <w14:textFill>
                          <w14:solidFill>
                            <w14:schemeClr w14:val="tx1"/>
                          </w14:solidFill>
                        </w14:textFill>
                      </w:rPr>
                    </w:pPr>
                    <w:r>
                      <w:rPr>
                        <w:rFonts w:hint="eastAsia"/>
                        <w:color w:val="000000" w:themeColor="text1"/>
                        <w14:textFill>
                          <w14:solidFill>
                            <w14:schemeClr w14:val="tx1"/>
                          </w14:solidFill>
                        </w14:textFill>
                      </w:rPr>
                      <w:t>需安装调试的机器设备</w:t>
                    </w:r>
                  </w:p>
                </w:tc>
                <w:tc>
                  <w:tcPr>
                    <w:tcW w:w="6921" w:type="dxa"/>
                    <w:tcBorders>
                      <w:top w:val="single" w:color="auto" w:sz="4" w:space="0"/>
                      <w:left w:val="nil"/>
                      <w:bottom w:val="single" w:color="auto" w:sz="8" w:space="0"/>
                      <w:right w:val="nil"/>
                    </w:tcBorders>
                    <w:vAlign w:val="center"/>
                  </w:tcPr>
                  <w:p w14:paraId="38F947E2">
                    <w:pPr>
                      <w:rPr>
                        <w:color w:val="000000" w:themeColor="text1"/>
                        <w14:textFill>
                          <w14:solidFill>
                            <w14:schemeClr w14:val="tx1"/>
                          </w14:solidFill>
                        </w14:textFill>
                      </w:rPr>
                    </w:pPr>
                    <w:r>
                      <w:rPr>
                        <w:rFonts w:hint="eastAsia"/>
                        <w:color w:val="000000" w:themeColor="text1"/>
                        <w14:textFill>
                          <w14:solidFill>
                            <w14:schemeClr w14:val="tx1"/>
                          </w14:solidFill>
                        </w14:textFill>
                      </w:rPr>
                      <w:t>（1）相关设备及其他配套设施已安装完毕；（2）设备经过调试可在一段时间内保持正常稳定运行；（3）生产设备能够在一段时间内稳定的产出合格产品；（4）设备经过资产管理人员和使用人员验收。</w:t>
                    </w:r>
                  </w:p>
                </w:tc>
              </w:tr>
            </w:tbl>
          </w:sdtContent>
        </w:sdt>
        <w:p w14:paraId="08476054">
          <w:pPr>
            <w:rPr>
              <w:color w:val="000000" w:themeColor="text1"/>
              <w14:textFill>
                <w14:solidFill>
                  <w14:schemeClr w14:val="tx1"/>
                </w14:solidFill>
              </w14:textFill>
            </w:rPr>
          </w:pPr>
        </w:p>
      </w:sdtContent>
    </w:sdt>
    <w:p w14:paraId="35473AB4">
      <w:pPr>
        <w:rPr>
          <w:color w:val="000000" w:themeColor="text1"/>
          <w14:textFill>
            <w14:solidFill>
              <w14:schemeClr w14:val="tx1"/>
            </w14:solidFill>
          </w14:textFill>
        </w:rPr>
      </w:pPr>
    </w:p>
    <w:p w14:paraId="08A3CA1C">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借款费用</w:t>
      </w:r>
    </w:p>
    <w:sdt>
      <w:sdtPr>
        <w:rPr>
          <w:rFonts w:hint="eastAsia"/>
          <w:color w:val="000000" w:themeColor="text1"/>
          <w14:textFill>
            <w14:solidFill>
              <w14:schemeClr w14:val="tx1"/>
            </w14:solidFill>
          </w14:textFill>
        </w:rPr>
        <w:alias w:val="是否适用：借款费用_重要会计政策和估计[双击切换]"/>
        <w:tag w:val="_GBC_3f3db73e5cb247009b3840143b5e6627"/>
        <w:id w:val="-224833373"/>
        <w:placeholder>
          <w:docPart w:val="GBC22222222222222222222222222222"/>
        </w:placeholder>
      </w:sdtPr>
      <w:sdtEndPr>
        <w:rPr>
          <w:rFonts w:hint="eastAsia"/>
          <w:color w:val="000000" w:themeColor="text1"/>
          <w14:textFill>
            <w14:solidFill>
              <w14:schemeClr w14:val="tx1"/>
            </w14:solidFill>
          </w14:textFill>
        </w:rPr>
      </w:sdtEndPr>
      <w:sdtContent>
        <w:p w14:paraId="0E8D48E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rFonts w:hint="eastAsia"/>
        </w:rPr>
        <w:alias w:val="借款费用的会计处理方法"/>
        <w:tag w:val="_GBC_2101c32d32c64f39a8b8fcd2b72dbb0a"/>
        <w:id w:val="-748725311"/>
        <w:placeholder>
          <w:docPart w:val="GBC22222222222222222222222222222"/>
        </w:placeholder>
      </w:sdtPr>
      <w:sdtEndPr>
        <w:rPr>
          <w:rFonts w:hint="eastAsia"/>
          <w:color w:val="000000" w:themeColor="text1"/>
          <w14:textFill>
            <w14:solidFill>
              <w14:schemeClr w14:val="tx1"/>
            </w14:solidFill>
          </w14:textFill>
        </w:rPr>
      </w:sdtEndPr>
      <w:sdtContent>
        <w:sdt>
          <w:sdtPr>
            <w:alias w:val="借款费用的会计处理方法"/>
            <w:tag w:val="_GBC_2101c32d32c64f39a8b8fcd2b72dbb0a"/>
            <w:id w:val="156428032"/>
          </w:sdtPr>
          <w:sdtEndPr>
            <w:rPr>
              <w:color w:val="000000" w:themeColor="text1"/>
              <w14:textFill>
                <w14:solidFill>
                  <w14:schemeClr w14:val="tx1"/>
                </w14:solidFill>
              </w14:textFill>
            </w:rPr>
          </w:sdtEndPr>
          <w:sdtContent>
            <w:p w14:paraId="04271C5A">
              <w:pPr>
                <w:spacing w:line="360" w:lineRule="auto"/>
                <w:ind w:firstLine="420" w:firstLineChars="200"/>
                <w:rPr>
                  <w:color w:val="000000" w:themeColor="text1"/>
                  <w14:textFill>
                    <w14:solidFill>
                      <w14:schemeClr w14:val="tx1"/>
                    </w14:solidFill>
                  </w14:textFill>
                </w:rPr>
              </w:pPr>
              <w:r>
                <w:rPr>
                  <w:rFonts w:hint="eastAsia"/>
                </w:rPr>
                <w:t>（1）</w:t>
              </w:r>
              <w:r>
                <w:rPr>
                  <w:rFonts w:hint="eastAsia"/>
                  <w:color w:val="000000" w:themeColor="text1"/>
                  <w14:textFill>
                    <w14:solidFill>
                      <w14:schemeClr w14:val="tx1"/>
                    </w14:solidFill>
                  </w14:textFill>
                </w:rPr>
                <w:t>借款费用资本化的确认原则和资本化期间</w:t>
              </w:r>
            </w:p>
            <w:p w14:paraId="2316F83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本公司借款费用，包括借款利息、折价或者溢价的摊销、辅助费用以及因外币借款而</w:t>
              </w:r>
            </w:p>
            <w:p w14:paraId="068FE8AF">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发生的汇兑差额等。本公司发生的借款费用，可直接归属于符合资本化条件的资产的购建或者生产的，予以资本化，计入相关资产成本；其他借款费用，在发生时根据其发生额确认为费用，计入当期损益。符合资本化条件的资产，是指需要经过相当长时间的购建或者生产活动才能达到预定可使用或者可销售状态的固定资产、投资性房地产和存货等资产。    </w:t>
              </w:r>
            </w:p>
            <w:p w14:paraId="3F27088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资本化期间：指从借款费用开始资本化时点到停止资本化时点的期间。借款费用暂停资本化的期间不包括在内。    </w:t>
              </w:r>
            </w:p>
            <w:p w14:paraId="66274A1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借款费用同时满足下列条件时开始资本化：（1）资产支出已经发生，资产支出包括为购建或者生产符合资本化条件的资产而以支付现金、转移非现金资产或者承担带息债务形式发生的支出；（2）借款费用已经发生；（3）为使资产达到预定可使用或者可销售状态所必要的购建或者生产活动已经开始。    </w:t>
              </w:r>
            </w:p>
            <w:p w14:paraId="2BF2E62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当购建或者生产符合资本化条件的资产达到预定可使用或者可销售状态时，本公司借款费用停止资本化。    </w:t>
              </w:r>
            </w:p>
            <w:p w14:paraId="49B12C5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暂停资本化期间：在购建或生产过程中发生非正常中断、且中断时间连续超过3个月的，本公司暂停借款费用的资本化。    </w:t>
              </w:r>
            </w:p>
            <w:p w14:paraId="31E4120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（2）借款费用资本化率以及资本化金额的计算方法    </w:t>
              </w:r>
            </w:p>
            <w:p w14:paraId="5D335AC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资本化金额计算：①借入专门借款，按照专门借款当期实际发生的利息费用，减去将尚未动用的借款资金存入银行取得的利息收入或进行暂时性投资取得的投资收益后的金额确定；②占用一般借款按照累计资产支出超过专门借款部分的资产支出加权平均数乘以所占用一般借款的资本化率计算确定，资本化率为一般借款的加权平均利率；③借款存在折价或溢价的，按照实际利率法确定每一会计期间应摊销的折价或溢价金额，调整每期利息金额。</w:t>
              </w:r>
            </w:p>
          </w:sdtContent>
        </w:sdt>
      </w:sdtContent>
    </w:sdt>
    <w:p w14:paraId="162E645B">
      <w:pPr>
        <w:rPr>
          <w:color w:val="000000" w:themeColor="text1"/>
          <w14:textFill>
            <w14:solidFill>
              <w14:schemeClr w14:val="tx1"/>
            </w14:solidFill>
          </w14:textFill>
        </w:rPr>
      </w:pPr>
    </w:p>
    <w:p w14:paraId="0CCCA54B">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生物资产</w:t>
      </w:r>
    </w:p>
    <w:sdt>
      <w:sdtPr>
        <w:rPr>
          <w:rFonts w:hint="eastAsia"/>
          <w:color w:val="000000" w:themeColor="text1"/>
          <w14:textFill>
            <w14:solidFill>
              <w14:schemeClr w14:val="tx1"/>
            </w14:solidFill>
          </w14:textFill>
        </w:rPr>
        <w:alias w:val="是否适用：生物资产_重要会计政策和估计[双击切换]"/>
        <w:tag w:val="_GBC_3c525bb9dd0340978b83e74317a40315"/>
        <w:id w:val="1618795742"/>
        <w:placeholder>
          <w:docPart w:val="GBC22222222222222222222222222222"/>
        </w:placeholder>
      </w:sdtPr>
      <w:sdtEndPr>
        <w:rPr>
          <w:rFonts w:hint="eastAsia"/>
          <w:color w:val="000000" w:themeColor="text1"/>
          <w14:textFill>
            <w14:solidFill>
              <w14:schemeClr w14:val="tx1"/>
            </w14:solidFill>
          </w14:textFill>
        </w:rPr>
      </w:sdtEndPr>
      <w:sdtContent>
        <w:p w14:paraId="3E63A31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F74AA16">
      <w:pPr>
        <w:rPr>
          <w:color w:val="000000" w:themeColor="text1"/>
          <w14:textFill>
            <w14:solidFill>
              <w14:schemeClr w14:val="tx1"/>
            </w14:solidFill>
          </w14:textFill>
        </w:rPr>
      </w:pPr>
    </w:p>
    <w:p w14:paraId="09ADC3B8">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油气资产</w:t>
      </w:r>
    </w:p>
    <w:sdt>
      <w:sdtPr>
        <w:rPr>
          <w:rFonts w:hint="eastAsia"/>
          <w:color w:val="000000" w:themeColor="text1"/>
          <w14:textFill>
            <w14:solidFill>
              <w14:schemeClr w14:val="tx1"/>
            </w14:solidFill>
          </w14:textFill>
        </w:rPr>
        <w:alias w:val="是否适用：油气资产_重要会计政策和估计[双击切换]"/>
        <w:tag w:val="_GBC_60d99a70431c4b868b6e953077cbfe88"/>
        <w:id w:val="-1748952633"/>
        <w:placeholder>
          <w:docPart w:val="GBC22222222222222222222222222222"/>
        </w:placeholder>
      </w:sdtPr>
      <w:sdtEndPr>
        <w:rPr>
          <w:rFonts w:hint="eastAsia"/>
          <w:color w:val="000000" w:themeColor="text1"/>
          <w14:textFill>
            <w14:solidFill>
              <w14:schemeClr w14:val="tx1"/>
            </w14:solidFill>
          </w14:textFill>
        </w:rPr>
      </w:sdtEndPr>
      <w:sdtContent>
        <w:p w14:paraId="53DF74D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E912907">
      <w:pPr>
        <w:rPr>
          <w:rFonts w:cs="Times New Roman"/>
          <w:color w:val="000000" w:themeColor="text1"/>
          <w:kern w:val="2"/>
          <w14:textFill>
            <w14:solidFill>
              <w14:schemeClr w14:val="tx1"/>
            </w14:solidFill>
          </w14:textFill>
        </w:rPr>
      </w:pPr>
    </w:p>
    <w:p w14:paraId="61DFC6BC">
      <w:pPr>
        <w:pStyle w:val="4"/>
        <w:numPr>
          <w:ilvl w:val="0"/>
          <w:numId w:val="33"/>
        </w:numPr>
        <w:rPr>
          <w:rFonts w:hint="eastAsia" w:ascii="宋体" w:hAnsi="宋体"/>
          <w:color w:val="000000" w:themeColor="text1"/>
          <w14:textFill>
            <w14:solidFill>
              <w14:schemeClr w14:val="tx1"/>
            </w14:solidFill>
          </w14:textFill>
        </w:rPr>
      </w:pPr>
      <w:bookmarkStart w:id="148" w:name="_Hlk169007443"/>
      <w:r>
        <w:rPr>
          <w:rFonts w:ascii="宋体" w:hAnsi="宋体"/>
          <w:color w:val="000000" w:themeColor="text1"/>
          <w14:textFill>
            <w14:solidFill>
              <w14:schemeClr w14:val="tx1"/>
            </w14:solidFill>
          </w14:textFill>
        </w:rPr>
        <w:t>无形资产</w:t>
      </w:r>
    </w:p>
    <w:p w14:paraId="60D8084A">
      <w:pPr>
        <w:pStyle w:val="5"/>
        <w:numPr>
          <w:ilvl w:val="3"/>
          <w:numId w:val="45"/>
        </w:numPr>
        <w:tabs>
          <w:tab w:val="left" w:pos="448"/>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使用寿命及其确定依据、估计情况、摊销方法</w:t>
      </w:r>
      <w:r>
        <w:rPr>
          <w:rStyle w:val="42"/>
          <w:rFonts w:hint="eastAsia"/>
          <w:color w:val="000000" w:themeColor="text1"/>
          <w14:textFill>
            <w14:solidFill>
              <w14:schemeClr w14:val="tx1"/>
            </w14:solidFill>
          </w14:textFill>
        </w:rPr>
        <w:t>或复核程序</w:t>
      </w:r>
    </w:p>
    <w:sdt>
      <w:sdtPr>
        <w:rPr>
          <w:rFonts w:hint="eastAsia"/>
          <w:color w:val="000000" w:themeColor="text1"/>
          <w14:textFill>
            <w14:solidFill>
              <w14:schemeClr w14:val="tx1"/>
            </w14:solidFill>
          </w14:textFill>
        </w:rPr>
        <w:alias w:val="是否适用：无形资产计价方法、使用寿命、减值测试[双击切换]"/>
        <w:tag w:val="_GBC_a82698fb1ffd4e75b46a9c35938b4cf4"/>
        <w:id w:val="-1978369282"/>
        <w:placeholder>
          <w:docPart w:val="GBC22222222222222222222222222222"/>
        </w:placeholder>
      </w:sdtPr>
      <w:sdtEndPr>
        <w:rPr>
          <w:rFonts w:hint="eastAsia"/>
          <w:color w:val="000000" w:themeColor="text1"/>
          <w14:textFill>
            <w14:solidFill>
              <w14:schemeClr w14:val="tx1"/>
            </w14:solidFill>
          </w14:textFill>
        </w:rPr>
      </w:sdtEndPr>
      <w:sdtContent>
        <w:p w14:paraId="5AC2F19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无形资产计价方法、使用寿命、减值测试"/>
        <w:tag w:val="_GBC_a9e64b18f452482eb6674ec605618dcc"/>
        <w:id w:val="-1007282172"/>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无形资产计价方法、使用寿命、减值测试"/>
            <w:tag w:val="_GBC_a9e64b18f452482eb6674ec605618dcc"/>
            <w:id w:val="465395556"/>
          </w:sdtPr>
          <w:sdtEndPr>
            <w:rPr>
              <w:color w:val="000000" w:themeColor="text1"/>
              <w14:textFill>
                <w14:solidFill>
                  <w14:schemeClr w14:val="tx1"/>
                </w14:solidFill>
              </w14:textFill>
            </w:rPr>
          </w:sdtEndPr>
          <w:sdtContent>
            <w:p w14:paraId="544D875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无形资产是指本公司拥有或者控制的没有实物形态的可辨认非货币性资产，在同时满足以下条件时予以确认：    </w:t>
              </w:r>
            </w:p>
            <w:p w14:paraId="1B1940E9">
              <w:pPr>
                <w:spacing w:line="360" w:lineRule="auto"/>
                <w:ind w:firstLine="420" w:firstLineChars="20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①</w:t>
              </w:r>
              <w:r>
                <w:rPr>
                  <w:rFonts w:hint="eastAsia"/>
                  <w:color w:val="000000" w:themeColor="text1"/>
                  <w14:textFill>
                    <w14:solidFill>
                      <w14:schemeClr w14:val="tx1"/>
                    </w14:solidFill>
                  </w14:textFill>
                </w:rPr>
                <w:t xml:space="preserve">与该无形资产有关的经济利益很可能流入本公司；    </w:t>
              </w:r>
            </w:p>
            <w:p w14:paraId="29D8CC23">
              <w:pPr>
                <w:pStyle w:val="55"/>
                <w:numPr>
                  <w:ilvl w:val="0"/>
                  <w:numId w:val="41"/>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该无形资产的成本能够可靠地计量。    </w:t>
              </w:r>
            </w:p>
            <w:p w14:paraId="26FDDA6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（1）使用寿命及其确定依据、估计情况、摊销方法或复核程序    </w:t>
              </w:r>
            </w:p>
            <w:p w14:paraId="00C7AA9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无形资产按照成本进行初始计量。购入的无形资产，按实际支付的价款和相关支出作为实际成本；投资者投入的无形资产，按投资合同或协议约定的价值确定实际成本，但合同或协议约定价值不公允的，按公允价值确定实际成本；自行开发的无形资产，其成本为达到预定用途前所发生的支出总额；对非同一控制下合并中取得被购买方拥有的但在其财务报表中未确认的无形资产，在对被购买方资产进行初始确认时，按公允价值确认为无形资产。    </w:t>
              </w:r>
            </w:p>
            <w:p w14:paraId="158194F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无形资产后续计量，分别为：①使用寿命有限无形资产采用直线法摊销，并在年度终了，对无形资产的使用寿命和摊销方法进行复核，如与原先估计数存在差异的，进行相应的调整。②使用寿命不确定的无形资产不摊销，但在年度终了，对使用寿命进行复核，当有确凿证据表明其使用寿命是有限的，则估计其使用寿命，按直线法进行摊销。    </w:t>
              </w:r>
            </w:p>
            <w:p w14:paraId="4063638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使用寿命有限的无形资产摊销方法如下：</w:t>
              </w:r>
              <w:r>
                <w:rPr>
                  <w:color w:val="000000" w:themeColor="text1"/>
                  <w14:textFill>
                    <w14:solidFill>
                      <w14:schemeClr w14:val="tx1"/>
                    </w14:solidFill>
                  </w14:textFill>
                </w:rPr>
                <w:t xml:space="preserve"> </w:t>
              </w:r>
            </w:p>
            <w:tbl>
              <w:tblPr>
                <w:tblStyle w:val="37"/>
                <w:tblW w:w="7971" w:type="dxa"/>
                <w:jc w:val="center"/>
                <w:tblBorders>
                  <w:top w:val="single" w:color="auto" w:sz="8" w:space="0"/>
                  <w:left w:val="none" w:color="auto" w:sz="0" w:space="0"/>
                  <w:bottom w:val="single" w:color="auto" w:sz="8"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1992"/>
                <w:gridCol w:w="1923"/>
                <w:gridCol w:w="2157"/>
                <w:gridCol w:w="1899"/>
              </w:tblGrid>
              <w:tr w14:paraId="2C36AE30">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1992" w:type="dxa"/>
                    <w:tcBorders>
                      <w:top w:val="single" w:color="auto" w:sz="8" w:space="0"/>
                      <w:left w:val="nil"/>
                      <w:bottom w:val="single" w:color="auto" w:sz="4" w:space="0"/>
                      <w:right w:val="single" w:color="auto" w:sz="4" w:space="0"/>
                    </w:tcBorders>
                    <w:vAlign w:val="center"/>
                  </w:tcPr>
                  <w:p w14:paraId="3FEEDF08">
                    <w:pPr>
                      <w:rPr>
                        <w:color w:val="000000" w:themeColor="text1"/>
                        <w14:textFill>
                          <w14:solidFill>
                            <w14:schemeClr w14:val="tx1"/>
                          </w14:solidFill>
                        </w14:textFill>
                      </w:rPr>
                    </w:pPr>
                    <w:r>
                      <w:rPr>
                        <w:rFonts w:hint="eastAsia"/>
                        <w:color w:val="000000" w:themeColor="text1"/>
                        <w14:textFill>
                          <w14:solidFill>
                            <w14:schemeClr w14:val="tx1"/>
                          </w14:solidFill>
                        </w14:textFill>
                      </w:rPr>
                      <w:t>类别</w:t>
                    </w:r>
                  </w:p>
                </w:tc>
                <w:tc>
                  <w:tcPr>
                    <w:tcW w:w="1923" w:type="dxa"/>
                    <w:tcBorders>
                      <w:top w:val="single" w:color="auto" w:sz="8" w:space="0"/>
                      <w:left w:val="nil"/>
                      <w:bottom w:val="single" w:color="auto" w:sz="4" w:space="0"/>
                      <w:right w:val="single" w:color="auto" w:sz="4" w:space="0"/>
                    </w:tcBorders>
                    <w:vAlign w:val="center"/>
                  </w:tcPr>
                  <w:p w14:paraId="49EF0255">
                    <w:pPr>
                      <w:rPr>
                        <w:color w:val="000000" w:themeColor="text1"/>
                        <w14:textFill>
                          <w14:solidFill>
                            <w14:schemeClr w14:val="tx1"/>
                          </w14:solidFill>
                        </w14:textFill>
                      </w:rPr>
                    </w:pPr>
                    <w:r>
                      <w:rPr>
                        <w:rFonts w:hint="eastAsia"/>
                        <w:color w:val="000000" w:themeColor="text1"/>
                        <w14:textFill>
                          <w14:solidFill>
                            <w14:schemeClr w14:val="tx1"/>
                          </w14:solidFill>
                        </w14:textFill>
                      </w:rPr>
                      <w:t>使用寿命</w:t>
                    </w:r>
                  </w:p>
                </w:tc>
                <w:tc>
                  <w:tcPr>
                    <w:tcW w:w="2157" w:type="dxa"/>
                    <w:tcBorders>
                      <w:top w:val="single" w:color="auto" w:sz="8" w:space="0"/>
                      <w:left w:val="nil"/>
                      <w:bottom w:val="single" w:color="auto" w:sz="4" w:space="0"/>
                      <w:right w:val="single" w:color="auto" w:sz="4" w:space="0"/>
                    </w:tcBorders>
                    <w:vAlign w:val="center"/>
                  </w:tcPr>
                  <w:p w14:paraId="71395B35">
                    <w:pPr>
                      <w:rPr>
                        <w:color w:val="000000" w:themeColor="text1"/>
                        <w14:textFill>
                          <w14:solidFill>
                            <w14:schemeClr w14:val="tx1"/>
                          </w14:solidFill>
                        </w14:textFill>
                      </w:rPr>
                    </w:pPr>
                    <w:r>
                      <w:rPr>
                        <w:rFonts w:hint="eastAsia"/>
                        <w:color w:val="000000" w:themeColor="text1"/>
                        <w14:textFill>
                          <w14:solidFill>
                            <w14:schemeClr w14:val="tx1"/>
                          </w14:solidFill>
                        </w14:textFill>
                      </w:rPr>
                      <w:t>使用寿命的确认依据</w:t>
                    </w:r>
                  </w:p>
                </w:tc>
                <w:tc>
                  <w:tcPr>
                    <w:tcW w:w="1899" w:type="dxa"/>
                    <w:tcBorders>
                      <w:top w:val="single" w:color="auto" w:sz="8" w:space="0"/>
                      <w:left w:val="nil"/>
                      <w:bottom w:val="single" w:color="auto" w:sz="4" w:space="0"/>
                      <w:right w:val="nil"/>
                    </w:tcBorders>
                    <w:vAlign w:val="center"/>
                  </w:tcPr>
                  <w:p w14:paraId="406CE269">
                    <w:pPr>
                      <w:rPr>
                        <w:color w:val="000000" w:themeColor="text1"/>
                        <w14:textFill>
                          <w14:solidFill>
                            <w14:schemeClr w14:val="tx1"/>
                          </w14:solidFill>
                        </w14:textFill>
                      </w:rPr>
                    </w:pPr>
                    <w:r>
                      <w:rPr>
                        <w:rFonts w:hint="eastAsia"/>
                        <w:color w:val="000000" w:themeColor="text1"/>
                        <w14:textFill>
                          <w14:solidFill>
                            <w14:schemeClr w14:val="tx1"/>
                          </w14:solidFill>
                        </w14:textFill>
                      </w:rPr>
                      <w:t>摊销方法</w:t>
                    </w:r>
                  </w:p>
                </w:tc>
              </w:tr>
              <w:tr w14:paraId="44EBAB9F">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1992" w:type="dxa"/>
                    <w:tcBorders>
                      <w:top w:val="single" w:color="auto" w:sz="4" w:space="0"/>
                      <w:left w:val="nil"/>
                      <w:bottom w:val="single" w:color="auto" w:sz="4" w:space="0"/>
                      <w:right w:val="single" w:color="auto" w:sz="4" w:space="0"/>
                    </w:tcBorders>
                    <w:vAlign w:val="center"/>
                  </w:tcPr>
                  <w:p w14:paraId="48C52B53">
                    <w:pPr>
                      <w:rPr>
                        <w:color w:val="000000" w:themeColor="text1"/>
                        <w14:textFill>
                          <w14:solidFill>
                            <w14:schemeClr w14:val="tx1"/>
                          </w14:solidFill>
                        </w14:textFill>
                      </w:rPr>
                    </w:pPr>
                    <w:r>
                      <w:rPr>
                        <w:rFonts w:hint="eastAsia"/>
                        <w:color w:val="000000" w:themeColor="text1"/>
                        <w14:textFill>
                          <w14:solidFill>
                            <w14:schemeClr w14:val="tx1"/>
                          </w14:solidFill>
                        </w14:textFill>
                      </w:rPr>
                      <w:t>土地使用权</w:t>
                    </w:r>
                  </w:p>
                </w:tc>
                <w:tc>
                  <w:tcPr>
                    <w:tcW w:w="1923" w:type="dxa"/>
                    <w:tcBorders>
                      <w:top w:val="single" w:color="auto" w:sz="4" w:space="0"/>
                      <w:left w:val="nil"/>
                      <w:bottom w:val="single" w:color="auto" w:sz="4" w:space="0"/>
                      <w:right w:val="single" w:color="auto" w:sz="4" w:space="0"/>
                    </w:tcBorders>
                    <w:vAlign w:val="center"/>
                  </w:tcPr>
                  <w:p w14:paraId="4F1BD85B">
                    <w:pPr>
                      <w:rPr>
                        <w:color w:val="000000" w:themeColor="text1"/>
                        <w14:textFill>
                          <w14:solidFill>
                            <w14:schemeClr w14:val="tx1"/>
                          </w14:solidFill>
                        </w14:textFill>
                      </w:rPr>
                    </w:pPr>
                    <w:r>
                      <w:rPr>
                        <w:rFonts w:hint="eastAsia"/>
                        <w:color w:val="000000" w:themeColor="text1"/>
                        <w14:textFill>
                          <w14:solidFill>
                            <w14:schemeClr w14:val="tx1"/>
                          </w14:solidFill>
                        </w14:textFill>
                      </w:rPr>
                      <w:t>20-50</w:t>
                    </w:r>
                  </w:p>
                </w:tc>
                <w:tc>
                  <w:tcPr>
                    <w:tcW w:w="2157" w:type="dxa"/>
                    <w:tcBorders>
                      <w:top w:val="single" w:color="auto" w:sz="4" w:space="0"/>
                      <w:left w:val="nil"/>
                      <w:bottom w:val="single" w:color="auto" w:sz="4" w:space="0"/>
                      <w:right w:val="single" w:color="auto" w:sz="4" w:space="0"/>
                    </w:tcBorders>
                    <w:vAlign w:val="center"/>
                  </w:tcPr>
                  <w:p w14:paraId="7A4806A7">
                    <w:pPr>
                      <w:rPr>
                        <w:color w:val="000000" w:themeColor="text1"/>
                        <w14:textFill>
                          <w14:solidFill>
                            <w14:schemeClr w14:val="tx1"/>
                          </w14:solidFill>
                        </w14:textFill>
                      </w:rPr>
                    </w:pPr>
                    <w:r>
                      <w:rPr>
                        <w:rFonts w:hint="eastAsia"/>
                        <w:color w:val="000000" w:themeColor="text1"/>
                        <w14:textFill>
                          <w14:solidFill>
                            <w14:schemeClr w14:val="tx1"/>
                          </w14:solidFill>
                        </w14:textFill>
                      </w:rPr>
                      <w:t>预期经济利益年限</w:t>
                    </w:r>
                  </w:p>
                </w:tc>
                <w:tc>
                  <w:tcPr>
                    <w:tcW w:w="1899" w:type="dxa"/>
                    <w:tcBorders>
                      <w:top w:val="single" w:color="auto" w:sz="4" w:space="0"/>
                      <w:left w:val="nil"/>
                      <w:bottom w:val="single" w:color="auto" w:sz="4" w:space="0"/>
                      <w:right w:val="nil"/>
                    </w:tcBorders>
                    <w:vAlign w:val="center"/>
                  </w:tcPr>
                  <w:p w14:paraId="38342E94">
                    <w:pPr>
                      <w:rPr>
                        <w:color w:val="000000" w:themeColor="text1"/>
                        <w14:textFill>
                          <w14:solidFill>
                            <w14:schemeClr w14:val="tx1"/>
                          </w14:solidFill>
                        </w14:textFill>
                      </w:rPr>
                    </w:pPr>
                    <w:r>
                      <w:rPr>
                        <w:rFonts w:hint="eastAsia"/>
                        <w:color w:val="000000" w:themeColor="text1"/>
                        <w14:textFill>
                          <w14:solidFill>
                            <w14:schemeClr w14:val="tx1"/>
                          </w14:solidFill>
                        </w14:textFill>
                      </w:rPr>
                      <w:t>直线法</w:t>
                    </w:r>
                  </w:p>
                </w:tc>
              </w:tr>
              <w:tr w14:paraId="255397F5">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1992" w:type="dxa"/>
                    <w:tcBorders>
                      <w:top w:val="single" w:color="auto" w:sz="4" w:space="0"/>
                      <w:left w:val="nil"/>
                      <w:bottom w:val="single" w:color="auto" w:sz="4" w:space="0"/>
                      <w:right w:val="single" w:color="auto" w:sz="4" w:space="0"/>
                    </w:tcBorders>
                    <w:vAlign w:val="center"/>
                  </w:tcPr>
                  <w:p w14:paraId="2023D405">
                    <w:pPr>
                      <w:rPr>
                        <w:color w:val="000000" w:themeColor="text1"/>
                        <w14:textFill>
                          <w14:solidFill>
                            <w14:schemeClr w14:val="tx1"/>
                          </w14:solidFill>
                        </w14:textFill>
                      </w:rPr>
                    </w:pPr>
                    <w:r>
                      <w:rPr>
                        <w:rFonts w:hint="eastAsia"/>
                        <w:color w:val="000000" w:themeColor="text1"/>
                        <w14:textFill>
                          <w14:solidFill>
                            <w14:schemeClr w14:val="tx1"/>
                          </w14:solidFill>
                        </w14:textFill>
                      </w:rPr>
                      <w:t>海域使用权</w:t>
                    </w:r>
                  </w:p>
                </w:tc>
                <w:tc>
                  <w:tcPr>
                    <w:tcW w:w="1923" w:type="dxa"/>
                    <w:tcBorders>
                      <w:top w:val="single" w:color="auto" w:sz="4" w:space="0"/>
                      <w:left w:val="nil"/>
                      <w:bottom w:val="single" w:color="auto" w:sz="4" w:space="0"/>
                      <w:right w:val="single" w:color="auto" w:sz="4" w:space="0"/>
                    </w:tcBorders>
                    <w:vAlign w:val="center"/>
                  </w:tcPr>
                  <w:p w14:paraId="198994D1">
                    <w:pPr>
                      <w:rPr>
                        <w:color w:val="000000" w:themeColor="text1"/>
                        <w14:textFill>
                          <w14:solidFill>
                            <w14:schemeClr w14:val="tx1"/>
                          </w14:solidFill>
                        </w14:textFill>
                      </w:rPr>
                    </w:pPr>
                    <w:r>
                      <w:rPr>
                        <w:rFonts w:hint="eastAsia"/>
                        <w:color w:val="000000" w:themeColor="text1"/>
                        <w14:textFill>
                          <w14:solidFill>
                            <w14:schemeClr w14:val="tx1"/>
                          </w14:solidFill>
                        </w14:textFill>
                      </w:rPr>
                      <w:t>10-20</w:t>
                    </w:r>
                  </w:p>
                </w:tc>
                <w:tc>
                  <w:tcPr>
                    <w:tcW w:w="2157" w:type="dxa"/>
                    <w:tcBorders>
                      <w:top w:val="single" w:color="auto" w:sz="4" w:space="0"/>
                      <w:left w:val="nil"/>
                      <w:bottom w:val="single" w:color="auto" w:sz="4" w:space="0"/>
                      <w:right w:val="single" w:color="auto" w:sz="4" w:space="0"/>
                    </w:tcBorders>
                    <w:vAlign w:val="center"/>
                  </w:tcPr>
                  <w:p w14:paraId="4E1ED6F7">
                    <w:pPr>
                      <w:rPr>
                        <w:color w:val="000000" w:themeColor="text1"/>
                        <w14:textFill>
                          <w14:solidFill>
                            <w14:schemeClr w14:val="tx1"/>
                          </w14:solidFill>
                        </w14:textFill>
                      </w:rPr>
                    </w:pPr>
                    <w:r>
                      <w:rPr>
                        <w:rFonts w:hint="eastAsia"/>
                        <w:color w:val="000000" w:themeColor="text1"/>
                        <w14:textFill>
                          <w14:solidFill>
                            <w14:schemeClr w14:val="tx1"/>
                          </w14:solidFill>
                        </w14:textFill>
                      </w:rPr>
                      <w:t>预期经济利益年限</w:t>
                    </w:r>
                  </w:p>
                </w:tc>
                <w:tc>
                  <w:tcPr>
                    <w:tcW w:w="1899" w:type="dxa"/>
                    <w:tcBorders>
                      <w:top w:val="single" w:color="auto" w:sz="4" w:space="0"/>
                      <w:left w:val="nil"/>
                      <w:bottom w:val="single" w:color="auto" w:sz="4" w:space="0"/>
                      <w:right w:val="nil"/>
                    </w:tcBorders>
                    <w:vAlign w:val="center"/>
                  </w:tcPr>
                  <w:p w14:paraId="10298EAF">
                    <w:pPr>
                      <w:rPr>
                        <w:color w:val="000000" w:themeColor="text1"/>
                        <w14:textFill>
                          <w14:solidFill>
                            <w14:schemeClr w14:val="tx1"/>
                          </w14:solidFill>
                        </w14:textFill>
                      </w:rPr>
                    </w:pPr>
                    <w:r>
                      <w:rPr>
                        <w:rFonts w:hint="eastAsia"/>
                        <w:color w:val="000000" w:themeColor="text1"/>
                        <w14:textFill>
                          <w14:solidFill>
                            <w14:schemeClr w14:val="tx1"/>
                          </w14:solidFill>
                        </w14:textFill>
                      </w:rPr>
                      <w:t>直线法</w:t>
                    </w:r>
                  </w:p>
                </w:tc>
              </w:tr>
              <w:tr w14:paraId="0732D5EF">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1992" w:type="dxa"/>
                    <w:tcBorders>
                      <w:top w:val="single" w:color="auto" w:sz="4" w:space="0"/>
                      <w:left w:val="nil"/>
                      <w:bottom w:val="single" w:color="auto" w:sz="8" w:space="0"/>
                      <w:right w:val="single" w:color="auto" w:sz="4" w:space="0"/>
                    </w:tcBorders>
                    <w:vAlign w:val="center"/>
                  </w:tcPr>
                  <w:p w14:paraId="12F95751">
                    <w:pPr>
                      <w:rPr>
                        <w:color w:val="000000" w:themeColor="text1"/>
                        <w14:textFill>
                          <w14:solidFill>
                            <w14:schemeClr w14:val="tx1"/>
                          </w14:solidFill>
                        </w14:textFill>
                      </w:rPr>
                    </w:pPr>
                    <w:r>
                      <w:rPr>
                        <w:rFonts w:hint="eastAsia"/>
                        <w:color w:val="000000" w:themeColor="text1"/>
                        <w14:textFill>
                          <w14:solidFill>
                            <w14:schemeClr w14:val="tx1"/>
                          </w14:solidFill>
                        </w14:textFill>
                      </w:rPr>
                      <w:t>软件使用权</w:t>
                    </w:r>
                  </w:p>
                </w:tc>
                <w:tc>
                  <w:tcPr>
                    <w:tcW w:w="1923" w:type="dxa"/>
                    <w:tcBorders>
                      <w:top w:val="single" w:color="auto" w:sz="4" w:space="0"/>
                      <w:left w:val="nil"/>
                      <w:bottom w:val="single" w:color="auto" w:sz="8" w:space="0"/>
                      <w:right w:val="single" w:color="auto" w:sz="4" w:space="0"/>
                    </w:tcBorders>
                    <w:vAlign w:val="center"/>
                  </w:tcPr>
                  <w:p w14:paraId="02977294">
                    <w:pPr>
                      <w:rPr>
                        <w:color w:val="000000" w:themeColor="text1"/>
                        <w14:textFill>
                          <w14:solidFill>
                            <w14:schemeClr w14:val="tx1"/>
                          </w14:solidFill>
                        </w14:textFill>
                      </w:rPr>
                    </w:pPr>
                    <w:r>
                      <w:rPr>
                        <w:rFonts w:hint="eastAsia"/>
                        <w:color w:val="000000" w:themeColor="text1"/>
                        <w14:textFill>
                          <w14:solidFill>
                            <w14:schemeClr w14:val="tx1"/>
                          </w14:solidFill>
                        </w14:textFill>
                      </w:rPr>
                      <w:t>20</w:t>
                    </w:r>
                  </w:p>
                </w:tc>
                <w:tc>
                  <w:tcPr>
                    <w:tcW w:w="2157" w:type="dxa"/>
                    <w:tcBorders>
                      <w:top w:val="single" w:color="auto" w:sz="4" w:space="0"/>
                      <w:left w:val="nil"/>
                      <w:bottom w:val="single" w:color="auto" w:sz="8" w:space="0"/>
                      <w:right w:val="single" w:color="auto" w:sz="4" w:space="0"/>
                    </w:tcBorders>
                    <w:vAlign w:val="center"/>
                  </w:tcPr>
                  <w:p w14:paraId="07135B6E">
                    <w:pPr>
                      <w:rPr>
                        <w:color w:val="000000" w:themeColor="text1"/>
                        <w14:textFill>
                          <w14:solidFill>
                            <w14:schemeClr w14:val="tx1"/>
                          </w14:solidFill>
                        </w14:textFill>
                      </w:rPr>
                    </w:pPr>
                    <w:r>
                      <w:rPr>
                        <w:rFonts w:hint="eastAsia"/>
                        <w:color w:val="000000" w:themeColor="text1"/>
                        <w14:textFill>
                          <w14:solidFill>
                            <w14:schemeClr w14:val="tx1"/>
                          </w14:solidFill>
                        </w14:textFill>
                      </w:rPr>
                      <w:t>预期经济利益年限</w:t>
                    </w:r>
                  </w:p>
                </w:tc>
                <w:tc>
                  <w:tcPr>
                    <w:tcW w:w="1899" w:type="dxa"/>
                    <w:tcBorders>
                      <w:top w:val="single" w:color="auto" w:sz="4" w:space="0"/>
                      <w:left w:val="nil"/>
                      <w:bottom w:val="single" w:color="auto" w:sz="8" w:space="0"/>
                      <w:right w:val="nil"/>
                    </w:tcBorders>
                    <w:vAlign w:val="center"/>
                  </w:tcPr>
                  <w:p w14:paraId="0CA73F44">
                    <w:pPr>
                      <w:rPr>
                        <w:color w:val="000000" w:themeColor="text1"/>
                        <w14:textFill>
                          <w14:solidFill>
                            <w14:schemeClr w14:val="tx1"/>
                          </w14:solidFill>
                        </w14:textFill>
                      </w:rPr>
                    </w:pPr>
                    <w:r>
                      <w:rPr>
                        <w:rFonts w:hint="eastAsia"/>
                        <w:color w:val="000000" w:themeColor="text1"/>
                        <w14:textFill>
                          <w14:solidFill>
                            <w14:schemeClr w14:val="tx1"/>
                          </w14:solidFill>
                        </w14:textFill>
                      </w:rPr>
                      <w:t>直线法</w:t>
                    </w:r>
                  </w:p>
                </w:tc>
              </w:tr>
            </w:tbl>
            <w:p w14:paraId="4445EBE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本公司将无法预见该资产为公司带来经济利益的期限，或使用期限不确定等无形资产确定为使用寿命不确定的无形资产。</w:t>
              </w:r>
            </w:p>
            <w:p w14:paraId="45299ED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使用寿命不确定的判断依据：①来源于合同性权利或其他法定权利，但合同规定或法律规定无明确使用年限；②综合同行业情况或相关专家论证等，仍无法判断无形资产为公司带来经济利益的期限。每年年末，本公司对使用寿命不确定无形资产使用寿命进行复核，主要采取自下而上的方式，由无形资产使用相关部门进行基础复核，评价使用寿命不确定判断依据是否存在变化等。</w:t>
              </w:r>
            </w:p>
          </w:sdtContent>
        </w:sdt>
      </w:sdtContent>
    </w:sdt>
    <w:p w14:paraId="68BF0288">
      <w:pPr>
        <w:pStyle w:val="5"/>
        <w:numPr>
          <w:ilvl w:val="3"/>
          <w:numId w:val="45"/>
        </w:numPr>
        <w:tabs>
          <w:tab w:val="left" w:pos="448"/>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研发支出的归集范围及相关会计处理方法</w:t>
      </w:r>
    </w:p>
    <w:sdt>
      <w:sdtPr>
        <w:rPr>
          <w:rFonts w:hint="eastAsia"/>
          <w:color w:val="000000" w:themeColor="text1"/>
          <w14:textFill>
            <w14:solidFill>
              <w14:schemeClr w14:val="tx1"/>
            </w14:solidFill>
          </w14:textFill>
        </w:rPr>
        <w:alias w:val="是否适用：无形资产内部研究开发支出会计政策[双击切换]"/>
        <w:tag w:val="_GBC_c3cef4c9f19749b8a53b7f49d3b7bac3"/>
        <w:id w:val="-1524705411"/>
        <w:placeholder>
          <w:docPart w:val="GBC22222222222222222222222222222"/>
        </w:placeholder>
      </w:sdtPr>
      <w:sdtEndPr>
        <w:rPr>
          <w:rFonts w:hint="eastAsia"/>
          <w:color w:val="000000" w:themeColor="text1"/>
          <w14:textFill>
            <w14:solidFill>
              <w14:schemeClr w14:val="tx1"/>
            </w14:solidFill>
          </w14:textFill>
        </w:rPr>
      </w:sdtEndPr>
      <w:sdtContent>
        <w:p w14:paraId="02D0FB3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无形资产内部研究、开发支出会计政策"/>
        <w:tag w:val="_GBC_af7b1338d88344dfb8cd34ed66bfe672"/>
        <w:id w:val="1121575144"/>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无形资产内部研究、开发支出会计政策"/>
            <w:tag w:val="_GBC_af7b1338d88344dfb8cd34ed66bfe672"/>
            <w:id w:val="-949313744"/>
          </w:sdtPr>
          <w:sdtEndPr>
            <w:rPr>
              <w:color w:val="000000" w:themeColor="text1"/>
              <w14:textFill>
                <w14:solidFill>
                  <w14:schemeClr w14:val="tx1"/>
                </w14:solidFill>
              </w14:textFill>
            </w:rPr>
          </w:sdtEndPr>
          <w:sdtContent>
            <w:p w14:paraId="32A8980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研发支出为公司研发活动直接相关的支出，包括研发人员职工薪酬、直接投入费用、折旧费用与长期待摊费用、设计费用、无形资产摊销费用、委托外部研究开发费用、其他费用等，其中研发人员的工资按照项目工时分摊计入研发支出。    </w:t>
              </w:r>
            </w:p>
            <w:p w14:paraId="10E57BD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内部研究开发项目研究阶段的支出，本公司于发生时计入当期损益；开发阶段的支出，只有同时满足下列条件的，本公司才予以资本化：①完成该无形资产以使其能够使用或出售在技术上具有可行性；②具有完成该无形资产并使用或出售的意图；③无形资产产生经济利益的方式，包括能够证明运用该无形资产生产的产品存在市场或无形资产自身存在市场，无形资产将在内部使用的，能证明其有用性；④有足够的技术、财务资源和其他资源支持，以完成该无形资产的开发，并有能力使用或出售该无形资产；⑤归属于该无形资产开发阶段的支出能够可靠地计量。        </w:t>
              </w:r>
            </w:p>
            <w:p w14:paraId="0BDCBE6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划分内部研究开发项目的研究阶段和开发阶段的具体标准：为获取新的技术和知识等进行的有计划的调查阶段，本公司确定为研究阶段，该阶段具有计划性和探索性等特点；在进行商业性生产或使用前，将研究成果或其他知识应用于某项计划或设计，以生产出新的或具有实质性改进的材料、装置、产品等阶段，本公司确定为开发阶段，该阶段具有针对性和形成成果的可能性较大等特点。    </w:t>
              </w:r>
            </w:p>
            <w:p w14:paraId="2998AB6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无法区分研究阶段支出和开发阶段支出的，本公司将发生的研发支出全部计入当期损益。</w:t>
              </w:r>
            </w:p>
          </w:sdtContent>
        </w:sdt>
        <w:p w14:paraId="26433937">
          <w:pPr>
            <w:rPr>
              <w:color w:val="000000" w:themeColor="text1"/>
              <w14:textFill>
                <w14:solidFill>
                  <w14:schemeClr w14:val="tx1"/>
                </w14:solidFill>
              </w14:textFill>
            </w:rPr>
          </w:pPr>
        </w:p>
      </w:sdtContent>
    </w:sdt>
    <w:bookmarkEnd w:id="148"/>
    <w:p w14:paraId="7BF6B597">
      <w:pPr>
        <w:rPr>
          <w:color w:val="000000" w:themeColor="text1"/>
          <w14:textFill>
            <w14:solidFill>
              <w14:schemeClr w14:val="tx1"/>
            </w14:solidFill>
          </w14:textFill>
        </w:rPr>
      </w:pPr>
    </w:p>
    <w:p w14:paraId="42A1650E">
      <w:pPr>
        <w:pStyle w:val="4"/>
        <w:numPr>
          <w:ilvl w:val="0"/>
          <w:numId w:val="33"/>
        </w:numPr>
        <w:rPr>
          <w:rFonts w:hint="eastAsia" w:ascii="宋体" w:hAnsi="宋体"/>
          <w:color w:val="000000" w:themeColor="text1"/>
          <w:szCs w:val="21"/>
          <w14:textFill>
            <w14:solidFill>
              <w14:schemeClr w14:val="tx1"/>
            </w14:solidFill>
          </w14:textFill>
        </w:rPr>
      </w:pPr>
      <w:bookmarkStart w:id="149" w:name="_Hlk44405424"/>
      <w:r>
        <w:rPr>
          <w:rFonts w:hint="eastAsia" w:ascii="宋体" w:hAnsi="宋体"/>
          <w:color w:val="000000" w:themeColor="text1"/>
          <w:szCs w:val="21"/>
          <w14:textFill>
            <w14:solidFill>
              <w14:schemeClr w14:val="tx1"/>
            </w14:solidFill>
          </w14:textFill>
        </w:rPr>
        <w:t>长期资产减值</w:t>
      </w:r>
    </w:p>
    <w:sdt>
      <w:sdtPr>
        <w:rPr>
          <w:rFonts w:hint="eastAsia"/>
          <w:color w:val="000000" w:themeColor="text1"/>
          <w14:textFill>
            <w14:solidFill>
              <w14:schemeClr w14:val="tx1"/>
            </w14:solidFill>
          </w14:textFill>
        </w:rPr>
        <w:alias w:val="是否适用：长期资产减值_重要会计政策和估计[双击切换]"/>
        <w:tag w:val="_GBC_d0feb744f96144ffa5335cd194c6cdf9"/>
        <w:id w:val="2097901750"/>
        <w:placeholder>
          <w:docPart w:val="GBC22222222222222222222222222222"/>
        </w:placeholder>
      </w:sdtPr>
      <w:sdtEndPr>
        <w:rPr>
          <w:rFonts w:hint="eastAsia"/>
          <w:color w:val="000000" w:themeColor="text1"/>
          <w14:textFill>
            <w14:solidFill>
              <w14:schemeClr w14:val="tx1"/>
            </w14:solidFill>
          </w14:textFill>
        </w:rPr>
      </w:sdtEndPr>
      <w:sdtContent>
        <w:p w14:paraId="44AEA60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rFonts w:hint="eastAsia"/>
          <w:color w:val="000000" w:themeColor="text1"/>
          <w14:textFill>
            <w14:solidFill>
              <w14:schemeClr w14:val="tx1"/>
            </w14:solidFill>
          </w14:textFill>
        </w:rPr>
        <w:alias w:val="非金融长期资产减值测试方法及会计处理方法"/>
        <w:tag w:val="_GBC_e8cb396d7101453b9e9cd1bc11b8633e"/>
        <w:id w:val="1229812305"/>
        <w:placeholder>
          <w:docPart w:val="GBC22222222222222222222222222222"/>
        </w:placeholder>
      </w:sdtPr>
      <w:sdtEndPr>
        <w:rPr>
          <w:rFonts w:hint="eastAsia"/>
          <w:color w:val="000000" w:themeColor="text1"/>
          <w14:textFill>
            <w14:solidFill>
              <w14:schemeClr w14:val="tx1"/>
            </w14:solidFill>
          </w14:textFill>
        </w:rPr>
      </w:sdtEndPr>
      <w:sdtContent>
        <w:sdt>
          <w:sdtPr>
            <w:rPr>
              <w:color w:val="000000" w:themeColor="text1"/>
              <w14:textFill>
                <w14:solidFill>
                  <w14:schemeClr w14:val="tx1"/>
                </w14:solidFill>
              </w14:textFill>
            </w:rPr>
            <w:alias w:val="非金融长期资产减值测试方法及会计处理方法"/>
            <w:tag w:val="_GBC_e8cb396d7101453b9e9cd1bc11b8633e"/>
            <w:id w:val="-1410153550"/>
          </w:sdtPr>
          <w:sdtEndPr>
            <w:rPr>
              <w:color w:val="000000" w:themeColor="text1"/>
              <w14:textFill>
                <w14:solidFill>
                  <w14:schemeClr w14:val="tx1"/>
                </w14:solidFill>
              </w14:textFill>
            </w:rPr>
          </w:sdtEndPr>
          <w:sdtContent>
            <w:p w14:paraId="786B7C0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对长期股权投资、采用成本模式计量的投资性房地产、固定资产、在建工程、使用权资产、无形资产等长期资产，于资产负债表日存在减值迹象的，进行减值测试。减值测试结果表明资产的可收回金额低于其账面价值的，按其差额计提减值准备并计入减值损失。可收回金额为资产的公允价值减去处置费用后的净额与资产预计未来现金流量的现值两者之间的较高者。资产减值准备按单项资产为基础计算并确认，如果难以对单项资产的可收回金额进行估计的，以该资产所属的资产组确定资产组的可收回金额。资产组是能够独立产生现金流入的最小资产组合。  </w:t>
              </w:r>
            </w:p>
            <w:p w14:paraId="0B6A7A8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本公司对因企业合并所形成的商誉和使用寿命不确定的无形资产，无论是否存在减值迹象，至少于每年末进行减值测试。对于尚未达到可使用状态的无形资产，也每年进行减值测试。    </w:t>
              </w:r>
            </w:p>
            <w:p w14:paraId="7A4BCEB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进行商誉减值测试时，对于因企业合并形成的商誉的账面价值，自购买日起按照合理的方法分摊至相关的资产组；难以分摊至相关的资产组的，将其分摊至相关的资产组组合。在将商誉的账面价值分摊至相关的资产组或者资产组组合时，按照各资产组或者资产组组合的公允价值占相关资产组或者资产组组合公允价值总额的比例进行分摊。公允价值难以可靠计量的，按照各资产组或者资产组组合的账面价值占相关资产组或者资产组组合账面价值总额的比例进行分摊。</w:t>
              </w:r>
            </w:p>
            <w:p w14:paraId="07DF851A">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本公司在对包含商誉的相关资产组或者资产组组合进行减值测试时，如与商誉相关的资产组或者资产组组合存在减值迹象的，先对不包含商誉的资产组或者资产组组合进行减值测试，计算可收回金额，并与相关账面价值相比较，确认相应的减值损失。再对包含商誉的资产组或者资产组组合进行减值测试，比较这些相关资产组或者资产组组合的账面价值（包括所分摊的商誉的账面价值部分）与其可收回金额，如相关资产组或者资产组组合的可收回金额低于其账面价值的，就其差额确认减值损失。减值损失金额首先抵减分摊至资产组或者资产组组合中商誉的账面价值；再根据资产组或者资产组组合中除商誉之外的其他各项资产的账面价值所占比重，按比例抵减其他各项资产的账面价值。         </w:t>
              </w:r>
            </w:p>
            <w:p w14:paraId="7B24092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上述资产减值损失一经确认，本公司在以后会计期间不予转回。</w:t>
              </w:r>
            </w:p>
          </w:sdtContent>
        </w:sdt>
      </w:sdtContent>
    </w:sdt>
    <w:bookmarkEnd w:id="149"/>
    <w:p w14:paraId="307FCFE5">
      <w:pPr>
        <w:rPr>
          <w:color w:val="000000" w:themeColor="text1"/>
          <w14:textFill>
            <w14:solidFill>
              <w14:schemeClr w14:val="tx1"/>
            </w14:solidFill>
          </w14:textFill>
        </w:rPr>
      </w:pPr>
    </w:p>
    <w:p w14:paraId="32575CFC">
      <w:pPr>
        <w:pStyle w:val="4"/>
        <w:numPr>
          <w:ilvl w:val="0"/>
          <w:numId w:val="33"/>
        </w:numPr>
        <w:rPr>
          <w:rFonts w:hint="eastAsia" w:ascii="宋体" w:hAnsi="宋体"/>
          <w:color w:val="000000" w:themeColor="text1"/>
          <w14:textFill>
            <w14:solidFill>
              <w14:schemeClr w14:val="tx1"/>
            </w14:solidFill>
          </w14:textFill>
        </w:rPr>
      </w:pPr>
      <w:bookmarkStart w:id="150" w:name="_Hlk44405475"/>
      <w:r>
        <w:rPr>
          <w:rFonts w:ascii="宋体" w:hAnsi="宋体"/>
          <w:color w:val="000000" w:themeColor="text1"/>
          <w14:textFill>
            <w14:solidFill>
              <w14:schemeClr w14:val="tx1"/>
            </w14:solidFill>
          </w14:textFill>
        </w:rPr>
        <w:t>长期待摊费用</w:t>
      </w:r>
    </w:p>
    <w:sdt>
      <w:sdtPr>
        <w:rPr>
          <w:rFonts w:hint="eastAsia"/>
          <w:color w:val="000000" w:themeColor="text1"/>
          <w14:textFill>
            <w14:solidFill>
              <w14:schemeClr w14:val="tx1"/>
            </w14:solidFill>
          </w14:textFill>
        </w:rPr>
        <w:alias w:val="是否适用：长期待摊费用_重要会计政策和估计[双击切换]"/>
        <w:tag w:val="_GBC_75739ccc62204f0490525060b33e330f"/>
        <w:id w:val="-110364183"/>
        <w:placeholder>
          <w:docPart w:val="GBC22222222222222222222222222222"/>
        </w:placeholder>
      </w:sdtPr>
      <w:sdtEndPr>
        <w:rPr>
          <w:rFonts w:hint="eastAsia"/>
          <w:color w:val="000000" w:themeColor="text1"/>
          <w14:textFill>
            <w14:solidFill>
              <w14:schemeClr w14:val="tx1"/>
            </w14:solidFill>
          </w14:textFill>
        </w:rPr>
      </w:sdtEndPr>
      <w:sdtContent>
        <w:p w14:paraId="5C96EC6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rFonts w:hint="eastAsia"/>
          <w:color w:val="000000" w:themeColor="text1"/>
          <w14:textFill>
            <w14:solidFill>
              <w14:schemeClr w14:val="tx1"/>
            </w14:solidFill>
          </w14:textFill>
        </w:rPr>
        <w:alias w:val="开办费、长期待摊费用摊销方法"/>
        <w:tag w:val="_GBC_e4e695ce4aea4c878acb6f8ad7190139"/>
        <w:id w:val="-1140568878"/>
        <w:placeholder>
          <w:docPart w:val="GBC22222222222222222222222222222"/>
        </w:placeholder>
      </w:sdtPr>
      <w:sdtEndPr>
        <w:rPr>
          <w:rFonts w:hint="eastAsia"/>
          <w:color w:val="000000" w:themeColor="text1"/>
          <w14:textFill>
            <w14:solidFill>
              <w14:schemeClr w14:val="tx1"/>
            </w14:solidFill>
          </w14:textFill>
        </w:rPr>
      </w:sdtEndPr>
      <w:sdtContent>
        <w:sdt>
          <w:sdtPr>
            <w:rPr>
              <w:color w:val="000000" w:themeColor="text1"/>
              <w14:textFill>
                <w14:solidFill>
                  <w14:schemeClr w14:val="tx1"/>
                </w14:solidFill>
              </w14:textFill>
            </w:rPr>
            <w:alias w:val="开办费、长期待摊费用摊销方法"/>
            <w:tag w:val="_GBC_e4e695ce4aea4c878acb6f8ad7190139"/>
            <w:id w:val="7886608"/>
          </w:sdtPr>
          <w:sdtEndPr>
            <w:rPr>
              <w:color w:val="000000" w:themeColor="text1"/>
              <w14:textFill>
                <w14:solidFill>
                  <w14:schemeClr w14:val="tx1"/>
                </w14:solidFill>
              </w14:textFill>
            </w:rPr>
          </w:sdtEndPr>
          <w:sdtContent>
            <w:p w14:paraId="5848463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长期待摊费用是指已经支出，但受益期限在一年以上（不含一年）的各项费用。长期待摊费用按费用项目的受益期限分期摊销。若长期待摊的费用项目不能使以后会计期间受益，则将尚未摊销的该项目的摊余价值全部转入当期损益。</w:t>
              </w:r>
            </w:p>
          </w:sdtContent>
        </w:sdt>
        <w:p w14:paraId="24F77EB0">
          <w:pPr>
            <w:rPr>
              <w:rFonts w:cs="Times New Roman"/>
              <w:color w:val="000000" w:themeColor="text1"/>
              <w:kern w:val="2"/>
              <w14:textFill>
                <w14:solidFill>
                  <w14:schemeClr w14:val="tx1"/>
                </w14:solidFill>
              </w14:textFill>
            </w:rPr>
          </w:pPr>
        </w:p>
      </w:sdtContent>
    </w:sdt>
    <w:p w14:paraId="45C3EEEB">
      <w:pPr>
        <w:rPr>
          <w:color w:val="000000" w:themeColor="text1"/>
          <w14:textFill>
            <w14:solidFill>
              <w14:schemeClr w14:val="tx1"/>
            </w14:solidFill>
          </w14:textFill>
        </w:rPr>
      </w:pPr>
    </w:p>
    <w:bookmarkEnd w:id="150"/>
    <w:p w14:paraId="08B18411">
      <w:pPr>
        <w:pStyle w:val="4"/>
        <w:numPr>
          <w:ilvl w:val="0"/>
          <w:numId w:val="33"/>
        </w:numPr>
        <w:rPr>
          <w:rFonts w:hint="eastAsia" w:ascii="宋体" w:hAnsi="宋体"/>
          <w:color w:val="000000" w:themeColor="text1"/>
          <w:szCs w:val="21"/>
          <w14:textFill>
            <w14:solidFill>
              <w14:schemeClr w14:val="tx1"/>
            </w14:solidFill>
          </w14:textFill>
        </w:rPr>
      </w:pPr>
      <w:bookmarkStart w:id="151" w:name="_Hlk10465482"/>
      <w:r>
        <w:rPr>
          <w:rFonts w:hint="eastAsia" w:ascii="宋体" w:hAnsi="宋体"/>
          <w:color w:val="000000" w:themeColor="text1"/>
          <w:szCs w:val="21"/>
          <w14:textFill>
            <w14:solidFill>
              <w14:schemeClr w14:val="tx1"/>
            </w14:solidFill>
          </w14:textFill>
        </w:rPr>
        <w:t>合同负债</w:t>
      </w:r>
    </w:p>
    <w:sdt>
      <w:sdtPr>
        <w:rPr>
          <w:color w:val="000000" w:themeColor="text1"/>
          <w14:textFill>
            <w14:solidFill>
              <w14:schemeClr w14:val="tx1"/>
            </w14:solidFill>
          </w14:textFill>
        </w:rPr>
        <w:alias w:val="是否适用：合同负债的确定方法、摊销方法和减值测试方法[双击切换]"/>
        <w:tag w:val="_GBC_f210968f2ea04a338a3253827b172c25"/>
        <w:id w:val="1527142975"/>
        <w:placeholder>
          <w:docPart w:val="GBC22222222222222222222222222222"/>
        </w:placeholder>
      </w:sdtPr>
      <w:sdtEndPr>
        <w:rPr>
          <w:color w:val="000000" w:themeColor="text1"/>
          <w14:textFill>
            <w14:solidFill>
              <w14:schemeClr w14:val="tx1"/>
            </w14:solidFill>
          </w14:textFill>
        </w:rPr>
      </w:sdtEndPr>
      <w:sdtContent>
        <w:p w14:paraId="1D2439B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1C734DE">
      <w:pPr>
        <w:spacing w:line="360" w:lineRule="auto"/>
        <w:ind w:firstLine="420" w:firstLineChars="200"/>
        <w:rPr>
          <w:color w:val="000000" w:themeColor="text1"/>
          <w14:textFill>
            <w14:solidFill>
              <w14:schemeClr w14:val="tx1"/>
            </w14:solidFill>
          </w14:textFill>
        </w:rPr>
      </w:pPr>
      <w:sdt>
        <w:sdtPr>
          <w:rPr>
            <w:color w:val="000000" w:themeColor="text1"/>
            <w14:textFill>
              <w14:solidFill>
                <w14:schemeClr w14:val="tx1"/>
              </w14:solidFill>
            </w14:textFill>
          </w:rPr>
          <w:alias w:val="合同负债的确定方法、摊销方法和减值测试方法"/>
          <w:tag w:val="_GBC_adbfb902bae348178906cb42c1932267"/>
          <w:id w:val="-2110418812"/>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合同负债的确定方法、摊销方法和减值测试方法"/>
              <w:tag w:val="_GBC_adbfb902bae348178906cb42c1932267"/>
              <w:id w:val="-1780936754"/>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合同负债，是指本公司已收或应收客户对价而应向客户转让商品的义务。如果在本公司向客户转让商品之前，客户已经支付了合同对价或本公司已经取得了无条件收款权，本公司在客户实际支付款项和到期应支付款项孰早时点，将该已收或应收款项列示为合同负债。本公司将同一合同下的合同资产和合同负债以净额列示，不同合同下的合同资产和合同负债不予抵销。</w:t>
              </w:r>
            </w:sdtContent>
          </w:sdt>
        </w:sdtContent>
      </w:sdt>
    </w:p>
    <w:p w14:paraId="2243E724">
      <w:pPr>
        <w:rPr>
          <w:color w:val="000000" w:themeColor="text1"/>
          <w14:textFill>
            <w14:solidFill>
              <w14:schemeClr w14:val="tx1"/>
            </w14:solidFill>
          </w14:textFill>
        </w:rPr>
      </w:pPr>
    </w:p>
    <w:bookmarkEnd w:id="151"/>
    <w:p w14:paraId="2207164A">
      <w:pPr>
        <w:pStyle w:val="4"/>
        <w:numPr>
          <w:ilvl w:val="0"/>
          <w:numId w:val="33"/>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职工薪酬</w:t>
      </w:r>
    </w:p>
    <w:p w14:paraId="04EECFEE">
      <w:pPr>
        <w:pStyle w:val="5"/>
        <w:numPr>
          <w:ilvl w:val="0"/>
          <w:numId w:val="46"/>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短期薪酬的会计处理方法</w:t>
      </w:r>
    </w:p>
    <w:sdt>
      <w:sdtPr>
        <w:rPr>
          <w:color w:val="000000" w:themeColor="text1"/>
          <w14:textFill>
            <w14:solidFill>
              <w14:schemeClr w14:val="tx1"/>
            </w14:solidFill>
          </w14:textFill>
        </w:rPr>
        <w:alias w:val="是否适用：短期薪酬的会计处理方法[双击切换]"/>
        <w:tag w:val="_GBC_eefed2a465e349b6a35598930bd9541d"/>
        <w:id w:val="2050488280"/>
        <w:placeholder>
          <w:docPart w:val="GBC22222222222222222222222222222"/>
        </w:placeholder>
      </w:sdtPr>
      <w:sdtEndPr>
        <w:rPr>
          <w:color w:val="000000" w:themeColor="text1"/>
          <w14:textFill>
            <w14:solidFill>
              <w14:schemeClr w14:val="tx1"/>
            </w14:solidFill>
          </w14:textFill>
        </w:rPr>
      </w:sdtEndPr>
      <w:sdtContent>
        <w:p w14:paraId="58AB960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短期薪酬的会计处理方法"/>
        <w:tag w:val="_GBC_8fdf44b194ac45fb945d36b9896df796"/>
        <w:id w:val="-1763139299"/>
        <w:placeholder>
          <w:docPart w:val="GBC22222222222222222222222222222"/>
        </w:placeholder>
      </w:sdtPr>
      <w:sdtEndPr>
        <w:rPr>
          <w:color w:val="000000" w:themeColor="text1"/>
          <w14:textFill>
            <w14:solidFill>
              <w14:schemeClr w14:val="tx1"/>
            </w14:solidFill>
          </w14:textFill>
        </w:rPr>
      </w:sdtEndPr>
      <w:sdtContent>
        <w:p w14:paraId="49A79011">
          <w:pPr>
            <w:spacing w:line="360" w:lineRule="auto"/>
            <w:ind w:firstLine="420" w:firstLineChars="200"/>
            <w:rPr>
              <w:color w:val="000000" w:themeColor="text1"/>
              <w14:textFill>
                <w14:solidFill>
                  <w14:schemeClr w14:val="tx1"/>
                </w14:solidFill>
              </w14:textFill>
            </w:rPr>
          </w:pPr>
          <w:sdt>
            <w:sdtPr>
              <w:rPr>
                <w:color w:val="000000" w:themeColor="text1"/>
                <w14:textFill>
                  <w14:solidFill>
                    <w14:schemeClr w14:val="tx1"/>
                  </w14:solidFill>
                </w14:textFill>
              </w:rPr>
              <w:alias w:val="短期薪酬的会计处理方法"/>
              <w:tag w:val="_GBC_8fdf44b194ac45fb945d36b9896df796"/>
              <w:id w:val="-336007087"/>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本公司短期薪酬包括短期工资、奖金、津贴、补贴、职工福利费、住房公积金、工会经费和职工教育经费、医疗保险费、工伤保险费、生育保险费、短期带薪缺勤、短期利润分享计划等。本公司在职工提供服务的会计期间，将实际发生的应付的短期薪酬确认为负债，并按照受益对象和权责发生制原则计入当期损益或相关资产成本。</w:t>
              </w:r>
            </w:sdtContent>
          </w:sdt>
        </w:p>
      </w:sdtContent>
    </w:sdt>
    <w:p w14:paraId="3C4EA9E1">
      <w:pPr>
        <w:rPr>
          <w:color w:val="000000" w:themeColor="text1"/>
          <w14:textFill>
            <w14:solidFill>
              <w14:schemeClr w14:val="tx1"/>
            </w14:solidFill>
          </w14:textFill>
        </w:rPr>
      </w:pPr>
    </w:p>
    <w:p w14:paraId="30D7DE14">
      <w:pPr>
        <w:pStyle w:val="5"/>
        <w:numPr>
          <w:ilvl w:val="0"/>
          <w:numId w:val="46"/>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离职后福利的会计处理方法</w:t>
      </w:r>
    </w:p>
    <w:sdt>
      <w:sdtPr>
        <w:rPr>
          <w:rFonts w:hint="eastAsia"/>
          <w:color w:val="000000" w:themeColor="text1"/>
          <w14:textFill>
            <w14:solidFill>
              <w14:schemeClr w14:val="tx1"/>
            </w14:solidFill>
          </w14:textFill>
        </w:rPr>
        <w:alias w:val="是否适用：离职后福利的会计处理方法[双击切换]"/>
        <w:tag w:val="_GBC_35bbae299fda438d9e595058bbecbcdc"/>
        <w:id w:val="849600814"/>
        <w:placeholder>
          <w:docPart w:val="GBC22222222222222222222222222222"/>
        </w:placeholder>
      </w:sdtPr>
      <w:sdtEndPr>
        <w:rPr>
          <w:rFonts w:hint="eastAsia"/>
          <w:color w:val="000000" w:themeColor="text1"/>
          <w14:textFill>
            <w14:solidFill>
              <w14:schemeClr w14:val="tx1"/>
            </w14:solidFill>
          </w14:textFill>
        </w:rPr>
      </w:sdtEndPr>
      <w:sdtContent>
        <w:p w14:paraId="646F67B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离职后福利的会计处理方法"/>
        <w:tag w:val="_GBC_3b0bafa6ef784ba99c829e2f60cf828e"/>
        <w:id w:val="126832958"/>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离职后福利的会计处理方法"/>
            <w:tag w:val="_GBC_3b0bafa6ef784ba99c829e2f60cf828e"/>
            <w:id w:val="-1163155907"/>
          </w:sdtPr>
          <w:sdtEndPr>
            <w:rPr>
              <w:color w:val="000000" w:themeColor="text1"/>
              <w14:textFill>
                <w14:solidFill>
                  <w14:schemeClr w14:val="tx1"/>
                </w14:solidFill>
              </w14:textFill>
            </w:rPr>
          </w:sdtEndPr>
          <w:sdtContent>
            <w:p w14:paraId="7E54F89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离职后福利主要包括基本养老保险费、企业年金等，按照本公司承担的风险和义务，分类为设定提存计划、设定受益计划。    </w:t>
              </w:r>
            </w:p>
            <w:p w14:paraId="6FC8EE9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设定提存计划：本公司在资产负债表日为换取职工在会计期间提供的服务而向单独主体缴存的提存金确认为负债，并按照受益对象计入当期损益或相关资产成本。    </w:t>
              </w:r>
            </w:p>
            <w:p w14:paraId="20EB28D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设定受益计划：本公司在半年和年度资产负债表日由独立精算师进行精算估值，以预期累积福利单位法确定提供福利的成本。本公司设定受益计划导致的职工薪酬成本包括下列组成部分：（1）服务成本，包括当期服务成本、过去服务成本和结算利得或损失。其中，当期服务成本是指，职工当期提供服务所导致的设定受益义务现值的增加额；过去服务成本是指，设定受益计划修改所导致的与以前期间职工服务相关的设定受益义务现值的增加或减少；（2）设定受益义务的利息费用；（3）重新计量设定受益计划负债导致的变动。除非其他会计准则要求或允许职工福利成本计入资产成本，本公司将上述第(1)和(2)项计入当期损益；第(3)项计入其他综合收益且不会在后续会计期间转回至损益。</w:t>
              </w:r>
            </w:p>
          </w:sdtContent>
        </w:sdt>
      </w:sdtContent>
    </w:sdt>
    <w:p w14:paraId="788A3A2F">
      <w:pPr>
        <w:rPr>
          <w:color w:val="000000" w:themeColor="text1"/>
          <w14:textFill>
            <w14:solidFill>
              <w14:schemeClr w14:val="tx1"/>
            </w14:solidFill>
          </w14:textFill>
        </w:rPr>
      </w:pPr>
    </w:p>
    <w:p w14:paraId="69E70FDD">
      <w:pPr>
        <w:pStyle w:val="5"/>
        <w:numPr>
          <w:ilvl w:val="0"/>
          <w:numId w:val="46"/>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辞退福利的会计处理方法</w:t>
      </w:r>
    </w:p>
    <w:sdt>
      <w:sdtPr>
        <w:rPr>
          <w:rFonts w:hint="eastAsia"/>
          <w:color w:val="000000" w:themeColor="text1"/>
          <w14:textFill>
            <w14:solidFill>
              <w14:schemeClr w14:val="tx1"/>
            </w14:solidFill>
          </w14:textFill>
        </w:rPr>
        <w:alias w:val="是否适用：辞退福利的会计处理方法[双击切换]"/>
        <w:tag w:val="_GBC_b6be1c30b6144d54b0e20b3cb9d3a691"/>
        <w:id w:val="75718946"/>
        <w:placeholder>
          <w:docPart w:val="GBC22222222222222222222222222222"/>
        </w:placeholder>
      </w:sdtPr>
      <w:sdtEndPr>
        <w:rPr>
          <w:rFonts w:hint="eastAsia"/>
          <w:color w:val="000000" w:themeColor="text1"/>
          <w14:textFill>
            <w14:solidFill>
              <w14:schemeClr w14:val="tx1"/>
            </w14:solidFill>
          </w14:textFill>
        </w:rPr>
      </w:sdtEndPr>
      <w:sdtContent>
        <w:p w14:paraId="6058759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辞退福利的会计处理方法"/>
        <w:tag w:val="_GBC_a93705fb60b24bceb25c88a68ed87432"/>
        <w:id w:val="-1373297491"/>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辞退福利的会计处理方法"/>
            <w:tag w:val="_GBC_a93705fb60b24bceb25c88a68ed87432"/>
            <w:id w:val="237757233"/>
          </w:sdtPr>
          <w:sdtEndPr>
            <w:rPr>
              <w:color w:val="000000" w:themeColor="text1"/>
              <w14:textFill>
                <w14:solidFill>
                  <w14:schemeClr w14:val="tx1"/>
                </w14:solidFill>
              </w14:textFill>
            </w:rPr>
          </w:sdtEndPr>
          <w:sdtContent>
            <w:p w14:paraId="3CA4EA3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辞退福利是指本公司在职工劳动合同到期之前解除与职工的劳动关系，或者为鼓励职工自愿接受裁减而提出给予补偿的建议。本公司在不能单方面撤回因解除劳动关系计划或裁减建议所提供的辞退福利时，或确认与涉及支付辞退福利的重组相关的成本或费用时（两者孰早），确认辞退福利产生的职工薪酬负债，并计入当期损益。</w:t>
              </w:r>
            </w:p>
          </w:sdtContent>
        </w:sdt>
      </w:sdtContent>
    </w:sdt>
    <w:p w14:paraId="1DB931B2">
      <w:pPr>
        <w:rPr>
          <w:color w:val="000000" w:themeColor="text1"/>
          <w14:textFill>
            <w14:solidFill>
              <w14:schemeClr w14:val="tx1"/>
            </w14:solidFill>
          </w14:textFill>
        </w:rPr>
      </w:pPr>
    </w:p>
    <w:p w14:paraId="64B42F9C">
      <w:pPr>
        <w:pStyle w:val="5"/>
        <w:numPr>
          <w:ilvl w:val="0"/>
          <w:numId w:val="46"/>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其他长期职工福利的会计处理方法</w:t>
      </w:r>
    </w:p>
    <w:sdt>
      <w:sdtPr>
        <w:rPr>
          <w:rFonts w:hint="eastAsia"/>
          <w:color w:val="000000" w:themeColor="text1"/>
          <w14:textFill>
            <w14:solidFill>
              <w14:schemeClr w14:val="tx1"/>
            </w14:solidFill>
          </w14:textFill>
        </w:rPr>
        <w:alias w:val="是否适用：其他长期职工福利的会计处理方法[双击切换]"/>
        <w:tag w:val="_GBC_6650f3bc6a474b318e05b9d60314cb7f"/>
        <w:id w:val="1282612130"/>
        <w:placeholder>
          <w:docPart w:val="GBC22222222222222222222222222222"/>
        </w:placeholder>
      </w:sdtPr>
      <w:sdtEndPr>
        <w:rPr>
          <w:rFonts w:hint="eastAsia"/>
          <w:color w:val="000000" w:themeColor="text1"/>
          <w14:textFill>
            <w14:solidFill>
              <w14:schemeClr w14:val="tx1"/>
            </w14:solidFill>
          </w14:textFill>
        </w:rPr>
      </w:sdtEndPr>
      <w:sdtContent>
        <w:p w14:paraId="058F3889">
          <w:pPr>
            <w:rPr>
              <w:rFonts w:cs="Times New Roman"/>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2789425">
      <w:pPr>
        <w:rPr>
          <w:color w:val="000000" w:themeColor="text1"/>
          <w14:textFill>
            <w14:solidFill>
              <w14:schemeClr w14:val="tx1"/>
            </w14:solidFill>
          </w14:textFill>
        </w:rPr>
      </w:pPr>
    </w:p>
    <w:p w14:paraId="46D82802">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预计负债</w:t>
      </w:r>
    </w:p>
    <w:sdt>
      <w:sdtPr>
        <w:rPr>
          <w:rFonts w:hint="eastAsia"/>
          <w:color w:val="000000" w:themeColor="text1"/>
          <w14:textFill>
            <w14:solidFill>
              <w14:schemeClr w14:val="tx1"/>
            </w14:solidFill>
          </w14:textFill>
        </w:rPr>
        <w:alias w:val="是否适用：预计负债_重要会计政策和估计[双击切换]"/>
        <w:tag w:val="_GBC_60f7f598e5d5458986c0f06775dc38fd"/>
        <w:id w:val="-521404763"/>
        <w:placeholder>
          <w:docPart w:val="GBC22222222222222222222222222222"/>
        </w:placeholder>
      </w:sdtPr>
      <w:sdtEndPr>
        <w:rPr>
          <w:rFonts w:hint="eastAsia"/>
          <w:color w:val="000000" w:themeColor="text1"/>
          <w14:textFill>
            <w14:solidFill>
              <w14:schemeClr w14:val="tx1"/>
            </w14:solidFill>
          </w14:textFill>
        </w:rPr>
      </w:sdtEndPr>
      <w:sdtContent>
        <w:p w14:paraId="6D83A30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rFonts w:hint="eastAsia"/>
          <w:color w:val="000000" w:themeColor="text1"/>
          <w14:textFill>
            <w14:solidFill>
              <w14:schemeClr w14:val="tx1"/>
            </w14:solidFill>
          </w14:textFill>
        </w:rPr>
        <w:alias w:val="预计负债的核算方法"/>
        <w:tag w:val="_GBC_d6934772e41e485d9e00e349486f9d7e"/>
        <w:id w:val="1975561719"/>
        <w:placeholder>
          <w:docPart w:val="GBC22222222222222222222222222222"/>
        </w:placeholder>
      </w:sdtPr>
      <w:sdtEndPr>
        <w:rPr>
          <w:rFonts w:hint="eastAsia"/>
          <w:color w:val="000000" w:themeColor="text1"/>
          <w14:textFill>
            <w14:solidFill>
              <w14:schemeClr w14:val="tx1"/>
            </w14:solidFill>
          </w14:textFill>
        </w:rPr>
      </w:sdtEndPr>
      <w:sdtContent>
        <w:sdt>
          <w:sdtPr>
            <w:rPr>
              <w:color w:val="000000" w:themeColor="text1"/>
              <w14:textFill>
                <w14:solidFill>
                  <w14:schemeClr w14:val="tx1"/>
                </w14:solidFill>
              </w14:textFill>
            </w:rPr>
            <w:alias w:val="辞退福利的会计处理方法"/>
            <w:tag w:val="_GBC_a93705fb60b24bceb25c88a68ed87432"/>
            <w:id w:val="1709450590"/>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预计负债的核算方法"/>
                <w:tag w:val="_GBC_d6934772e41e485d9e00e349486f9d7e"/>
                <w:id w:val="-1434200835"/>
              </w:sdtPr>
              <w:sdtEndPr>
                <w:rPr>
                  <w:color w:val="000000" w:themeColor="text1"/>
                  <w14:textFill>
                    <w14:solidFill>
                      <w14:schemeClr w14:val="tx1"/>
                    </w14:solidFill>
                  </w14:textFill>
                </w:rPr>
              </w:sdtEndPr>
              <w:sdtContent>
                <w:p w14:paraId="33B231E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（1）预计负债的确认标准</w:t>
                  </w:r>
                </w:p>
                <w:p w14:paraId="563105B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当与或有事项相关的义务是本公司承担的现时义务，且履行该义务很可能导致经济利益流</w:t>
                  </w:r>
                </w:p>
                <w:p w14:paraId="170C435A">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出，同时其金额能够可靠地计量时确认该义务为预计负债。</w:t>
                  </w:r>
                </w:p>
                <w:p w14:paraId="7886C36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（2）预计负债的计量方法    </w:t>
                  </w:r>
                </w:p>
                <w:p w14:paraId="31B624E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本公司预计负债按照履行相关现时义务所需支出的最佳估计数进行初始计量，如所需支出存</w:t>
                  </w:r>
                </w:p>
                <w:p w14:paraId="33B2E526">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在一个连续范围，且该范围内各种结果发生的可能性相同，最佳估计数按照该范围内的中间值确</w:t>
                  </w:r>
                </w:p>
                <w:p w14:paraId="3F92886B">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定；如涉及多个项目，按照各种可能结果及相关概率计算确定最佳估计数。</w:t>
                  </w:r>
                </w:p>
                <w:p w14:paraId="6230921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本公司于资产负债表日对预计负债账面价值进行复核，有确凿证据表明该账面价值不能真实反映当前最佳估计数，按照当前最佳估计数对该账面价值进行调整。</w:t>
                  </w:r>
                </w:p>
                <w:p w14:paraId="6E12164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如果清偿预计负债所需支出全部或部分预期由第三方补偿的，补偿金额在基本确定能够收到时，作为资产单独确认，且确认的补偿金额不超过预计负债的账面价值。</w:t>
                  </w:r>
                </w:p>
              </w:sdtContent>
            </w:sdt>
          </w:sdtContent>
        </w:sdt>
      </w:sdtContent>
    </w:sdt>
    <w:p w14:paraId="46ECF68F">
      <w:pPr>
        <w:rPr>
          <w:color w:val="000000" w:themeColor="text1"/>
          <w14:textFill>
            <w14:solidFill>
              <w14:schemeClr w14:val="tx1"/>
            </w14:solidFill>
          </w14:textFill>
        </w:rPr>
      </w:pPr>
    </w:p>
    <w:p w14:paraId="0BBBAD49">
      <w:pPr>
        <w:pStyle w:val="4"/>
        <w:numPr>
          <w:ilvl w:val="0"/>
          <w:numId w:val="33"/>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股份支付</w:t>
      </w:r>
    </w:p>
    <w:sdt>
      <w:sdtPr>
        <w:rPr>
          <w:rFonts w:hint="eastAsia"/>
          <w:color w:val="000000" w:themeColor="text1"/>
          <w14:textFill>
            <w14:solidFill>
              <w14:schemeClr w14:val="tx1"/>
            </w14:solidFill>
          </w14:textFill>
        </w:rPr>
        <w:alias w:val="是否适用：股份支付_重要会计政策和估计[双击切换]"/>
        <w:tag w:val="_GBC_cfe00a6b35f24950855f2412f34bcf7a"/>
        <w:id w:val="804434555"/>
        <w:placeholder>
          <w:docPart w:val="GBC22222222222222222222222222222"/>
        </w:placeholder>
      </w:sdtPr>
      <w:sdtEndPr>
        <w:rPr>
          <w:rFonts w:hint="eastAsia"/>
          <w:color w:val="000000" w:themeColor="text1"/>
          <w14:textFill>
            <w14:solidFill>
              <w14:schemeClr w14:val="tx1"/>
            </w14:solidFill>
          </w14:textFill>
        </w:rPr>
      </w:sdtEndPr>
      <w:sdtContent>
        <w:p w14:paraId="39F37B1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股份支付的核算方法"/>
        <w:tag w:val="_GBC_99e197c555ed4cf8aa00bbd5da2fe98b"/>
        <w:id w:val="1931237460"/>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股份支付的核算方法"/>
            <w:tag w:val="_GBC_99e197c555ed4cf8aa00bbd5da2fe98b"/>
            <w:id w:val="394168645"/>
          </w:sdtPr>
          <w:sdtEndPr>
            <w:rPr>
              <w:color w:val="000000" w:themeColor="text1"/>
              <w14:textFill>
                <w14:solidFill>
                  <w14:schemeClr w14:val="tx1"/>
                </w14:solidFill>
              </w14:textFill>
            </w:rPr>
          </w:sdtEndPr>
          <w:sdtContent>
            <w:p w14:paraId="57A09E5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公司的股份支付是为了获取职工或其他方提供服务而授予权益工具或者承担以权益工具为基础确定的负债的交易。公司的股份支付分为以权益结算的股份支付和以现金结算的股份支付。        </w:t>
              </w:r>
            </w:p>
            <w:p w14:paraId="1A36CAA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用以换取职工提供服务的以权益结算的股份支付，本公司以授予职工权益工具在授予日的公允价值计量。在等待期内每个资产负债表日，本公司根据最新取得的可行权职工人数变动、是否达到规定业绩条件等后续信息对可行权权益工具数量作出最佳估计，以此为基础，按照授予日的公允价值，将当期取得的服务计入相关成本或费用，相应增加资本公积。在可行权日之后不再对已确认的相关成本或费用和所有者权益总额进行调整。但授予后立即可行权的，在授予日按照公允价值计入相关成本或费用，相应增加资本公积。    </w:t>
              </w:r>
            </w:p>
            <w:p w14:paraId="356E55C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以现金结算的股份支付，按照本公司承担的以股份或其他权益工具为基础确定的负债的公允价值计量。如授予后立即可行权，在授予日以承担负债的公允价值计入相关成本或费用，相应增加负债；如需完成等待期内的服务或达到规定业绩条件以后才可行权，在等待期的每个资产负债表日，以对可行权情况的最佳估计为基础，按照本公司承担负债的公允价值金额，将当期取得的服务计入成本或费用，相应调整负债。在相关负债结算前的每个资产负债表日以及结算日，对负债的公允价值重新计量，其变动计入当期损益。    </w:t>
              </w:r>
            </w:p>
            <w:p w14:paraId="3DC248E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对股份支付计划进行修改时，若修改增加了所授予权益工具的公允价值，按照权益工具公允价值的增加相应地确认取得服务的增加；若修改增加了所授予权益工具的数量，则将增加的权益工具的公允价值相应地确认为取得服务的增加。权益工具公允价值的增加是指修改前后的权益工具在修改日的公允价值之间的差额。如果公司按照有利于职工的方式修改可行权条件，如缩短等待期、变更或取消业绩条件（而非市场条件），公司在处理可行权条件时，应当考虑修改后的可行权条件。若修改减少了股份支付公允价值总额或采用了其他不利于职工的方式修改股份支付计划的条款和条件，则仍继续对取得的服务进行会计处理，视同该变更从未发生，除非本公司取消了部分或全部已授予的权益工具。     </w:t>
              </w:r>
            </w:p>
            <w:p w14:paraId="4CC7378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等待期内，如果取消了授予的权益工具，本公司对取消所授予的权益性工具作为加速行权处理，将剩余等待期内应确认的金额立即计入当期损益，同时确认资本公积。职工或其他方能够选择满足非可行权条件但在等待期内未满足的，本公司将其作为授予权益工具的取消处理。</w:t>
              </w:r>
            </w:p>
          </w:sdtContent>
        </w:sdt>
      </w:sdtContent>
    </w:sdt>
    <w:p w14:paraId="11AA9CD3">
      <w:pPr>
        <w:rPr>
          <w:color w:val="000000" w:themeColor="text1"/>
          <w14:textFill>
            <w14:solidFill>
              <w14:schemeClr w14:val="tx1"/>
            </w14:solidFill>
          </w14:textFill>
        </w:rPr>
      </w:pPr>
    </w:p>
    <w:p w14:paraId="594F0F83">
      <w:pPr>
        <w:pStyle w:val="4"/>
        <w:numPr>
          <w:ilvl w:val="0"/>
          <w:numId w:val="33"/>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优先股、永续债等其他金融工具</w:t>
      </w:r>
    </w:p>
    <w:sdt>
      <w:sdtPr>
        <w:rPr>
          <w:rFonts w:hint="eastAsia"/>
          <w:color w:val="000000" w:themeColor="text1"/>
          <w14:textFill>
            <w14:solidFill>
              <w14:schemeClr w14:val="tx1"/>
            </w14:solidFill>
          </w14:textFill>
        </w:rPr>
        <w:alias w:val="是否适用：优先股、永续债等其他金融工具[双击切换]"/>
        <w:tag w:val="_GBC_34eb80e2168144958293aa1351780303"/>
        <w:id w:val="-289592905"/>
        <w:placeholder>
          <w:docPart w:val="GBC22222222222222222222222222222"/>
        </w:placeholder>
      </w:sdtPr>
      <w:sdtEndPr>
        <w:rPr>
          <w:rFonts w:hint="eastAsia"/>
          <w:color w:val="000000" w:themeColor="text1"/>
          <w14:textFill>
            <w14:solidFill>
              <w14:schemeClr w14:val="tx1"/>
            </w14:solidFill>
          </w14:textFill>
        </w:rPr>
      </w:sdtEndPr>
      <w:sdtContent>
        <w:p w14:paraId="75E7686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99DA949">
      <w:pPr>
        <w:rPr>
          <w:color w:val="000000" w:themeColor="text1"/>
          <w14:textFill>
            <w14:solidFill>
              <w14:schemeClr w14:val="tx1"/>
            </w14:solidFill>
          </w14:textFill>
        </w:rPr>
      </w:pPr>
    </w:p>
    <w:p w14:paraId="40743C3F">
      <w:pPr>
        <w:pStyle w:val="4"/>
        <w:numPr>
          <w:ilvl w:val="0"/>
          <w:numId w:val="33"/>
        </w:numPr>
        <w:rPr>
          <w:rFonts w:hint="eastAsia" w:ascii="宋体" w:hAnsi="宋体"/>
          <w:color w:val="000000" w:themeColor="text1"/>
          <w14:textFill>
            <w14:solidFill>
              <w14:schemeClr w14:val="tx1"/>
            </w14:solidFill>
          </w14:textFill>
        </w:rPr>
      </w:pPr>
      <w:bookmarkStart w:id="152" w:name="_Hlk10465559"/>
      <w:r>
        <w:rPr>
          <w:rFonts w:ascii="宋体" w:hAnsi="宋体"/>
          <w:color w:val="000000" w:themeColor="text1"/>
          <w14:textFill>
            <w14:solidFill>
              <w14:schemeClr w14:val="tx1"/>
            </w14:solidFill>
          </w14:textFill>
        </w:rPr>
        <w:t>收入</w:t>
      </w:r>
    </w:p>
    <w:p w14:paraId="463817DA">
      <w:pPr>
        <w:pStyle w:val="5"/>
        <w:numPr>
          <w:ilvl w:val="3"/>
          <w:numId w:val="47"/>
        </w:numPr>
        <w:ind w:left="426" w:hanging="42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按照业务类型披露收入确认和计量所采用的会计政策</w:t>
      </w:r>
    </w:p>
    <w:sdt>
      <w:sdtPr>
        <w:rPr>
          <w:color w:val="000000" w:themeColor="text1"/>
          <w14:textFill>
            <w14:solidFill>
              <w14:schemeClr w14:val="tx1"/>
            </w14:solidFill>
          </w14:textFill>
        </w:rPr>
        <w:alias w:val="是否适用：收入确认和计量所采用的会计政策[双击切换]"/>
        <w:tag w:val="_GBC_b6eb71cc057645f3b05fb68d8273c681"/>
        <w:id w:val="248468614"/>
        <w:placeholder>
          <w:docPart w:val="GBC22222222222222222222222222222"/>
        </w:placeholder>
      </w:sdtPr>
      <w:sdtEndPr>
        <w:rPr>
          <w:color w:val="000000" w:themeColor="text1"/>
          <w14:textFill>
            <w14:solidFill>
              <w14:schemeClr w14:val="tx1"/>
            </w14:solidFill>
          </w14:textFill>
        </w:rPr>
      </w:sdtEndPr>
      <w:sdtContent>
        <w:p w14:paraId="70F7CD4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alias w:val="收入确认和计量所采用的会计政策"/>
        <w:tag w:val="_GBC_c9c2b3029c08405387c460d2d7eacc7d"/>
        <w:id w:val="-313797252"/>
        <w:placeholder>
          <w:docPart w:val="GBC22222222222222222222222222222"/>
        </w:placeholder>
      </w:sdtPr>
      <w:sdtEndPr>
        <w:rPr>
          <w:color w:val="000000" w:themeColor="text1"/>
          <w14:textFill>
            <w14:solidFill>
              <w14:schemeClr w14:val="tx1"/>
            </w14:solidFill>
          </w14:textFill>
        </w:rPr>
      </w:sdtEndPr>
      <w:sdtContent>
        <w:sdt>
          <w:sdtPr>
            <w:alias w:val="收入确认和计量所采用的会计政策"/>
            <w:tag w:val="_GBC_c9c2b3029c08405387c460d2d7eacc7d"/>
            <w:id w:val="1489134835"/>
          </w:sdtPr>
          <w:sdtEndPr>
            <w:rPr>
              <w:color w:val="000000" w:themeColor="text1"/>
              <w14:textFill>
                <w14:solidFill>
                  <w14:schemeClr w14:val="tx1"/>
                </w14:solidFill>
              </w14:textFill>
            </w:rPr>
          </w:sdtEndPr>
          <w:sdtContent>
            <w:p w14:paraId="517C5D21">
              <w:pPr>
                <w:spacing w:line="360" w:lineRule="auto"/>
                <w:ind w:firstLine="420" w:firstLineChars="200"/>
                <w:rPr>
                  <w:color w:val="000000" w:themeColor="text1"/>
                  <w14:textFill>
                    <w14:solidFill>
                      <w14:schemeClr w14:val="tx1"/>
                    </w14:solidFill>
                  </w14:textFill>
                </w:rPr>
              </w:pPr>
              <w:r>
                <w:rPr>
                  <w:rFonts w:hint="eastAsia"/>
                </w:rPr>
                <w:t>（1）</w:t>
              </w:r>
              <w:r>
                <w:rPr>
                  <w:rFonts w:hint="eastAsia"/>
                  <w:color w:val="000000" w:themeColor="text1"/>
                  <w14:textFill>
                    <w14:solidFill>
                      <w14:schemeClr w14:val="tx1"/>
                    </w14:solidFill>
                  </w14:textFill>
                </w:rPr>
                <w:t>一般原则</w:t>
              </w:r>
            </w:p>
            <w:p w14:paraId="63D80DF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本公司与客户之间的合同同时满足下列条件时，在客户取得相关商品控制权时确认收入：合</w:t>
              </w:r>
            </w:p>
            <w:p w14:paraId="729BE630">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同各方已批准该合同并承诺将履行各自义务；合同明确了合同各方与所转让商品或提供劳务相关</w:t>
              </w:r>
            </w:p>
            <w:p w14:paraId="61DAA124">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的权利和义务；合同有明确的与所转让商品相关的支付条款；合同具有商业实质，即履行该合同</w:t>
              </w:r>
            </w:p>
            <w:p w14:paraId="1B64DCE3">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将改变公司未来现金流量的风险、时间分布或金额；本公司因向客户转让商品而有权取得的对价</w:t>
              </w:r>
            </w:p>
            <w:p w14:paraId="69EA2EC8">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很可能收回。</w:t>
              </w:r>
            </w:p>
            <w:p w14:paraId="0B03974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在合同开始日，本公司识别合同中存在的各单项履约义务，并将交易价格按照各单项履约义务所承诺商品的单独售价的相对比例分摊至各单项履约义务。本公司在确定交易价格时考虑了可</w:t>
              </w:r>
            </w:p>
            <w:p w14:paraId="189CFB7B">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变对价、合同中存在的重大融资成分、非现金对价、应付客户对价等因素的影响。</w:t>
              </w:r>
            </w:p>
            <w:p w14:paraId="053A26E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合同中的每个单项履约义务，如果满足下列条件之一的，本公司在相关履约时段内按照履约进度将分摊至该单项履约义务的交易价格确认为收入：客户在本公司履约的同时即取得并消耗公司履约所带来的经济利益；客户能够控制本公司履约过程中在建的商品；本公司履约过程中所产出的商品具有不可替代用途，且本公司在整个合同期间内有权就累计至今已完成的履约部分收取款项。履约进度根据所转让商品的性质采用投入法或产出法确定，当履约进度不能合理确定时，本公司已经发生的成本预计能够得到补偿的，按照已经发生的成本金额确认收入，直到履约进度能够合理确定为止。</w:t>
              </w:r>
            </w:p>
            <w:p w14:paraId="56020F9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如果不满足上述条件之一，则本公司在客户取得相关商品控制权的时点将分摊至该单项履约</w:t>
              </w:r>
            </w:p>
            <w:p w14:paraId="281D69ED">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义务的交易价格确认收入。在判断客户是否已取得商品控制权时，本公司考虑下列迹象：本公司</w:t>
              </w:r>
            </w:p>
            <w:p w14:paraId="0B7580EB">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就该商品享有现时收款权利，即客户就该商品负有现时付款义务；本公司已将该商品的法定所有</w:t>
              </w:r>
            </w:p>
            <w:p w14:paraId="35DF665A">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权转移给客户，即客户已拥有该商品的法定所有权；本公司已将该商品实物转移给客户，即客户</w:t>
              </w:r>
            </w:p>
            <w:p w14:paraId="56666043">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已实物占有该商品；本公司已将该商品所有权上的主要风险和报酬转移给客户，即客户已取得该</w:t>
              </w:r>
            </w:p>
            <w:p w14:paraId="2BCDB047">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商品所有权上的主要风险和报酬；客户已接受该商品；其他表明客户已取得商品控制权的迹象。</w:t>
              </w:r>
            </w:p>
          </w:sdtContent>
        </w:sdt>
      </w:sdtContent>
    </w:sdt>
    <w:bookmarkEnd w:id="152"/>
    <w:p w14:paraId="0CF0512A">
      <w:pPr>
        <w:pStyle w:val="5"/>
        <w:numPr>
          <w:ilvl w:val="3"/>
          <w:numId w:val="47"/>
        </w:numPr>
        <w:ind w:left="426" w:hanging="426"/>
        <w:rPr>
          <w:rFonts w:hint="eastAsia" w:ascii="宋体" w:hAnsi="宋体"/>
          <w:color w:val="000000" w:themeColor="text1"/>
          <w:szCs w:val="21"/>
          <w14:textFill>
            <w14:solidFill>
              <w14:schemeClr w14:val="tx1"/>
            </w14:solidFill>
          </w14:textFill>
        </w:rPr>
      </w:pPr>
      <w:bookmarkStart w:id="153" w:name="_Hlk10465594"/>
      <w:r>
        <w:rPr>
          <w:rFonts w:hint="eastAsia" w:ascii="宋体" w:hAnsi="宋体"/>
          <w:color w:val="000000" w:themeColor="text1"/>
          <w:szCs w:val="21"/>
          <w14:textFill>
            <w14:solidFill>
              <w14:schemeClr w14:val="tx1"/>
            </w14:solidFill>
          </w14:textFill>
        </w:rPr>
        <w:t>同类业务采用不同经营模式涉及</w:t>
      </w:r>
      <w:r>
        <w:rPr>
          <w:rFonts w:cs="宋体"/>
          <w:color w:val="000000" w:themeColor="text1"/>
          <w:kern w:val="0"/>
          <w:szCs w:val="21"/>
          <w14:textFill>
            <w14:solidFill>
              <w14:schemeClr w14:val="tx1"/>
            </w14:solidFill>
          </w14:textFill>
        </w:rPr>
        <w:t>不同收入确认方式及计量方法</w:t>
      </w:r>
    </w:p>
    <w:sdt>
      <w:sdtPr>
        <w:rPr>
          <w:color w:val="000000" w:themeColor="text1"/>
          <w14:textFill>
            <w14:solidFill>
              <w14:schemeClr w14:val="tx1"/>
            </w14:solidFill>
          </w14:textFill>
        </w:rPr>
        <w:alias w:val="是否适用：同类业务采用不同经营模式导致收入确认会计政策存在差异的情况[双击切换]"/>
        <w:tag w:val="_GBC_f4f4337356c44180a833322bec4248a8"/>
        <w:id w:val="1664731293"/>
        <w:placeholder>
          <w:docPart w:val="GBC22222222222222222222222222222"/>
        </w:placeholder>
      </w:sdtPr>
      <w:sdtEndPr>
        <w:rPr>
          <w:color w:val="000000" w:themeColor="text1"/>
          <w14:textFill>
            <w14:solidFill>
              <w14:schemeClr w14:val="tx1"/>
            </w14:solidFill>
          </w14:textFill>
        </w:rPr>
      </w:sdtEndPr>
      <w:sdtContent>
        <w:p w14:paraId="7A6662A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同类业务采用不同经营模式导致收入确认会计政策存在差异的情况"/>
        <w:tag w:val="_GBC_7acccdb5c4b74eea966ff1844cb85072"/>
        <w:id w:val="-1850561507"/>
        <w:placeholder>
          <w:docPart w:val="GBC22222222222222222222222222222"/>
        </w:placeholder>
      </w:sdtPr>
      <w:sdtEndPr>
        <w:rPr>
          <w:color w:val="000000" w:themeColor="text1"/>
          <w14:textFill>
            <w14:solidFill>
              <w14:schemeClr w14:val="tx1"/>
            </w14:solidFill>
          </w14:textFill>
        </w:rPr>
      </w:sdtEndPr>
      <w:sdtContent>
        <w:p w14:paraId="44E40C9E">
          <w:pPr>
            <w:spacing w:line="360" w:lineRule="auto"/>
            <w:ind w:firstLine="420" w:firstLineChars="200"/>
            <w:rPr>
              <w:color w:val="000000" w:themeColor="text1"/>
              <w14:textFill>
                <w14:solidFill>
                  <w14:schemeClr w14:val="tx1"/>
                </w14:solidFill>
              </w14:textFill>
            </w:rPr>
          </w:pPr>
          <w:sdt>
            <w:sdtPr>
              <w:rPr>
                <w:color w:val="000000" w:themeColor="text1"/>
                <w14:textFill>
                  <w14:solidFill>
                    <w14:schemeClr w14:val="tx1"/>
                  </w14:solidFill>
                </w14:textFill>
              </w:rPr>
              <w:alias w:val="同类业务采用不同经营模式导致收入确认会计政策存在差异的情况"/>
              <w:tag w:val="_GBC_7acccdb5c4b74eea966ff1844cb85072"/>
              <w:id w:val="-1682888234"/>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本公司向客户销售海参、鱼获及其他水产品加工品以及其他加工食品，属于在某一时点履行履约义务，在履约义务完成时确认收入。本公司的商品销售分为内销业务和出口业务两种，内销业务将货物发给客户由客户收到后确认收入，出口业务以货物报关出口后确认收入。</w:t>
              </w:r>
            </w:sdtContent>
          </w:sdt>
        </w:p>
      </w:sdtContent>
    </w:sdt>
    <w:p w14:paraId="7BC4E2C9">
      <w:pPr>
        <w:rPr>
          <w:color w:val="000000" w:themeColor="text1"/>
          <w14:textFill>
            <w14:solidFill>
              <w14:schemeClr w14:val="tx1"/>
            </w14:solidFill>
          </w14:textFill>
        </w:rPr>
      </w:pPr>
    </w:p>
    <w:bookmarkEnd w:id="153"/>
    <w:p w14:paraId="4B3D2D9C">
      <w:pPr>
        <w:pStyle w:val="4"/>
        <w:numPr>
          <w:ilvl w:val="0"/>
          <w:numId w:val="33"/>
        </w:numPr>
        <w:rPr>
          <w:rFonts w:hint="eastAsia" w:ascii="宋体" w:hAnsi="宋体"/>
          <w:color w:val="000000" w:themeColor="text1"/>
          <w:szCs w:val="21"/>
          <w14:textFill>
            <w14:solidFill>
              <w14:schemeClr w14:val="tx1"/>
            </w14:solidFill>
          </w14:textFill>
        </w:rPr>
      </w:pPr>
      <w:bookmarkStart w:id="154" w:name="_Hlk10465679"/>
      <w:r>
        <w:rPr>
          <w:rFonts w:hint="eastAsia" w:ascii="宋体" w:hAnsi="宋体"/>
          <w:color w:val="000000" w:themeColor="text1"/>
          <w:szCs w:val="21"/>
          <w14:textFill>
            <w14:solidFill>
              <w14:schemeClr w14:val="tx1"/>
            </w14:solidFill>
          </w14:textFill>
        </w:rPr>
        <w:t>合同成本</w:t>
      </w:r>
    </w:p>
    <w:sdt>
      <w:sdtPr>
        <w:rPr>
          <w:color w:val="000000" w:themeColor="text1"/>
          <w14:textFill>
            <w14:solidFill>
              <w14:schemeClr w14:val="tx1"/>
            </w14:solidFill>
          </w14:textFill>
        </w:rPr>
        <w:alias w:val="是否适用：合同成本_重要会计政策和估计[双击切换]"/>
        <w:tag w:val="_GBC_d7752b20e4914f04bf87bad019929fe8"/>
        <w:id w:val="302201203"/>
        <w:placeholder>
          <w:docPart w:val="GBC22222222222222222222222222222"/>
        </w:placeholder>
      </w:sdtPr>
      <w:sdtEndPr>
        <w:rPr>
          <w:color w:val="000000" w:themeColor="text1"/>
          <w14:textFill>
            <w14:solidFill>
              <w14:schemeClr w14:val="tx1"/>
            </w14:solidFill>
          </w14:textFill>
        </w:rPr>
      </w:sdtEndPr>
      <w:sdtContent>
        <w:p w14:paraId="260A729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9DA5248">
      <w:pPr>
        <w:rPr>
          <w:color w:val="000000" w:themeColor="text1"/>
          <w14:textFill>
            <w14:solidFill>
              <w14:schemeClr w14:val="tx1"/>
            </w14:solidFill>
          </w14:textFill>
        </w:rPr>
      </w:pPr>
    </w:p>
    <w:bookmarkEnd w:id="154"/>
    <w:p w14:paraId="47938F0A">
      <w:pPr>
        <w:pStyle w:val="4"/>
        <w:numPr>
          <w:ilvl w:val="0"/>
          <w:numId w:val="33"/>
        </w:numPr>
        <w:rPr>
          <w:rFonts w:hint="eastAsia" w:ascii="宋体" w:hAnsi="宋体"/>
          <w:color w:val="000000" w:themeColor="text1"/>
          <w14:textFill>
            <w14:solidFill>
              <w14:schemeClr w14:val="tx1"/>
            </w14:solidFill>
          </w14:textFill>
        </w:rPr>
      </w:pPr>
      <w:bookmarkStart w:id="155" w:name="_Hlk10465775"/>
      <w:r>
        <w:rPr>
          <w:rFonts w:ascii="宋体" w:hAnsi="宋体"/>
          <w:color w:val="000000" w:themeColor="text1"/>
          <w14:textFill>
            <w14:solidFill>
              <w14:schemeClr w14:val="tx1"/>
            </w14:solidFill>
          </w14:textFill>
        </w:rPr>
        <w:t>政府补助</w:t>
      </w:r>
    </w:p>
    <w:sdt>
      <w:sdtPr>
        <w:rPr>
          <w:color w:val="000000" w:themeColor="text1"/>
          <w14:textFill>
            <w14:solidFill>
              <w14:schemeClr w14:val="tx1"/>
            </w14:solidFill>
          </w14:textFill>
        </w:rPr>
        <w:alias w:val="是否适用：政府补助_重要会计政策和估计[双击切换]"/>
        <w:tag w:val="_GBC_09d5ec3540ea4d9a8e10c93326c490a0"/>
        <w:id w:val="-1796201466"/>
        <w:placeholder>
          <w:docPart w:val="GBC22222222222222222222222222222"/>
        </w:placeholder>
      </w:sdtPr>
      <w:sdtEndPr>
        <w:rPr>
          <w:color w:val="000000" w:themeColor="text1"/>
          <w14:textFill>
            <w14:solidFill>
              <w14:schemeClr w14:val="tx1"/>
            </w14:solidFill>
          </w14:textFill>
        </w:rPr>
      </w:sdtEndPr>
      <w:sdtContent>
        <w:p w14:paraId="02E3484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政府补助_重要会计政策和估计"/>
        <w:tag w:val="_GBC_f313a7b8b81b4ed0845a3af1ac57e5e8"/>
        <w:id w:val="907964219"/>
        <w:placeholder>
          <w:docPart w:val="GBC22222222222222222222222222222"/>
        </w:placeholder>
      </w:sdtPr>
      <w:sdtEndPr>
        <w:rPr>
          <w:color w:val="auto"/>
        </w:rPr>
      </w:sdtEndPr>
      <w:sdtContent>
        <w:sdt>
          <w:sdtPr>
            <w:rPr>
              <w:color w:val="000000" w:themeColor="text1"/>
              <w14:textFill>
                <w14:solidFill>
                  <w14:schemeClr w14:val="tx1"/>
                </w14:solidFill>
              </w14:textFill>
            </w:rPr>
            <w:alias w:val="政府补助_重要会计政策和估计"/>
            <w:tag w:val="_GBC_f313a7b8b81b4ed0845a3af1ac57e5e8"/>
            <w:id w:val="-45381361"/>
          </w:sdtPr>
          <w:sdtEndPr>
            <w:rPr>
              <w:color w:val="auto"/>
            </w:rPr>
          </w:sdtEndPr>
          <w:sdtContent>
            <w:p w14:paraId="24E1F22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（1）政府补助类型</w:t>
              </w:r>
            </w:p>
            <w:p w14:paraId="0B146CE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政府补助是指本公司从政府无偿取得的货币性资产或非货币性资产（但不包括政府作</w:t>
              </w:r>
            </w:p>
            <w:p w14:paraId="12B7E853">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为所有者投入的资本），主要划分为与资产相关的政府补助和与收益相关的政府补助两种类型。政府补助为货币性资产的，按照收到或应收的金额计量。政府补助为非货币性资产的，按照公允价值计量；公允价值不能够可靠取得的，按照名义金额计量。按照名义金额计量的政府补助，直接计入当期损益。    </w:t>
              </w:r>
            </w:p>
            <w:p w14:paraId="7C59E48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（2）与资产相关的政府补助的会计处理方法    </w:t>
              </w:r>
            </w:p>
            <w:p w14:paraId="61735EF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与资产相关的政府补助，是指本公司取得的、用于购建或以其他方式形成长期资产的政府补助。本公司对与资产相关的政府补助，冲减相关资产账面价值或确认为递延收益，确认为递延收益的，在相关资产使用寿命内按照合理、系统的方法分期计入当期损益（与本公司日常活动相关的，计入其他收益；与本公司日常活动无关的，计入营业外收入）；    </w:t>
              </w:r>
            </w:p>
            <w:p w14:paraId="3C8BD33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（3）与收益相关的政府补助的会计处理方法    </w:t>
              </w:r>
            </w:p>
            <w:p w14:paraId="2305F51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与收益相关的政府补助，是指本公司取得的除与资产相关的政府补助之外的政府补助。本公司对与收益相关的政府补助，用于补偿本公司以后期间的相关成本费用或损失的，确认为递延收益，并在确认相关成本费用或损失的期间，计入当期损益（与本公司日常活动相关的，计入其他收益；与本公司日常活动无关的，计入营业外收入）或冲减相关成本费用或损失；用于补偿本公司已发生的相关成本费用或损失的，直接计入当期损益（与本公司日常活动相关的，计入其他收益；与本公司日常活动无关的，计入营业外收入）或冲减相关成本费用或损失。    </w:t>
              </w:r>
            </w:p>
            <w:p w14:paraId="1E5A539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本公司取得的政策性优惠贷款贴息，区分以下两种情况，分别进行会计处理：    </w:t>
              </w:r>
            </w:p>
            <w:p w14:paraId="1A3C6BF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①财政将贴息资金拨付给贷款银行，由贷款银行以政策性优惠利率向本公司提供贷款的，本公司以实际收到的借款金额作为借款的入账价值，按照借款本金和该政策性优惠利率计算相关借款费用。    </w:t>
              </w:r>
            </w:p>
            <w:p w14:paraId="0D3686BF">
              <w:pPr>
                <w:pStyle w:val="55"/>
                <w:spacing w:line="360" w:lineRule="auto"/>
                <w:ind w:left="420" w:firstLine="0" w:firstLineChars="0"/>
                <w:rPr>
                  <w:color w:val="000000" w:themeColor="text1"/>
                  <w14:textFill>
                    <w14:solidFill>
                      <w14:schemeClr w14:val="tx1"/>
                    </w14:solidFill>
                  </w14:textFill>
                </w:rPr>
              </w:pPr>
              <w:r>
                <w:rPr>
                  <w:rFonts w:hint="eastAsia" w:ascii="BatangChe" w:hAnsi="BatangChe" w:eastAsia="BatangChe"/>
                  <w:color w:val="000000" w:themeColor="text1"/>
                  <w14:textFill>
                    <w14:solidFill>
                      <w14:schemeClr w14:val="tx1"/>
                    </w14:solidFill>
                  </w14:textFill>
                </w:rPr>
                <w:t>②</w:t>
              </w:r>
              <w:r>
                <w:rPr>
                  <w:rFonts w:hint="eastAsia"/>
                  <w:color w:val="000000" w:themeColor="text1"/>
                  <w14:textFill>
                    <w14:solidFill>
                      <w14:schemeClr w14:val="tx1"/>
                    </w14:solidFill>
                  </w14:textFill>
                </w:rPr>
                <w:t xml:space="preserve">财政将贴息资金直接拨付给本公司的，本公司将对应的贴息冲减相关借款费用。     </w:t>
              </w:r>
            </w:p>
            <w:p w14:paraId="3E475350">
              <w:pPr>
                <w:pStyle w:val="55"/>
                <w:spacing w:line="360" w:lineRule="auto"/>
                <w:ind w:left="420"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（4）区分与资产相关政府补助和与收益相关政府补助的判断依据    </w:t>
              </w:r>
            </w:p>
            <w:p w14:paraId="1DADBF3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本公司取得的、用于构建或以其他方式形成长期资产的政府补助，确认为与资产相关的政府补助。    </w:t>
              </w:r>
            </w:p>
            <w:p w14:paraId="02CA9D54">
              <w:pPr>
                <w:pStyle w:val="55"/>
                <w:spacing w:line="360" w:lineRule="auto"/>
                <w:ind w:left="420"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本公司取得的除与资产相关的政府补助之外的政府补助，确认为与收益相关的政府补助。    企业取得的综合性项目补助，依据批准文件或申请文件将其划分为与资产相关的政府补助和</w:t>
              </w:r>
            </w:p>
            <w:p w14:paraId="679C6C58">
              <w:pPr>
                <w:spacing w:line="360" w:lineRule="auto"/>
                <w:ind w:left="420" w:hanging="420" w:hanging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与收益相关的政府补助。难以区分的，将政府补助整体归类为与收益相关的政府补助。    （5）政府补助的确认时点    </w:t>
              </w:r>
            </w:p>
            <w:p w14:paraId="3F4F2801">
              <w:pPr>
                <w:spacing w:line="360" w:lineRule="auto"/>
                <w:ind w:left="420" w:leftChars="200"/>
                <w:rPr>
                  <w:color w:val="000000" w:themeColor="text1"/>
                  <w14:textFill>
                    <w14:solidFill>
                      <w14:schemeClr w14:val="tx1"/>
                    </w14:solidFill>
                  </w14:textFill>
                </w:rPr>
              </w:pPr>
              <w:r>
                <w:rPr>
                  <w:rFonts w:hint="eastAsia"/>
                  <w:color w:val="000000" w:themeColor="text1"/>
                  <w14:textFill>
                    <w14:solidFill>
                      <w14:schemeClr w14:val="tx1"/>
                    </w14:solidFill>
                  </w14:textFill>
                </w:rPr>
                <w:t>按照应收金额计量的政府补助，公司在期末有确凿证据表明能够符合财政扶持政策规定的相</w:t>
              </w:r>
            </w:p>
            <w:p w14:paraId="3FD96EE2">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关条件且预计能够收到财政扶持资金时予以确认。    </w:t>
              </w:r>
            </w:p>
            <w:p w14:paraId="645896D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除按照应收金额计量的政府补助外的其他政府补助，公司在实际收到补助款项时予以确认。</w:t>
              </w:r>
            </w:p>
          </w:sdtContent>
        </w:sdt>
      </w:sdtContent>
    </w:sdt>
    <w:bookmarkEnd w:id="155"/>
    <w:p w14:paraId="35A0C301">
      <w:pPr>
        <w:spacing w:line="360" w:lineRule="auto"/>
        <w:rPr>
          <w:color w:val="000000" w:themeColor="text1"/>
          <w14:textFill>
            <w14:solidFill>
              <w14:schemeClr w14:val="tx1"/>
            </w14:solidFill>
          </w14:textFill>
        </w:rPr>
      </w:pPr>
    </w:p>
    <w:p w14:paraId="7365CD9C">
      <w:pPr>
        <w:pStyle w:val="4"/>
        <w:numPr>
          <w:ilvl w:val="0"/>
          <w:numId w:val="33"/>
        </w:numP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递延所得税资产/递延所得税负债</w:t>
      </w:r>
    </w:p>
    <w:sdt>
      <w:sdtPr>
        <w:rPr>
          <w:rFonts w:hint="eastAsia"/>
          <w:color w:val="000000" w:themeColor="text1"/>
          <w14:textFill>
            <w14:solidFill>
              <w14:schemeClr w14:val="tx1"/>
            </w14:solidFill>
          </w14:textFill>
        </w:rPr>
        <w:alias w:val="是否适用：所得税的会计处理方法[双击切换]"/>
        <w:tag w:val="_GBC_3e4bb828d17944599248216201e65683"/>
        <w:id w:val="1985505669"/>
        <w:placeholder>
          <w:docPart w:val="GBC22222222222222222222222222222"/>
        </w:placeholder>
      </w:sdtPr>
      <w:sdtEndPr>
        <w:rPr>
          <w:rFonts w:hint="eastAsia"/>
          <w:color w:val="000000" w:themeColor="text1"/>
          <w14:textFill>
            <w14:solidFill>
              <w14:schemeClr w14:val="tx1"/>
            </w14:solidFill>
          </w14:textFill>
        </w:rPr>
      </w:sdtEndPr>
      <w:sdtContent>
        <w:p w14:paraId="238DC81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rFonts w:hint="eastAsia"/>
          <w:color w:val="000000" w:themeColor="text1"/>
          <w14:textFill>
            <w14:solidFill>
              <w14:schemeClr w14:val="tx1"/>
            </w14:solidFill>
          </w14:textFill>
        </w:rPr>
        <w:alias w:val="所得税的会计处理方法"/>
        <w:tag w:val="_GBC_545dd84ed2b9458fa5e2b87aa1e1cc1c"/>
        <w:id w:val="1913203332"/>
        <w:placeholder>
          <w:docPart w:val="GBC22222222222222222222222222222"/>
        </w:placeholder>
      </w:sdtPr>
      <w:sdtEndPr>
        <w:rPr>
          <w:rFonts w:hint="eastAsia"/>
          <w:color w:val="000000" w:themeColor="text1"/>
          <w14:textFill>
            <w14:solidFill>
              <w14:schemeClr w14:val="tx1"/>
            </w14:solidFill>
          </w14:textFill>
        </w:rPr>
      </w:sdtEndPr>
      <w:sdtContent>
        <w:sdt>
          <w:sdtPr>
            <w:rPr>
              <w:color w:val="000000" w:themeColor="text1"/>
              <w14:textFill>
                <w14:solidFill>
                  <w14:schemeClr w14:val="tx1"/>
                </w14:solidFill>
              </w14:textFill>
            </w:rPr>
            <w:alias w:val="所得税的会计处理方法"/>
            <w:tag w:val="_GBC_545dd84ed2b9458fa5e2b87aa1e1cc1c"/>
            <w:id w:val="-285895802"/>
          </w:sdtPr>
          <w:sdtEndPr>
            <w:rPr>
              <w:color w:val="000000" w:themeColor="text1"/>
              <w14:textFill>
                <w14:solidFill>
                  <w14:schemeClr w14:val="tx1"/>
                </w14:solidFill>
              </w14:textFill>
            </w:rPr>
          </w:sdtEndPr>
          <w:sdtContent>
            <w:p w14:paraId="2D3A06F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本公司递延所得税资产和递延所得税负债根据资产和负债的计税基础与其账面价值的差额(暂时性差异)计算确认。</w:t>
              </w:r>
            </w:p>
            <w:p w14:paraId="262B083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本公司对于可抵扣暂时性差异确认递延所得税资产，以未来期间很可能取得的用来抵扣可抵扣暂时性差异的应纳税所得额为限。对于能够结转以后年度的可抵扣亏损和税款抵减，以很可能获得用来抵扣可抵扣亏损和税款抵减的未来应纳税所得额为限，确认相应的递延所得税资产。对于应纳税暂时性差异，除特殊情况外，确认递延所得税负债。</w:t>
              </w:r>
            </w:p>
            <w:p w14:paraId="5BE77D9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本公司递延所得税资产的确认以很可能取得用来抵扣可抵扣暂时性差异的应纳税所得额为限。资产负债表日，有确凿证据表明未来期间很可能获得足够的应纳税所得额用来抵扣可抵扣暂时性差异的，确认以前会计期间未确认的递延所得税资产。如未来期间很可能无法获得足够的应纳税所得额用以抵扣递延所得税资产的，则减记递延所得税资产的账面价值。</w:t>
              </w:r>
            </w:p>
            <w:p w14:paraId="5ACB33D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本公司对与子公司及联营企业投资相关的应纳税暂时性差异，确认递延所得税负债，除非本公司能够控制暂时性差异转回的时间且该暂时性差异在可预见的未来很可能不会转回。本公司对与子公司及联营企业投资相关的可抵扣暂时性差异，当该暂时性差异在可预见的未来很可能转回且未来很可能获得用来抵扣可抵扣暂时性差异的应纳税所得额时，确认递延所得税资产。</w:t>
              </w:r>
            </w:p>
            <w:p w14:paraId="408FF12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本公司对于商誉的初始确认产生的暂时性差异，不确认相应的递延所得税负债。对于既不影响会计利润也不影响应纳税所得额(或可抵扣亏损)的非企业合并的交易中产生的资产或负债的初始确认形成的暂时性差异，不确认相应的递延所得税资产和递延所得税负债。资产负债表日，本公司递延所得税资产和递延所得税负债按照预期收回该资产或清偿该负债期间的适用税率计量。</w:t>
              </w:r>
            </w:p>
            <w:p w14:paraId="6D244F2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（5）同时满足下列条件的递延所得税资产和递延所得税负债以抵销后的净额列示：</w:t>
              </w:r>
            </w:p>
            <w:p w14:paraId="24FD2BB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A、递延所得税资产和递延所得税负债与同一税收征管部门对本公司内同一纳税主体征收的所得税相关；</w:t>
              </w:r>
            </w:p>
            <w:p w14:paraId="5104B56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B、本公司内该纳税主体拥有以净额结算当期所得税资产及当期所得税负债的法定权利。</w:t>
              </w:r>
            </w:p>
          </w:sdtContent>
        </w:sdt>
      </w:sdtContent>
    </w:sdt>
    <w:p w14:paraId="3CB010B4">
      <w:pPr>
        <w:pStyle w:val="4"/>
        <w:numPr>
          <w:ilvl w:val="0"/>
          <w:numId w:val="33"/>
        </w:numPr>
        <w:rPr>
          <w:rFonts w:hint="eastAsia" w:ascii="宋体" w:hAnsi="宋体" w:cs="宋体"/>
          <w:color w:val="000000" w:themeColor="text1"/>
          <w:kern w:val="0"/>
          <w:szCs w:val="22"/>
          <w14:textFill>
            <w14:solidFill>
              <w14:schemeClr w14:val="tx1"/>
            </w14:solidFill>
          </w14:textFill>
        </w:rPr>
      </w:pPr>
      <w:bookmarkStart w:id="156" w:name="_Hlk169007779"/>
      <w:bookmarkStart w:id="157" w:name="_Hlk167884177"/>
      <w:r>
        <w:rPr>
          <w:rFonts w:ascii="宋体" w:hAnsi="宋体" w:cs="宋体"/>
          <w:color w:val="000000" w:themeColor="text1"/>
          <w:kern w:val="0"/>
          <w:szCs w:val="22"/>
          <w14:textFill>
            <w14:solidFill>
              <w14:schemeClr w14:val="tx1"/>
            </w14:solidFill>
          </w14:textFill>
        </w:rPr>
        <w:t>租赁</w:t>
      </w:r>
    </w:p>
    <w:sdt>
      <w:sdtPr>
        <w:rPr>
          <w:color w:val="000000" w:themeColor="text1"/>
          <w14:textFill>
            <w14:solidFill>
              <w14:schemeClr w14:val="tx1"/>
            </w14:solidFill>
          </w14:textFill>
        </w:rPr>
        <w:alias w:val="是否适用：租赁_重要会计政策和估计[双击切换]"/>
        <w:tag w:val="_GBC_7f954ee357264e2c946d2c530d8787c5"/>
        <w:id w:val="1309821950"/>
        <w:placeholder>
          <w:docPart w:val="GBC22222222222222222222222222222"/>
        </w:placeholder>
      </w:sdtPr>
      <w:sdtEndPr>
        <w:rPr>
          <w:color w:val="000000" w:themeColor="text1"/>
          <w14:textFill>
            <w14:solidFill>
              <w14:schemeClr w14:val="tx1"/>
            </w14:solidFill>
          </w14:textFill>
        </w:rPr>
      </w:sdtEndPr>
      <w:sdtContent>
        <w:p w14:paraId="497D8C8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084E74A">
      <w:pPr>
        <w:rPr>
          <w:rFonts w:ascii="Calibri" w:hAnsi="Calibri" w:cs="Times New Roman"/>
          <w:b/>
          <w:color w:val="000000" w:themeColor="text1"/>
          <w:kern w:val="2"/>
          <w:szCs w:val="32"/>
          <w14:textFill>
            <w14:solidFill>
              <w14:schemeClr w14:val="tx1"/>
            </w14:solidFill>
          </w14:textFill>
        </w:rPr>
      </w:pPr>
      <w:r>
        <w:rPr>
          <w:rFonts w:ascii="Calibri" w:hAnsi="Calibri" w:cs="Times New Roman"/>
          <w:b/>
          <w:color w:val="000000" w:themeColor="text1"/>
          <w:kern w:val="2"/>
          <w:szCs w:val="32"/>
          <w14:textFill>
            <w14:solidFill>
              <w14:schemeClr w14:val="tx1"/>
            </w14:solidFill>
          </w14:textFill>
        </w:rPr>
        <w:t>作为承租方对短期租赁和低价值资产租赁进行简化处理的判断依据和会计处理方法</w:t>
      </w:r>
    </w:p>
    <w:sdt>
      <w:sdtPr>
        <w:rPr>
          <w:color w:val="000000" w:themeColor="text1"/>
          <w14:textFill>
            <w14:solidFill>
              <w14:schemeClr w14:val="tx1"/>
            </w14:solidFill>
          </w14:textFill>
        </w:rPr>
        <w:alias w:val="是否适用：作为承租方对短期租赁和低价值资产租赁进行简化处理的判断依据和会计处理方法[双击切换]"/>
        <w:tag w:val="_GBC_7bcaad3acb7c40ecbe59ad19b127555f"/>
        <w:id w:val="-1733073967"/>
        <w:placeholder>
          <w:docPart w:val="GBC22222222222222222222222222222"/>
        </w:placeholder>
      </w:sdtPr>
      <w:sdtEndPr>
        <w:rPr>
          <w:color w:val="000000" w:themeColor="text1"/>
          <w14:textFill>
            <w14:solidFill>
              <w14:schemeClr w14:val="tx1"/>
            </w14:solidFill>
          </w14:textFill>
        </w:rPr>
      </w:sdtEndPr>
      <w:sdtContent>
        <w:p w14:paraId="35A9F05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作为承租方对短期租赁和低价值资产租赁进行简化处理的判断依据和会计处理方法"/>
        <w:tag w:val="_GBC_83c59a0eb4ac4ef2afb783bc5dd4efb6"/>
        <w:id w:val="-1895954121"/>
        <w:placeholder>
          <w:docPart w:val="GBC22222222222222222222222222222"/>
        </w:placeholder>
      </w:sdtPr>
      <w:sdtEndPr>
        <w:rPr>
          <w:color w:val="000000" w:themeColor="text1"/>
          <w14:textFill>
            <w14:solidFill>
              <w14:schemeClr w14:val="tx1"/>
            </w14:solidFill>
          </w14:textFill>
        </w:rPr>
      </w:sdtEndPr>
      <w:sdtContent>
        <w:p w14:paraId="55D24BF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租赁，是指在一定期间内，出租人将资产的使用权让与承租人以获取对价的合同。</w:t>
          </w:r>
        </w:p>
        <w:p w14:paraId="6EBCF22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在合同开始日/变更日，本公司评估该合同是否为租赁或者包含租赁。如果合同中一方让渡了在一定期间内控制一项或多项已识别资产使用的权利以换取对价，则该合同为租赁或者包含租赁。除非合同条款和条件发生变化，本公司不重新评估合同是否为租赁或者包含租赁。    </w:t>
          </w:r>
        </w:p>
        <w:p w14:paraId="27A3731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合同中同时包含多项单独租赁的，承租人和出租人将合同予以分拆，并分别各项单独租赁进行会计处理。合同中同时包含租赁和非租赁部分的，承租人和出租人将租赁和非租赁部分进行分拆。      </w:t>
          </w:r>
        </w:p>
        <w:p w14:paraId="176FB92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（1） 本公司作为承租人    </w:t>
          </w:r>
        </w:p>
        <w:p w14:paraId="748FE43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A、使用权资产    </w:t>
          </w:r>
        </w:p>
        <w:p w14:paraId="785E0F9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使用权资产，是指公司作为承租人可在租赁期内使用租赁资产的权利。在租赁期开始日，公司作为承租人对租赁确认使用权资产和租赁负债，但简化处理的短期租赁和低价值资产租赁除外。</w:t>
          </w:r>
        </w:p>
        <w:p w14:paraId="358575F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本公司的使用权资产按照成本进行初始计量，该成本包括：</w:t>
          </w:r>
        </w:p>
        <w:p w14:paraId="76C403E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a租赁负债的初始计量金额；</w:t>
          </w:r>
        </w:p>
        <w:p w14:paraId="17EA84E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b 在租赁期开始日或之前支付的租赁付款额，存在租赁激励的，扣除已享受的租赁激励相关金额；</w:t>
          </w:r>
        </w:p>
        <w:p w14:paraId="1045D47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c本公司作为承租人发生的初始直接费用；</w:t>
          </w:r>
        </w:p>
        <w:p w14:paraId="4B88EF9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d本公司为拆卸及移除租赁资产、复原租赁资产所在场地或将租赁资产恢复至租赁条款约定</w:t>
          </w:r>
        </w:p>
        <w:p w14:paraId="5A2BC784">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状态预计将发生的成本。</w:t>
          </w:r>
        </w:p>
        <w:p w14:paraId="5F5B741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本公司采用平均年限法对使用权资产计提折旧。本公司能够合理确定租赁期届满时取得租赁</w:t>
          </w:r>
        </w:p>
        <w:p w14:paraId="5281EEE6">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资产所有权的，在租赁资产剩余使用寿命内计提折旧。无法合理确定租赁期届满时能够取得租赁</w:t>
          </w:r>
        </w:p>
        <w:p w14:paraId="68CAF029">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资产所有权的，本公司在租赁期与租赁资产剩余使用寿命两者孰短的期间内计提折旧。</w:t>
          </w:r>
        </w:p>
        <w:p w14:paraId="5DB6C52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本公司按照《企业会计准则第8号——资产减值》的规定，确定使用权资产是否发生减值，</w:t>
          </w:r>
        </w:p>
        <w:p w14:paraId="716E643F">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并对已识别的减值损失进行会计处理。</w:t>
          </w:r>
        </w:p>
        <w:p w14:paraId="47B6033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本公司根据准则重新计量租赁负债时，相应调整使用权资产的账面价值。如使用权资产的账</w:t>
          </w:r>
        </w:p>
        <w:p w14:paraId="47908D76">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面价值已调减至零，但租赁负债仍需进一步调减的，将剩余金额计入当期损益。</w:t>
          </w:r>
        </w:p>
        <w:p w14:paraId="16A5A9D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租赁变更导致租赁范围缩小或租赁期缩短的，本公司相应调减使用权资产的账面价值，并将部分终止或完全终止租赁的相关利得或损失计入当期损益。其他租赁变更导致租赁负债重新计量的，本公司相应调整使用权资产的账面价值。</w:t>
          </w:r>
        </w:p>
        <w:p w14:paraId="5C4E012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B、租赁负债</w:t>
          </w:r>
        </w:p>
        <w:p w14:paraId="7D0D7E1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在租赁期开始日，本公司作为承租人对租赁确认使用权资产和租赁负债，但简化处理的短期</w:t>
          </w:r>
        </w:p>
        <w:p w14:paraId="09AAE252">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租赁和低价值资产租赁除外。本公司的租赁负债按照租赁期开始日尚未支付的租赁付款额的现值</w:t>
          </w:r>
        </w:p>
        <w:p w14:paraId="0109CD69">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进行初始计量。</w:t>
          </w:r>
        </w:p>
        <w:p w14:paraId="7BB90C7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在计算租赁付款额的现值时，本公司采用租赁内含利率作为折现率；无法确定租赁内含利率</w:t>
          </w:r>
        </w:p>
        <w:p w14:paraId="2C06B88F">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的，采用本公司（即承租人）增量借款利率作为折现率。</w:t>
          </w:r>
        </w:p>
        <w:p w14:paraId="0520700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租赁内含利率，是指使出租人的租赁收款额的现值与未担保余值的现值之和等于租赁资产公</w:t>
          </w:r>
        </w:p>
        <w:p w14:paraId="48757529">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允价值与出租人的初始直接费用之和的利率。承租人增量借款利率，是指公司作为承租人在类似</w:t>
          </w:r>
        </w:p>
        <w:p w14:paraId="5D1C7278">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经济环境下为获得与使用权资产价值接近的资产，在类似期间以类似抵押条件借入资金须支付的</w:t>
          </w:r>
        </w:p>
        <w:p w14:paraId="598FB95A">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利率。</w:t>
          </w:r>
        </w:p>
        <w:p w14:paraId="276057D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本公司按照固定的周期性利率计算租赁负债在租赁期内各期间的利息费用，并计入当期损益</w:t>
          </w:r>
        </w:p>
        <w:p w14:paraId="279F3B66">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或资产成本。</w:t>
          </w:r>
        </w:p>
        <w:p w14:paraId="7C4852D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租赁期开始日后，本公司续租选择权、终止租赁选择权或购买选择权评估结果发生变化的，重新确定租赁付款额，并按变动后租赁付款额和修订后的折现率计算的现值重新计量租赁负债：在租赁期开始日后，根据担保余值预计的应付金额发生变动，或者因用于确定租赁付款额的</w:t>
          </w:r>
        </w:p>
        <w:p w14:paraId="7DA0039C">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指数或比率变动而导致未来租赁付款额发生变动的，本公司按照变动后租赁付款额的现值重新计</w:t>
          </w:r>
        </w:p>
        <w:p w14:paraId="7EB76656">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量租赁负债。在这些情形下，本公司采用的折现率不变；但是，租赁付款额的变动源自浮动利率</w:t>
          </w:r>
        </w:p>
        <w:p w14:paraId="4C2847FE">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变动的，使用修订后的折现率。</w:t>
          </w:r>
        </w:p>
        <w:p w14:paraId="0A18051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C、短期租赁和低价值资产租赁</w:t>
          </w:r>
        </w:p>
        <w:p w14:paraId="5CDDFC6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本公司对短期租赁以及低价值资产租赁，选择不确认使用权资产和租赁负债。短期租赁，是</w:t>
          </w:r>
        </w:p>
        <w:p w14:paraId="4B282147">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指在租赁期开始日，租赁期不超过 12 个月且不包含购买选择权的租赁。低价值资产租赁，是指</w:t>
          </w:r>
        </w:p>
        <w:p w14:paraId="5D918D4A">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单项租赁资产为全新资产时价值占合并报表总资产比例小于0.5%的租赁。本公司将短期租赁和</w:t>
          </w:r>
        </w:p>
        <w:p w14:paraId="24CDC49E">
          <w:pPr>
            <w:spacing w:line="360" w:lineRule="auto"/>
            <w:ind w:left="420" w:hanging="420" w:hangingChars="200"/>
            <w:rPr>
              <w:color w:val="000000" w:themeColor="text1"/>
              <w14:textFill>
                <w14:solidFill>
                  <w14:schemeClr w14:val="tx1"/>
                </w14:solidFill>
              </w14:textFill>
            </w:rPr>
          </w:pPr>
          <w:r>
            <w:rPr>
              <w:rFonts w:hint="eastAsia"/>
              <w:color w:val="000000" w:themeColor="text1"/>
              <w14:textFill>
                <w14:solidFill>
                  <w14:schemeClr w14:val="tx1"/>
                </w14:solidFill>
              </w14:textFill>
            </w:rPr>
            <w:t>低价值资产租赁的租赁付款额，在租赁期内各个期间按照直线法计入当期损益或相关资产成本。D、租赁变更</w:t>
          </w:r>
        </w:p>
        <w:p w14:paraId="33E62A53">
          <w:pPr>
            <w:spacing w:line="360" w:lineRule="auto"/>
            <w:ind w:left="420" w:leftChars="200"/>
            <w:rPr>
              <w:color w:val="000000" w:themeColor="text1"/>
              <w14:textFill>
                <w14:solidFill>
                  <w14:schemeClr w14:val="tx1"/>
                </w14:solidFill>
              </w14:textFill>
            </w:rPr>
          </w:pPr>
          <w:r>
            <w:rPr>
              <w:rFonts w:hint="eastAsia"/>
              <w:color w:val="000000" w:themeColor="text1"/>
              <w14:textFill>
                <w14:solidFill>
                  <w14:schemeClr w14:val="tx1"/>
                </w14:solidFill>
              </w14:textFill>
            </w:rPr>
            <w:t>租赁发生变更且同时符合下列条件的，本公司将该租赁变更作为一项单独租赁进行会计处</w:t>
          </w:r>
        </w:p>
        <w:p w14:paraId="68DCA790">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理：</w:t>
          </w:r>
        </w:p>
        <w:p w14:paraId="6AD9E32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a、该租赁变更通过增加一项或多项租赁资产的使用权而扩大了租赁范围；</w:t>
          </w:r>
        </w:p>
        <w:p w14:paraId="46A139F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b、增加的对价与租赁范围扩大部分的单独价格按该合同情况调整后的金额相当。租赁变更未作为一项单独租赁进行会计处理的，在租赁变更生效日，本公司重新分摊变更后合同的对价，重新确定租赁期，并按照变更后租赁付款额和修订后的折现率计算的现值重新计量租赁负债。</w:t>
          </w:r>
        </w:p>
        <w:p w14:paraId="542215D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租赁变更导致租赁范围缩小或租赁期缩短的，本公司相应调减使用权资产的账面价值，并将</w:t>
          </w:r>
        </w:p>
        <w:p w14:paraId="3AAC88B0">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部分终止或完全终止租赁的相关利得或损失计入当期损益。其他租赁变更导致租赁负债重新计量</w:t>
          </w:r>
        </w:p>
        <w:p w14:paraId="791972C2">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的，本公司相应调整使用权资产的账面价值。</w:t>
          </w:r>
        </w:p>
        <w:p w14:paraId="78AF17F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售后租回交易中的资产转让属于销售的，本公司作为承租人按原资产账面价值中与租回获得的使用权有关的部分，计量售后租回所形成的使用权资产，并仅就转让至出租人的权利确认相关利得或损失；售后租回交易中的资产转让不属于销售的，本公司作为承租人继续确认被转让资</w:t>
          </w:r>
        </w:p>
        <w:p w14:paraId="53759677">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产，同时确认一项与转让收入等额的金融负债。金融负债的会计处理详见11.金融工具”</w:t>
          </w:r>
        </w:p>
      </w:sdtContent>
    </w:sdt>
    <w:p w14:paraId="611A25CD">
      <w:pPr>
        <w:rPr>
          <w:rFonts w:ascii="Calibri" w:hAnsi="Calibri" w:cs="Times New Roman"/>
          <w:color w:val="000000" w:themeColor="text1"/>
          <w:kern w:val="2"/>
          <w:szCs w:val="32"/>
          <w14:textFill>
            <w14:solidFill>
              <w14:schemeClr w14:val="tx1"/>
            </w14:solidFill>
          </w14:textFill>
        </w:rPr>
      </w:pPr>
    </w:p>
    <w:p w14:paraId="432909C1">
      <w:pPr>
        <w:rPr>
          <w:rFonts w:ascii="Calibri" w:hAnsi="Calibri" w:cs="Times New Roman"/>
          <w:b/>
          <w:color w:val="000000" w:themeColor="text1"/>
          <w:kern w:val="2"/>
          <w:szCs w:val="32"/>
          <w14:textFill>
            <w14:solidFill>
              <w14:schemeClr w14:val="tx1"/>
            </w14:solidFill>
          </w14:textFill>
        </w:rPr>
      </w:pPr>
      <w:r>
        <w:rPr>
          <w:rFonts w:ascii="Calibri" w:hAnsi="Calibri" w:cs="Times New Roman"/>
          <w:b/>
          <w:color w:val="000000" w:themeColor="text1"/>
          <w:kern w:val="2"/>
          <w:szCs w:val="32"/>
          <w14:textFill>
            <w14:solidFill>
              <w14:schemeClr w14:val="tx1"/>
            </w14:solidFill>
          </w14:textFill>
        </w:rPr>
        <w:t>作为出租方的租赁分类标准和会计处理方法</w:t>
      </w:r>
    </w:p>
    <w:sdt>
      <w:sdtPr>
        <w:rPr>
          <w:color w:val="000000" w:themeColor="text1"/>
          <w14:textFill>
            <w14:solidFill>
              <w14:schemeClr w14:val="tx1"/>
            </w14:solidFill>
          </w14:textFill>
        </w:rPr>
        <w:alias w:val="是否适用：作为出租方的租赁分类标准和会计处理方法[双击切换]"/>
        <w:tag w:val="_GBC_5f67d3c5f08047cab6976824f73e97e9"/>
        <w:id w:val="-665017750"/>
        <w:placeholder>
          <w:docPart w:val="GBC22222222222222222222222222222"/>
        </w:placeholder>
      </w:sdtPr>
      <w:sdtEndPr>
        <w:rPr>
          <w:color w:val="000000" w:themeColor="text1"/>
          <w14:textFill>
            <w14:solidFill>
              <w14:schemeClr w14:val="tx1"/>
            </w14:solidFill>
          </w14:textFill>
        </w:rPr>
      </w:sdtEndPr>
      <w:sdtContent>
        <w:p w14:paraId="18681A9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作为出租方的租赁分类标准和会计处理方法"/>
        <w:tag w:val="_GBC_32ac25e0a5c442ef8da612bad391098d"/>
        <w:id w:val="741611544"/>
        <w:placeholder>
          <w:docPart w:val="GBC22222222222222222222222222222"/>
        </w:placeholder>
      </w:sdtPr>
      <w:sdtEndPr>
        <w:rPr>
          <w:color w:val="auto"/>
        </w:rPr>
      </w:sdtEndPr>
      <w:sdtContent>
        <w:sdt>
          <w:sdtPr>
            <w:rPr>
              <w:color w:val="000000" w:themeColor="text1"/>
              <w14:textFill>
                <w14:solidFill>
                  <w14:schemeClr w14:val="tx1"/>
                </w14:solidFill>
              </w14:textFill>
            </w:rPr>
            <w:alias w:val="作为出租方的租赁分类标准和会计处理方法"/>
            <w:tag w:val="_GBC_32ac25e0a5c442ef8da612bad391098d"/>
            <w:id w:val="-2035715769"/>
          </w:sdtPr>
          <w:sdtEndPr>
            <w:rPr>
              <w:color w:val="auto"/>
            </w:rPr>
          </w:sdtEndPr>
          <w:sdtContent>
            <w:p w14:paraId="131FCDE9">
              <w:pPr>
                <w:numPr>
                  <w:ilvl w:val="0"/>
                  <w:numId w:val="48"/>
                </w:num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租赁的分类</w:t>
              </w:r>
            </w:p>
            <w:p w14:paraId="462B103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在租赁开始日，本公司作为出租人将租赁分为融资租赁和经营租赁。融资租赁，是指无论所</w:t>
              </w:r>
            </w:p>
            <w:p w14:paraId="23121E9D">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有权最终是否转移，但实质上转移了与租赁资产所有权有关的几乎全部风险和报酬的租赁。经营租赁，是指除融资租赁以外的其他租赁。本公司作为转租出租人时，基于原租赁产生的使用权资产对转租赁进行分类。    </w:t>
              </w:r>
            </w:p>
            <w:p w14:paraId="26E5897E">
              <w:pPr>
                <w:pStyle w:val="55"/>
                <w:numPr>
                  <w:ilvl w:val="0"/>
                  <w:numId w:val="48"/>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经营租赁的会计处理方法    </w:t>
              </w:r>
            </w:p>
            <w:p w14:paraId="58F7FEA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在租赁期内各个期间，本公司采用直线法将经营租赁的租赁收款额确认为租金收入。本公司发生的与经营租赁有关的初始直接费用于发生时予以资本化，在租赁期内按照与租金收入确认相同的基础进行分摊，分期计入当期损益。本公司取得的与经营租赁有关的未计入租赁收款额的可变租赁收款额，在实际发生时计入当期损益。    </w:t>
              </w:r>
            </w:p>
            <w:p w14:paraId="05D8AF05">
              <w:pPr>
                <w:pStyle w:val="55"/>
                <w:numPr>
                  <w:ilvl w:val="0"/>
                  <w:numId w:val="48"/>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融资租赁的会计处理方法    </w:t>
              </w:r>
            </w:p>
            <w:p w14:paraId="28EA113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于租赁期开始日，本公司对融资租赁确认应收融资租赁款，并终止确认相关资产。本公司对应收融资租赁款进行初始计量时，将租赁投资净额作为应收融资租赁款的入账价值。租赁投资净额为未担保余值和租赁期开始日尚未收到的租赁收款额按照租赁内含利率折现的现值之和。本公司按照固定的周期性利率计算并确认租赁期内各个期间的利息收入。应收融资租赁款的终止确认和减值按照本附注“三、11.金融工具”进行会计处理。未纳入租赁投资净额计量的可变租赁付款额在实际发生时计入当期损益。    </w:t>
              </w:r>
            </w:p>
            <w:p w14:paraId="10826F5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作为生产商或经销商并作为出租人的融资租赁，在租赁期开始日，本公司按照租赁资产公允价值与租赁收款额按市场利率折现的现值两者孰低确认收入，并按照租赁资产账面价值扣除未担保余值的现值后的余额结转销售成本。本公司作为生产商或经销商并作为出租人为取得融资租赁发生的成本，在租赁期开始日计入当期损益。    </w:t>
              </w:r>
            </w:p>
            <w:p w14:paraId="3AD8E09A">
              <w:pPr>
                <w:pStyle w:val="55"/>
                <w:numPr>
                  <w:ilvl w:val="0"/>
                  <w:numId w:val="48"/>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租赁变更    </w:t>
              </w:r>
            </w:p>
            <w:p w14:paraId="629938A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本公司作为出租人的融资租赁发生变更且同时符合下列条件的，本公司将该变更作为一项单独租赁进行会计处理：   </w:t>
              </w:r>
            </w:p>
            <w:p w14:paraId="5FA232A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a.该变更通过增加一项或多项租赁资产的使用权而扩大了租赁范围；    </w:t>
              </w:r>
            </w:p>
            <w:p w14:paraId="5B553C8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b.增加的对价与租赁范围扩大部分的单独价格按该合同情况调整后的金额相当。融资租赁的变更未作为一项单独租赁进行会计处理的，本公司作为出租人分别下列情形对变更后的租赁进行处理：    </w:t>
              </w:r>
            </w:p>
            <w:p w14:paraId="3FD45B4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a.假如变更在租赁开始日生效，该租赁会被分类为经营租赁的，本公司作为出租人自租赁变更生效日开始将其作为一项新租赁进行会计处理，并以租赁变更生效日前的租赁投资净额作为租赁资产的账面价值；    </w:t>
              </w:r>
            </w:p>
            <w:p w14:paraId="5A11F95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b.假如变更在租赁开始日生效，该租赁会被分类为融资租赁的，本公司作为出租人按照《企业会计准则第22号——金融工具确认和计量》关于修改或重新议定合同的规定进行会计处理。即，修改或重新议定租赁合同，未导致应收融资租赁款终止确认,但导致未来现金流量发生变化的，重新计算该应收融资租赁款的账面余额，并将相关利得或损失计入当期损益。重新计算应收融资租赁款账面余额时，根据重新议定或修改的租赁合同现金流量按照应收融资租赁款的原折现率或按照《企业会计准则第24号一套期会计》(2017)第二十三条规定重新计算的折现率(如适用)折现的现值确定。对于修改或重新议定租赁合同所产生的所有成本和费用，本公司调整修改后的应收融资租赁款的账面价值，并在修改后应收融资租赁款的剩余期限内进行摊销。    </w:t>
              </w:r>
            </w:p>
            <w:p w14:paraId="0F511D4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本公司作为出租人的经营租赁发生变更的，本公司自变更生效日起将其作为一项新租赁进行会计处理，与变更前租赁有关的预收或应收租赁收款额视为新租赁的收款额。    </w:t>
              </w:r>
            </w:p>
            <w:p w14:paraId="6CD1C94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售后租回交易中的资产转让属于销售的，本公司作为出租人对资产购买进行会计处理，并根据前述“本公司作为出租人”的政策对资产出租进行会计处理；售后租回交易中的资产转让不属于销售的，本公司作为出租人不确认被转让资产，但确认一项与转让收入等额的金融资产。金融资产的会计处理详见11.金融工具”。</w:t>
              </w:r>
            </w:p>
          </w:sdtContent>
        </w:sdt>
      </w:sdtContent>
    </w:sdt>
    <w:p w14:paraId="4723BD9A">
      <w:pPr>
        <w:rPr>
          <w:color w:val="000000" w:themeColor="text1"/>
          <w14:textFill>
            <w14:solidFill>
              <w14:schemeClr w14:val="tx1"/>
            </w14:solidFill>
          </w14:textFill>
        </w:rPr>
      </w:pPr>
    </w:p>
    <w:bookmarkEnd w:id="156"/>
    <w:bookmarkEnd w:id="157"/>
    <w:p w14:paraId="412D8CE5">
      <w:pPr>
        <w:pStyle w:val="4"/>
        <w:numPr>
          <w:ilvl w:val="0"/>
          <w:numId w:val="33"/>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其他重要的会计政策和会计估计</w:t>
      </w:r>
    </w:p>
    <w:sdt>
      <w:sdtPr>
        <w:rPr>
          <w:color w:val="000000" w:themeColor="text1"/>
          <w14:textFill>
            <w14:solidFill>
              <w14:schemeClr w14:val="tx1"/>
            </w14:solidFill>
          </w14:textFill>
        </w:rPr>
        <w:alias w:val="是否适用：其他重要的会计政策和会计估计[双击切换]"/>
        <w:tag w:val="_GBC_b4281f4538de4623a036697d3903e1f8"/>
        <w:id w:val="-1755424721"/>
        <w:placeholder>
          <w:docPart w:val="GBC22222222222222222222222222222"/>
        </w:placeholder>
      </w:sdtPr>
      <w:sdtEndPr>
        <w:rPr>
          <w:color w:val="000000" w:themeColor="text1"/>
          <w14:textFill>
            <w14:solidFill>
              <w14:schemeClr w14:val="tx1"/>
            </w14:solidFill>
          </w14:textFill>
        </w:rPr>
      </w:sdtEndPr>
      <w:sdtContent>
        <w:p w14:paraId="0B82FFC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rFonts w:hint="eastAsia"/>
        </w:rPr>
        <w:alias w:val="其他主要会计政策会计估计和会计报表的编制方法"/>
        <w:tag w:val="_GBC_5cf318d9d3d148c4af010cce77bc955d"/>
        <w:id w:val="1414894140"/>
        <w:placeholder>
          <w:docPart w:val="GBC22222222222222222222222222222"/>
        </w:placeholder>
      </w:sdtPr>
      <w:sdtEndPr>
        <w:rPr>
          <w:rFonts w:hint="eastAsia"/>
        </w:rPr>
      </w:sdtEndPr>
      <w:sdtContent>
        <w:sdt>
          <w:sdtPr>
            <w:alias w:val="其他主要会计政策会计估计和会计报表的编制方法"/>
            <w:tag w:val="_GBC_5cf318d9d3d148c4af010cce77bc955d"/>
            <w:id w:val="1480260785"/>
          </w:sdtPr>
          <w:sdtContent>
            <w:p w14:paraId="43BE775A">
              <w:pPr>
                <w:spacing w:line="360" w:lineRule="auto"/>
                <w:ind w:firstLine="420" w:firstLineChars="200"/>
                <w:rPr>
                  <w:color w:val="000000" w:themeColor="text1"/>
                  <w14:textFill>
                    <w14:solidFill>
                      <w14:schemeClr w14:val="tx1"/>
                    </w14:solidFill>
                  </w14:textFill>
                </w:rPr>
              </w:pPr>
              <w:r>
                <w:rPr>
                  <w:rFonts w:hint="eastAsia"/>
                </w:rPr>
                <w:t>（1）</w:t>
              </w:r>
              <w:r>
                <w:rPr>
                  <w:rFonts w:hint="eastAsia"/>
                  <w:color w:val="000000" w:themeColor="text1"/>
                  <w14:textFill>
                    <w14:solidFill>
                      <w14:schemeClr w14:val="tx1"/>
                    </w14:solidFill>
                  </w14:textFill>
                </w:rPr>
                <w:t xml:space="preserve">债务重组    </w:t>
              </w:r>
            </w:p>
            <w:p w14:paraId="76F5126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债务重组，是指在不改变交易对手方的情况下，经债权人和债务人协定或法院裁定，就清偿债务的时间、金额或方式等重新达成协议的交易。    </w:t>
              </w:r>
            </w:p>
            <w:p w14:paraId="7841F771">
              <w:pPr>
                <w:pStyle w:val="55"/>
                <w:numPr>
                  <w:ilvl w:val="0"/>
                  <w:numId w:val="49"/>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本公司作为债务人记录债务重组    </w:t>
              </w:r>
            </w:p>
            <w:p w14:paraId="7EBA621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本公司以资产清偿债务的债务重组，在相关资产和所清偿债务符合终止确认条件时予以终止确认，所清偿债务账面价值与转让资产账面价值之间的差额计入当期损益。    </w:t>
              </w:r>
            </w:p>
            <w:p w14:paraId="7D7690B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将债务转为权益工具的债务重组，在所清偿债务符合终止确认条件时予以终止确认。初始确认权益工具时按照权益工具的公允价值计量，权益工具的公允价值不能可靠计量的，按照所清偿债务的公允价值计量。所清偿债务账面价值与权益工具确认金额之间的差额，计入当期损益。采用修改其他条款方式进行债务重组的，本公司按照《企业会计准则第 22 号——金融工 具的确认和计量》、《企业会计准则第 37 号——金融工具列报》的规定，确认和计量重组债务。</w:t>
              </w:r>
            </w:p>
            <w:p w14:paraId="7FF3A46C">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以多项资产清偿债务或者组合方式进行债务重组的，本公司按照前述方法确认和计量权益工具和重组债务，所清偿债务的账面价值与转让资产的账面价值以及权益工具和重组债务的确认金额之和的差额，计入当期损益。    </w:t>
              </w:r>
            </w:p>
            <w:p w14:paraId="79513131">
              <w:pPr>
                <w:pStyle w:val="55"/>
                <w:numPr>
                  <w:ilvl w:val="0"/>
                  <w:numId w:val="49"/>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本公司作为债权人记录债务重组    </w:t>
              </w:r>
            </w:p>
            <w:p w14:paraId="56C2DD7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债务人以资产清偿债务或者将债务转为权益工具方式进行债务重组的，本公司在相关资产符合其定义和确认条件时予以确认。    </w:t>
              </w:r>
            </w:p>
            <w:p w14:paraId="66BE698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债务人以资产清偿债务方式进行债务重组的，本公司初始确认受让的金融资产以外的资产时，按照下列原则以成本计量：（1）存货的成本，包括放弃债权的公允价值和使该资产达到当前位置和状态所发生的可直接归属于该资产的税金、运输费、装卸费、保险费等其他成本。（2）对联营企业或合营企业投资的成本，包括放弃债权的公允价值和可直接归属于该资产的税金等其他成本。（3）投资性房地产的成本，包括放弃债权的公允价值和可直接归属于该资产的税金等其他成本。（4）固定资产的成本，包括放弃债权的公允价值和使该资产达到预定可使用状态前所发生的可直接归属于该资产的税金、运输费、装卸费、安装费、专业人员服务费等其他成本。（5）生物资产的成本，包括放弃债权的公允价值和可直接归属于该资产的税金、运输费、保险费等其他成本。（6）无形资产的成本，包括放弃债权的公允价值和可直接归属于使该资产达到预定用途所发生的税金等其他成本。放弃债权的公允价值与账面价值之间的差额，计入当期损益。    </w:t>
              </w:r>
            </w:p>
            <w:p w14:paraId="633EF36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将债务转为权益工具的债务重组导致本公司将债权转为对联营企业或合营企业的权益性投资的，本公司按照放弃债权的公允价值和可直接归属于该资产的税金等其他成本计量其初始投资成本。放弃债权的公允价值与账面价值之间的差额，计入当期损益。    </w:t>
              </w:r>
            </w:p>
            <w:p w14:paraId="0BBF48F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采用修改其他条款方式进行债务重组的，本公司按照《企业会计准则第 22 号——金融工具的确认和计量》的规定，确认和计量重组债权。    </w:t>
              </w:r>
            </w:p>
            <w:p w14:paraId="3680EA3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采用多项资产清偿债务或者组合方式进行债务重组的，本公司首先按照《企业会计准则第 22 号——金融工具的确认和计量》的规定确认和计量受让的金融资产和重组债权，然后按照受让的金融资产以外的各项资产的公允价值比例，对放弃债权的公允价值扣除受让金融资产和重组债权确认金额后的净额进行分配，并以此为基础按照前述方法分别确定各项资产的成本。放弃债权的公允价值与账面价值之间的差额，计入当期损益。    </w:t>
              </w:r>
            </w:p>
            <w:p w14:paraId="46CE4E1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（2）非货币性资产交换    </w:t>
              </w:r>
              <w:r>
                <w:rPr>
                  <w:color w:val="000000" w:themeColor="text1"/>
                  <w14:textFill>
                    <w14:solidFill>
                      <w14:schemeClr w14:val="tx1"/>
                    </w14:solidFill>
                  </w14:textFill>
                </w:rPr>
                <w:t xml:space="preserve"> </w:t>
              </w:r>
            </w:p>
            <w:p w14:paraId="0E6A635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如果非货币性资产交换具有商业实质，并且换入资产或换出资产的公允价值能够可靠地计量，本公司的非货币性资产交换以公允价值为基础计量。对于换入资产，本公司以换出资产的公允价值和应支付的相关税费作为换入资产的成本进行初始计量；对于换出资产，在终止确认时，将换出资产公允价值与账面价值的差额计入当期损益。有确凿证据表明换入资产的公允价值更加可靠的，对于换入资产，本公司以换入资产的公允价值和应支付的相关税费作为换入资产的初始计量金额；对于换出资产，在终止确认时，将换入资产的公允价值与换出资产账面价值之间的差额计入当期损益。涉及补价的，按照以下规定处理：①支付补价的，以换出资产的公允价值，加上支付补价的公允价值和应支付的相关税费，作为换入资产的成本，换出资产的公允价值与其账面价值之间的差额计入当期损益。有确凿证据表明换入资产的公允价值更加可靠的，以换入资产的公允价值和应支付的相关税费作为换入资产的初始计量金额，换入资产的公允价值减去支付补价的公允价值，与换出资产账面价值之间的差额计入当期损益。②收到补价的，以换出资产的公允价值，减去收到补价的公允价值，加上应支付的相关税费，作为换入资产的成本，换出资产的公允价值与其账面价值之间的差额计入当期损益。有确凿证据表明换入资产的公允价值更加可靠的，以换入资产的公允价值和应支付的相关税费作为换入资产的初始计量金额，换入资产的公允价值加上收到补价的公允价值，与换出资产账面价值之间的差额计入当期损益。    </w:t>
              </w:r>
            </w:p>
            <w:p w14:paraId="23D3B42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不满足以公允价值为基础计量条件的非货币性资产交换，本公司以账面价值为基础计量。对于换入资产，以换出资产的账面价值和应支付的相关税费作为换入资产的初始计量金额；对于换出资产，终止确认时不确认损益。涉及补价的，按照下列规定进行处理：①支付补价的，以换出资产的账面价值，加上支付补价的账面价值和应支付的相关税费，作为换入资产的初始计量金额，不确认损益。②收到补价的，以换出资产的账面价值，减去收到补价的公允价值，加上应支付的相关税费，作为换入资产的初始计量金额，不确认损益。    </w:t>
              </w:r>
            </w:p>
            <w:p w14:paraId="67C63F7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非货币性资产交换同时换入多项资产的，如果以公允价值为基础计量，本公司按照换入的金融资产以外的各项换入资产公允价值相对比例，将换出资产公允价值总额扣除换入金融资产公允价值后的净额进行分摊，以分摊至各项换入资产的金额，加上应支付的相关税费，作为各项换入资产的成本进行初始计量；有确凿证据表明换入资产的公允价值更加可靠的，本公司以各项换入资产的公允价值和应支付的相关税费作为各项换入资产的成本进行初始计量。非货币性资产交换以账面价值为基础计量的，按照各项换入资产的公允价值的相对比例，将换出资产的账面价值总额分摊至各项换入资产，加上应支付的相关税费，作为各项换入资产的初始计量金额。    </w:t>
              </w:r>
            </w:p>
            <w:p w14:paraId="3B9ABC2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非货币性资产交换同时换出多项资产的，如果以公允价值为基础计量，本公司将各项换出资产的公允价值与其账面价值之间的差额，在各项换出资产终止确认时计入当期损益；有确凿证据表明换入资产的公允价值更加可靠的，按照各项换出资产的公允价值的相对比例，将换入资产的公允价值总额分摊至各项换出资产，分摊至各项换出资产的金额与各项换出资产账面价值之间的差额，在各项换出资产终止确认时计入当期损益。非货币性资产交换以账面价值为基础计量的，各项换出资产终止确认时均不确认损益。</w:t>
              </w:r>
            </w:p>
          </w:sdtContent>
        </w:sdt>
      </w:sdtContent>
    </w:sdt>
    <w:p w14:paraId="3A2FDAC3">
      <w:pPr>
        <w:rPr>
          <w:color w:val="000000" w:themeColor="text1"/>
          <w14:textFill>
            <w14:solidFill>
              <w14:schemeClr w14:val="tx1"/>
            </w14:solidFill>
          </w14:textFill>
        </w:rPr>
      </w:pPr>
    </w:p>
    <w:p w14:paraId="58E83B16">
      <w:pPr>
        <w:pStyle w:val="4"/>
        <w:numPr>
          <w:ilvl w:val="0"/>
          <w:numId w:val="33"/>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重要</w:t>
      </w:r>
      <w:r>
        <w:rPr>
          <w:rFonts w:ascii="宋体" w:hAnsi="宋体"/>
          <w:color w:val="000000" w:themeColor="text1"/>
          <w14:textFill>
            <w14:solidFill>
              <w14:schemeClr w14:val="tx1"/>
            </w14:solidFill>
          </w14:textFill>
        </w:rPr>
        <w:t>会计政策</w:t>
      </w:r>
      <w:r>
        <w:rPr>
          <w:rFonts w:hint="eastAsia" w:ascii="宋体" w:hAnsi="宋体"/>
          <w:color w:val="000000" w:themeColor="text1"/>
          <w14:textFill>
            <w14:solidFill>
              <w14:schemeClr w14:val="tx1"/>
            </w14:solidFill>
          </w14:textFill>
        </w:rPr>
        <w:t>和</w:t>
      </w:r>
      <w:r>
        <w:rPr>
          <w:rFonts w:ascii="宋体" w:hAnsi="宋体"/>
          <w:color w:val="000000" w:themeColor="text1"/>
          <w14:textFill>
            <w14:solidFill>
              <w14:schemeClr w14:val="tx1"/>
            </w14:solidFill>
          </w14:textFill>
        </w:rPr>
        <w:t>会计估计的变更</w:t>
      </w:r>
    </w:p>
    <w:p w14:paraId="602FA96F">
      <w:pPr>
        <w:pStyle w:val="5"/>
        <w:numPr>
          <w:ilvl w:val="3"/>
          <w:numId w:val="50"/>
        </w:numPr>
        <w:ind w:left="426" w:hanging="426"/>
        <w:rPr>
          <w:rFonts w:hint="eastAsia" w:ascii="宋体" w:hAnsi="宋体"/>
          <w:color w:val="000000" w:themeColor="text1"/>
          <w14:textFill>
            <w14:solidFill>
              <w14:schemeClr w14:val="tx1"/>
            </w14:solidFill>
          </w14:textFill>
        </w:rPr>
      </w:pPr>
      <w:bookmarkStart w:id="158" w:name="_Hlk169007887"/>
      <w:r>
        <w:rPr>
          <w:rFonts w:hint="eastAsia" w:ascii="宋体" w:hAnsi="宋体"/>
          <w:color w:val="000000" w:themeColor="text1"/>
          <w14:textFill>
            <w14:solidFill>
              <w14:schemeClr w14:val="tx1"/>
            </w14:solidFill>
          </w14:textFill>
        </w:rPr>
        <w:t>重要</w:t>
      </w:r>
      <w:r>
        <w:rPr>
          <w:rFonts w:ascii="宋体" w:hAnsi="宋体"/>
          <w:color w:val="000000" w:themeColor="text1"/>
          <w14:textFill>
            <w14:solidFill>
              <w14:schemeClr w14:val="tx1"/>
            </w14:solidFill>
          </w14:textFill>
        </w:rPr>
        <w:t>会计政策变更</w:t>
      </w:r>
    </w:p>
    <w:sdt>
      <w:sdtPr>
        <w:rPr>
          <w:color w:val="000000" w:themeColor="text1"/>
          <w14:textFill>
            <w14:solidFill>
              <w14:schemeClr w14:val="tx1"/>
            </w14:solidFill>
          </w14:textFill>
        </w:rPr>
        <w:alias w:val="是否适用：重要会计政策变更[双击切换]"/>
        <w:tag w:val="_GBC_f1ebc580f60c4d30a80747190ffbec4f"/>
        <w:id w:val="1926610508"/>
        <w:placeholder>
          <w:docPart w:val="GBC22222222222222222222222222222"/>
        </w:placeholder>
      </w:sdtPr>
      <w:sdtEndPr>
        <w:rPr>
          <w:color w:val="000000" w:themeColor="text1"/>
          <w14:textFill>
            <w14:solidFill>
              <w14:schemeClr w14:val="tx1"/>
            </w14:solidFill>
          </w14:textFill>
        </w:rPr>
      </w:sdtEndPr>
      <w:sdtContent>
        <w:p w14:paraId="1F83FD7D">
          <w:pPr>
            <w:rPr>
              <w:rFonts w:cs="Times New Roman"/>
              <w:color w:val="000000" w:themeColor="text1"/>
              <w:kern w:val="2"/>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178C8BD">
      <w:pPr>
        <w:rPr>
          <w:rFonts w:cs="Times New Roman"/>
          <w:color w:val="000000" w:themeColor="text1"/>
          <w:kern w:val="2"/>
          <w14:textFill>
            <w14:solidFill>
              <w14:schemeClr w14:val="tx1"/>
            </w14:solidFill>
          </w14:textFill>
        </w:rPr>
      </w:pPr>
      <w:bookmarkStart w:id="159" w:name="_Hlk167884350"/>
    </w:p>
    <w:bookmarkEnd w:id="159"/>
    <w:p w14:paraId="11B99D35">
      <w:pPr>
        <w:rPr>
          <w:color w:val="000000" w:themeColor="text1"/>
          <w14:textFill>
            <w14:solidFill>
              <w14:schemeClr w14:val="tx1"/>
            </w14:solidFill>
          </w14:textFill>
        </w:rPr>
      </w:pPr>
    </w:p>
    <w:p w14:paraId="18D0A39E">
      <w:pPr>
        <w:pStyle w:val="5"/>
        <w:numPr>
          <w:ilvl w:val="3"/>
          <w:numId w:val="50"/>
        </w:numPr>
        <w:ind w:left="426" w:hanging="42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重要</w:t>
      </w:r>
      <w:r>
        <w:rPr>
          <w:rFonts w:ascii="宋体" w:hAnsi="宋体"/>
          <w:color w:val="000000" w:themeColor="text1"/>
          <w14:textFill>
            <w14:solidFill>
              <w14:schemeClr w14:val="tx1"/>
            </w14:solidFill>
          </w14:textFill>
        </w:rPr>
        <w:t>会计估计变更</w:t>
      </w:r>
    </w:p>
    <w:sdt>
      <w:sdtPr>
        <w:rPr>
          <w:color w:val="000000" w:themeColor="text1"/>
          <w14:textFill>
            <w14:solidFill>
              <w14:schemeClr w14:val="tx1"/>
            </w14:solidFill>
          </w14:textFill>
        </w:rPr>
        <w:alias w:val="是否适用：重要会计估计变更[双击切换]"/>
        <w:tag w:val="_GBC_902f08bd36774074945386d2d1f9b67d"/>
        <w:id w:val="-2140786436"/>
        <w:placeholder>
          <w:docPart w:val="GBC22222222222222222222222222222"/>
        </w:placeholder>
      </w:sdtPr>
      <w:sdtEndPr>
        <w:rPr>
          <w:color w:val="000000" w:themeColor="text1"/>
          <w14:textFill>
            <w14:solidFill>
              <w14:schemeClr w14:val="tx1"/>
            </w14:solidFill>
          </w14:textFill>
        </w:rPr>
      </w:sdtEndPr>
      <w:sdtContent>
        <w:p w14:paraId="1721AD92">
          <w:pPr>
            <w:rPr>
              <w:rFonts w:cs="Times New Roman"/>
              <w:color w:val="000000" w:themeColor="text1"/>
              <w:kern w:val="2"/>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A0E0108">
      <w:pPr>
        <w:rPr>
          <w:rFonts w:cs="Times New Roman"/>
          <w:color w:val="000000" w:themeColor="text1"/>
          <w:kern w:val="2"/>
          <w14:textFill>
            <w14:solidFill>
              <w14:schemeClr w14:val="tx1"/>
            </w14:solidFill>
          </w14:textFill>
        </w:rPr>
      </w:pPr>
      <w:bookmarkStart w:id="160" w:name="_Hlk167884427"/>
    </w:p>
    <w:bookmarkEnd w:id="160"/>
    <w:p w14:paraId="164A64CE">
      <w:pPr>
        <w:rPr>
          <w:color w:val="000000" w:themeColor="text1"/>
          <w14:textFill>
            <w14:solidFill>
              <w14:schemeClr w14:val="tx1"/>
            </w14:solidFill>
          </w14:textFill>
        </w:rPr>
      </w:pPr>
    </w:p>
    <w:bookmarkEnd w:id="158"/>
    <w:p w14:paraId="3F09DE98">
      <w:pPr>
        <w:pStyle w:val="5"/>
        <w:numPr>
          <w:ilvl w:val="3"/>
          <w:numId w:val="50"/>
        </w:numPr>
        <w:ind w:left="426" w:hanging="426"/>
        <w:rPr>
          <w:color w:val="000000" w:themeColor="text1"/>
          <w14:textFill>
            <w14:solidFill>
              <w14:schemeClr w14:val="tx1"/>
            </w14:solidFill>
          </w14:textFill>
        </w:rPr>
      </w:pPr>
      <w:bookmarkStart w:id="161" w:name="_Hlk10465969"/>
      <w:bookmarkEnd w:id="161"/>
      <w:bookmarkStart w:id="162" w:name="_Hlk24100246"/>
      <w:bookmarkStart w:id="163" w:name="_Hlk137050657"/>
      <w:r>
        <w:rPr>
          <w:rFonts w:ascii="Times New Roman" w:hAnsi="Times New Roman"/>
          <w:color w:val="000000" w:themeColor="text1"/>
          <w14:textFill>
            <w14:solidFill>
              <w14:schemeClr w14:val="tx1"/>
            </w14:solidFill>
          </w14:textFill>
        </w:rPr>
        <w:t>2026</w:t>
      </w:r>
      <w:r>
        <w:rPr>
          <w:color w:val="000000" w:themeColor="text1"/>
          <w14:textFill>
            <w14:solidFill>
              <w14:schemeClr w14:val="tx1"/>
            </w14:solidFill>
          </w14:textFill>
        </w:rPr>
        <w:t>年</w:t>
      </w:r>
      <w:r>
        <w:rPr>
          <w:rFonts w:hint="eastAsia"/>
          <w:color w:val="000000" w:themeColor="text1"/>
          <w14:textFill>
            <w14:solidFill>
              <w14:schemeClr w14:val="tx1"/>
            </w14:solidFill>
          </w14:textFill>
        </w:rPr>
        <w:t>起首次执行新会计准则或准则解释等涉及调整首次执行当年年初的财务报表</w:t>
      </w:r>
    </w:p>
    <w:sdt>
      <w:sdtPr>
        <w:rPr>
          <w:rFonts w:hint="eastAsia"/>
          <w:color w:val="000000" w:themeColor="text1"/>
          <w14:textFill>
            <w14:solidFill>
              <w14:schemeClr w14:val="tx1"/>
            </w14:solidFill>
          </w14:textFill>
        </w:rPr>
        <w:alias w:val="是否适用：首次执行新金融工具准则或新收入准则调整首次执行当年年初财务报表相关项目情况[双击切换]"/>
        <w:tag w:val="_GBC_8608c1ec447d48978e05546e78cb2ffc"/>
        <w:id w:val="-604567235"/>
        <w:placeholder>
          <w:docPart w:val="GBC22222222222222222222222222222"/>
        </w:placeholder>
      </w:sdtPr>
      <w:sdtEndPr>
        <w:rPr>
          <w:rFonts w:hint="eastAsia"/>
          <w:color w:val="000000" w:themeColor="text1"/>
          <w14:textFill>
            <w14:solidFill>
              <w14:schemeClr w14:val="tx1"/>
            </w14:solidFill>
          </w14:textFill>
        </w:rPr>
      </w:sdtEndPr>
      <w:sdtContent>
        <w:p w14:paraId="5B5EF31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DAEA6C8">
      <w:pPr>
        <w:rPr>
          <w:color w:val="000000" w:themeColor="text1"/>
          <w14:textFill>
            <w14:solidFill>
              <w14:schemeClr w14:val="tx1"/>
            </w14:solidFill>
          </w14:textFill>
        </w:rPr>
      </w:pPr>
    </w:p>
    <w:bookmarkEnd w:id="162"/>
    <w:bookmarkEnd w:id="163"/>
    <w:p w14:paraId="64A0AE9E">
      <w:pPr>
        <w:pStyle w:val="4"/>
        <w:numPr>
          <w:ilvl w:val="0"/>
          <w:numId w:val="33"/>
        </w:numPr>
        <w:rPr>
          <w:rFonts w:hint="eastAsia" w:ascii="宋体" w:hAnsi="宋体"/>
          <w:color w:val="000000" w:themeColor="text1"/>
          <w14:textFill>
            <w14:solidFill>
              <w14:schemeClr w14:val="tx1"/>
            </w14:solidFill>
          </w14:textFill>
        </w:rPr>
      </w:pPr>
      <w:bookmarkStart w:id="164" w:name="_Hlk24100423"/>
      <w:bookmarkEnd w:id="164"/>
      <w:bookmarkStart w:id="165" w:name="_Hlk10466067"/>
      <w:bookmarkEnd w:id="165"/>
      <w:bookmarkStart w:id="166" w:name="_Hlk137051084"/>
      <w:bookmarkEnd w:id="166"/>
      <w:r>
        <w:rPr>
          <w:rFonts w:hint="eastAsia" w:ascii="宋体" w:hAnsi="宋体"/>
          <w:color w:val="000000" w:themeColor="text1"/>
          <w14:textFill>
            <w14:solidFill>
              <w14:schemeClr w14:val="tx1"/>
            </w14:solidFill>
          </w14:textFill>
        </w:rPr>
        <w:t>其他</w:t>
      </w:r>
    </w:p>
    <w:sdt>
      <w:sdtPr>
        <w:rPr>
          <w:rFonts w:hint="eastAsia"/>
          <w:color w:val="000000" w:themeColor="text1"/>
          <w14:textFill>
            <w14:solidFill>
              <w14:schemeClr w14:val="tx1"/>
            </w14:solidFill>
          </w14:textFill>
        </w:rPr>
        <w:alias w:val="是否适用：公司主要会计政策、会计估计和前期差错的其他说明[双击切换]"/>
        <w:tag w:val="_GBC_6deb29735f384e0d9a2b017d4265a493"/>
        <w:id w:val="-861586205"/>
        <w:placeholder>
          <w:docPart w:val="GBC22222222222222222222222222222"/>
        </w:placeholder>
      </w:sdtPr>
      <w:sdtEndPr>
        <w:rPr>
          <w:rFonts w:hint="eastAsia"/>
          <w:color w:val="000000" w:themeColor="text1"/>
          <w14:textFill>
            <w14:solidFill>
              <w14:schemeClr w14:val="tx1"/>
            </w14:solidFill>
          </w14:textFill>
        </w:rPr>
      </w:sdtEndPr>
      <w:sdtContent>
        <w:p w14:paraId="0357C78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公司主要会计政策、会计估计和前期差错的其他说明"/>
        <w:tag w:val="_GBC_c92422e9f0294891888f1127365f4bbf"/>
        <w:id w:val="563913635"/>
        <w:placeholder>
          <w:docPart w:val="GBC22222222222222222222222222222"/>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公司主要会计政策、会计估计和前期差错的其他说明"/>
            <w:tag w:val="_GBC_c92422e9f0294891888f1127365f4bbf"/>
            <w:id w:val="1922062003"/>
          </w:sdtPr>
          <w:sdtEndPr>
            <w:rPr>
              <w:color w:val="auto"/>
            </w:rPr>
          </w:sdtEndPr>
          <w:sdtContent>
            <w:p w14:paraId="6E71E8CB">
              <w:pPr>
                <w:numPr>
                  <w:ilvl w:val="0"/>
                  <w:numId w:val="51"/>
                </w:num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重要会计政策变更</w:t>
              </w:r>
            </w:p>
            <w:p w14:paraId="585129C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1、执行《企业会计准则解释 16 号》对本公司的影响</w:t>
              </w:r>
            </w:p>
            <w:p w14:paraId="00BAC7F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 “关于单项交易产生的资产和负债相关的递延所得税不适用初始确认豁免的会计处理” ，本公司会计政策变更的主要内容如下：</w:t>
              </w:r>
            </w:p>
            <w:p w14:paraId="6A56D0E9">
              <w:pPr>
                <w:spacing w:line="360" w:lineRule="auto"/>
                <w:ind w:firstLine="525" w:firstLineChars="250"/>
                <w:rPr>
                  <w:color w:val="000000" w:themeColor="text1"/>
                  <w14:textFill>
                    <w14:solidFill>
                      <w14:schemeClr w14:val="tx1"/>
                    </w14:solidFill>
                  </w14:textFill>
                </w:rPr>
              </w:pPr>
              <w:r>
                <w:rPr>
                  <w:rFonts w:hint="eastAsia"/>
                  <w:color w:val="000000" w:themeColor="text1"/>
                  <w14:textFill>
                    <w14:solidFill>
                      <w14:schemeClr w14:val="tx1"/>
                    </w14:solidFill>
                  </w14:textFill>
                </w:rPr>
                <w:t>①本公司对于不是企业合并、交易发生时既不影响会计利润也不影响应纳税所得额（或可抵扣亏损）、且初始确认的资产和负债导致产生等额应纳税暂时性差异和可抵扣暂时性差异的单项交易（包括承租人在租赁期开始日初始确认租赁负债并计入使用权资产的租赁交易，以及因固定资产等存在弃置义务而确认预计负债并计入相关资产成本的交易等，以下简称单项交易），不适用《企业会计准则第 18 号——所得税》第十一条（二）、第十三条关于豁免初始确认递延所得税负债和递延所得税资产的规定。本公司对该交易因资产和负债的初始确认所产生的应纳税暂时性差异和可抵扣暂时性差异，根据《企业会计准则第 18 号——所得税》等有关规定，在交易发生时分别确认相应的递延所得税负债和递延所得税资产。</w:t>
              </w:r>
            </w:p>
            <w:p w14:paraId="5BE31164">
              <w:pPr>
                <w:spacing w:line="360" w:lineRule="auto"/>
                <w:ind w:firstLine="525" w:firstLineChars="250"/>
                <w:rPr>
                  <w:color w:val="000000" w:themeColor="text1"/>
                  <w14:textFill>
                    <w14:solidFill>
                      <w14:schemeClr w14:val="tx1"/>
                    </w14:solidFill>
                  </w14:textFill>
                </w:rPr>
              </w:pPr>
              <w:r>
                <w:rPr>
                  <w:rFonts w:hint="eastAsia"/>
                  <w:color w:val="000000" w:themeColor="text1"/>
                  <w14:textFill>
                    <w14:solidFill>
                      <w14:schemeClr w14:val="tx1"/>
                    </w14:solidFill>
                  </w14:textFill>
                </w:rPr>
                <w:t>②根据新旧衔接规定：“对于在首次施行本解释的财务报表列报最早期间的期初至本解释施行日之间发生的适用本解释的单项交易，企业应当按照本解释的规定进行调整。对于在首次施行本解释的财务报表列报最早期间的期初因适用本解释的单项交易而确认的租赁负债和使用权资</w:t>
              </w:r>
            </w:p>
            <w:p w14:paraId="311F190C">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产，以及确认的弃置义务相关预计负债和对应的相关资产，产生应纳税暂时性差异和可抵扣暂时</w:t>
              </w:r>
            </w:p>
            <w:p w14:paraId="1110B488">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性差异的，企业应当按照本解释和《企业会计准则第 18号——所得税》的规定，将累积影响数</w:t>
              </w:r>
            </w:p>
            <w:p w14:paraId="48EA90B5">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调整财务报表列报最早期间的期初留存收益及其他相关财务报表项目。企业进行上述调整的，应</w:t>
              </w:r>
            </w:p>
            <w:p w14:paraId="69BE5EA5">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当在财务报表附注中披露相关情况。”执行该规定未对本公司的财务状况及经营成果产生重大影</w:t>
              </w:r>
            </w:p>
            <w:p w14:paraId="7B454D73">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响。</w:t>
              </w:r>
            </w:p>
            <w:p w14:paraId="553B751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除上述会计政策变更外，报告期内，公司未发生其他会计政策变更事项。</w:t>
              </w:r>
            </w:p>
            <w:p w14:paraId="5DA410DC">
              <w:pPr>
                <w:pStyle w:val="55"/>
                <w:numPr>
                  <w:ilvl w:val="0"/>
                  <w:numId w:val="51"/>
                </w:numPr>
                <w:spacing w:line="360" w:lineRule="auto"/>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重要会计估计变更</w:t>
              </w:r>
            </w:p>
            <w:p w14:paraId="4741D98D">
              <w:pPr>
                <w:spacing w:line="360" w:lineRule="auto"/>
                <w:ind w:left="420"/>
                <w:rPr>
                  <w:color w:val="000000" w:themeColor="text1"/>
                  <w14:textFill>
                    <w14:solidFill>
                      <w14:schemeClr w14:val="tx1"/>
                    </w14:solidFill>
                  </w14:textFill>
                </w:rPr>
              </w:pPr>
              <w:r>
                <w:rPr>
                  <w:rFonts w:hint="eastAsia"/>
                  <w:color w:val="000000" w:themeColor="text1"/>
                  <w14:textFill>
                    <w14:solidFill>
                      <w14:schemeClr w14:val="tx1"/>
                    </w14:solidFill>
                  </w14:textFill>
                </w:rPr>
                <w:t>公司报告期内无会计估计变更。</w:t>
              </w:r>
            </w:p>
          </w:sdtContent>
        </w:sdt>
        <w:p w14:paraId="598D6D1D">
          <w:pPr>
            <w:spacing w:line="360" w:lineRule="auto"/>
            <w:rPr>
              <w:color w:val="000000" w:themeColor="text1"/>
              <w14:textFill>
                <w14:solidFill>
                  <w14:schemeClr w14:val="tx1"/>
                </w14:solidFill>
              </w14:textFill>
            </w:rPr>
          </w:pPr>
        </w:p>
      </w:sdtContent>
    </w:sdt>
    <w:p w14:paraId="219FD5CB">
      <w:pPr>
        <w:rPr>
          <w:color w:val="000000" w:themeColor="text1"/>
          <w14:textFill>
            <w14:solidFill>
              <w14:schemeClr w14:val="tx1"/>
            </w14:solidFill>
          </w14:textFill>
        </w:rPr>
      </w:pPr>
    </w:p>
    <w:p w14:paraId="0BD98193">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税项</w:t>
      </w:r>
    </w:p>
    <w:p w14:paraId="324C9A0D">
      <w:pPr>
        <w:pStyle w:val="4"/>
        <w:numPr>
          <w:ilvl w:val="0"/>
          <w:numId w:val="52"/>
        </w:numPr>
        <w:tabs>
          <w:tab w:val="left" w:pos="546"/>
        </w:tabs>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主要税种及税率</w:t>
      </w:r>
    </w:p>
    <w:p w14:paraId="3FBEC0A9">
      <w:pPr>
        <w:rPr>
          <w:color w:val="000000" w:themeColor="text1"/>
          <w14:textFill>
            <w14:solidFill>
              <w14:schemeClr w14:val="tx1"/>
            </w14:solidFill>
          </w14:textFill>
        </w:rPr>
      </w:pPr>
      <w:r>
        <w:rPr>
          <w:rFonts w:hint="eastAsia"/>
          <w:color w:val="000000" w:themeColor="text1"/>
          <w14:textFill>
            <w14:solidFill>
              <w14:schemeClr w14:val="tx1"/>
            </w14:solidFill>
          </w14:textFill>
        </w:rPr>
        <w:t>主要税种及税率情况</w:t>
      </w:r>
    </w:p>
    <w:sdt>
      <w:sdtPr>
        <w:rPr>
          <w:color w:val="000000" w:themeColor="text1"/>
          <w14:textFill>
            <w14:solidFill>
              <w14:schemeClr w14:val="tx1"/>
            </w14:solidFill>
          </w14:textFill>
        </w:rPr>
        <w:alias w:val="是否适用：主要税种及税率情况 [双击切换]"/>
        <w:tag w:val="_GBC_fd47fa4fd9aa499c8903795268a25582"/>
        <w:id w:val="-23178559"/>
        <w:placeholder>
          <w:docPart w:val="GBC22222222222222222222222222222"/>
        </w:placeholder>
      </w:sdtPr>
      <w:sdtEndPr>
        <w:rPr>
          <w:color w:val="000000" w:themeColor="text1"/>
          <w14:textFill>
            <w14:solidFill>
              <w14:schemeClr w14:val="tx1"/>
            </w14:solidFill>
          </w14:textFill>
        </w:rPr>
      </w:sdtEndPr>
      <w:sdtContent>
        <w:p w14:paraId="13F1E85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2"/>
        <w:gridCol w:w="3067"/>
        <w:gridCol w:w="3044"/>
      </w:tblGrid>
      <w:tr w14:paraId="75F3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e7d49d0412b143bf84fec865b918065a"/>
            <w:id w:val="115491778"/>
          </w:sdtPr>
          <w:sdtContent>
            <w:tc>
              <w:tcPr>
                <w:tcW w:w="1537" w:type="pct"/>
                <w:vAlign w:val="center"/>
              </w:tcPr>
              <w:p w14:paraId="426C10E0">
                <w:pPr>
                  <w:jc w:val="center"/>
                  <w:rPr>
                    <w:color w:val="000000" w:themeColor="text1"/>
                    <w14:textFill>
                      <w14:solidFill>
                        <w14:schemeClr w14:val="tx1"/>
                      </w14:solidFill>
                    </w14:textFill>
                  </w:rPr>
                </w:pPr>
                <w:r>
                  <w:rPr>
                    <w:color w:val="000000" w:themeColor="text1"/>
                    <w14:textFill>
                      <w14:solidFill>
                        <w14:schemeClr w14:val="tx1"/>
                      </w14:solidFill>
                    </w14:textFill>
                  </w:rPr>
                  <w:t>税种</w:t>
                </w:r>
              </w:p>
            </w:tc>
          </w:sdtContent>
        </w:sdt>
        <w:sdt>
          <w:sdtPr>
            <w:tag w:val="_PLD_e42202809983483baa812ed26e1b27a2"/>
            <w:id w:val="-1112049510"/>
          </w:sdtPr>
          <w:sdtContent>
            <w:tc>
              <w:tcPr>
                <w:tcW w:w="1738" w:type="pct"/>
                <w:vAlign w:val="center"/>
              </w:tcPr>
              <w:p w14:paraId="46D03A17">
                <w:pPr>
                  <w:jc w:val="center"/>
                  <w:rPr>
                    <w:color w:val="000000" w:themeColor="text1"/>
                    <w14:textFill>
                      <w14:solidFill>
                        <w14:schemeClr w14:val="tx1"/>
                      </w14:solidFill>
                    </w14:textFill>
                  </w:rPr>
                </w:pPr>
                <w:r>
                  <w:rPr>
                    <w:color w:val="000000" w:themeColor="text1"/>
                    <w14:textFill>
                      <w14:solidFill>
                        <w14:schemeClr w14:val="tx1"/>
                      </w14:solidFill>
                    </w14:textFill>
                  </w:rPr>
                  <w:t>计税依据</w:t>
                </w:r>
              </w:p>
            </w:tc>
          </w:sdtContent>
        </w:sdt>
        <w:sdt>
          <w:sdtPr>
            <w:tag w:val="_PLD_0cebc7a4c62844c6b35146cd64cd4277"/>
            <w:id w:val="-86614651"/>
          </w:sdtPr>
          <w:sdtContent>
            <w:tc>
              <w:tcPr>
                <w:tcW w:w="1725" w:type="pct"/>
                <w:vAlign w:val="center"/>
              </w:tcPr>
              <w:p w14:paraId="3D516098">
                <w:pPr>
                  <w:jc w:val="center"/>
                  <w:rPr>
                    <w:color w:val="000000" w:themeColor="text1"/>
                    <w14:textFill>
                      <w14:solidFill>
                        <w14:schemeClr w14:val="tx1"/>
                      </w14:solidFill>
                    </w14:textFill>
                  </w:rPr>
                </w:pPr>
                <w:r>
                  <w:rPr>
                    <w:color w:val="000000" w:themeColor="text1"/>
                    <w14:textFill>
                      <w14:solidFill>
                        <w14:schemeClr w14:val="tx1"/>
                      </w14:solidFill>
                    </w14:textFill>
                  </w:rPr>
                  <w:t>税率</w:t>
                </w:r>
              </w:p>
            </w:tc>
          </w:sdtContent>
        </w:sdt>
      </w:tr>
      <w:tr w14:paraId="15E7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14:paraId="175DA8A3">
            <w:pPr>
              <w:rPr>
                <w:color w:val="000000" w:themeColor="text1"/>
                <w14:textFill>
                  <w14:solidFill>
                    <w14:schemeClr w14:val="tx1"/>
                  </w14:solidFill>
                </w14:textFill>
              </w:rPr>
            </w:pPr>
            <w:r>
              <w:rPr>
                <w:rFonts w:ascii="宋体" w:hAnsi="宋体"/>
                <w:color w:val="000000"/>
              </w:rPr>
              <w:t>增值税</w:t>
            </w:r>
          </w:p>
        </w:tc>
        <w:tc>
          <w:tcPr>
            <w:tcW w:w="1738" w:type="pct"/>
            <w:vAlign w:val="center"/>
          </w:tcPr>
          <w:p w14:paraId="7F1B2923">
            <w:r>
              <w:rPr>
                <w:rFonts w:ascii="宋体" w:hAnsi="宋体"/>
              </w:rPr>
              <w:t>本公司海产品养殖收入免征增值税，深加工收入税率为</w:t>
            </w:r>
            <w:r>
              <w:t>9%</w:t>
            </w:r>
            <w:r>
              <w:rPr>
                <w:rFonts w:ascii="宋体" w:hAnsi="宋体"/>
              </w:rPr>
              <w:t>；子公司食品加工收入税率为</w:t>
            </w:r>
            <w:r>
              <w:rPr>
                <w:rFonts w:cs="Times New Roman"/>
              </w:rPr>
              <w:t>9%</w:t>
            </w:r>
            <w:r>
              <w:rPr>
                <w:rFonts w:ascii="宋体" w:hAnsi="宋体"/>
              </w:rPr>
              <w:t>、</w:t>
            </w:r>
            <w:r>
              <w:rPr>
                <w:rFonts w:cs="Times New Roman"/>
              </w:rPr>
              <w:t>13%</w:t>
            </w:r>
            <w:r>
              <w:rPr>
                <w:rFonts w:ascii="宋体" w:hAnsi="宋体"/>
              </w:rPr>
              <w:t>；出口产品执行</w:t>
            </w:r>
            <w:r>
              <w:rPr>
                <w:rFonts w:cs="Times New Roman"/>
              </w:rPr>
              <w:t>“</w:t>
            </w:r>
            <w:r>
              <w:rPr>
                <w:rFonts w:ascii="宋体" w:hAnsi="宋体"/>
              </w:rPr>
              <w:t>免抵退</w:t>
            </w:r>
            <w:r>
              <w:rPr>
                <w:rFonts w:cs="Times New Roman"/>
              </w:rPr>
              <w:t>”</w:t>
            </w:r>
            <w:r>
              <w:rPr>
                <w:rFonts w:ascii="宋体" w:hAnsi="宋体"/>
              </w:rPr>
              <w:t>的税收政策；鱼粉加工收入、捕捞业收入免征增值税；检测收入税率为</w:t>
            </w:r>
            <w:r>
              <w:rPr>
                <w:rFonts w:cs="Times New Roman"/>
              </w:rPr>
              <w:t>6%</w:t>
            </w:r>
            <w:r>
              <w:rPr>
                <w:rFonts w:ascii="宋体" w:hAnsi="宋体"/>
              </w:rPr>
              <w:t>。</w:t>
            </w:r>
          </w:p>
        </w:tc>
        <w:tc>
          <w:tcPr>
            <w:tcW w:w="1725" w:type="pct"/>
            <w:vAlign w:val="center"/>
          </w:tcPr>
          <w:p w14:paraId="50061F32">
            <w:r>
              <w:rPr>
                <w:rFonts w:hint="eastAsia" w:cs="Times New Roman"/>
              </w:rPr>
              <w:t>9%</w:t>
            </w:r>
            <w:r>
              <w:rPr>
                <w:rFonts w:hint="eastAsia" w:ascii="宋体" w:hAnsi="宋体"/>
              </w:rPr>
              <w:t>、</w:t>
            </w:r>
            <w:r>
              <w:rPr>
                <w:rFonts w:hint="eastAsia" w:cs="Times New Roman"/>
              </w:rPr>
              <w:t>13%</w:t>
            </w:r>
            <w:r>
              <w:rPr>
                <w:rFonts w:hint="eastAsia" w:ascii="宋体" w:hAnsi="宋体"/>
              </w:rPr>
              <w:t>、</w:t>
            </w:r>
            <w:r>
              <w:rPr>
                <w:rFonts w:hint="eastAsia" w:cs="Times New Roman"/>
              </w:rPr>
              <w:t>6%</w:t>
            </w:r>
          </w:p>
        </w:tc>
      </w:tr>
      <w:tr w14:paraId="38FE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14:paraId="732C3045">
            <w:pPr>
              <w:rPr>
                <w:color w:val="000000" w:themeColor="text1"/>
                <w14:textFill>
                  <w14:solidFill>
                    <w14:schemeClr w14:val="tx1"/>
                  </w14:solidFill>
                </w14:textFill>
              </w:rPr>
            </w:pPr>
            <w:r>
              <w:rPr>
                <w:rFonts w:ascii="宋体" w:hAnsi="宋体"/>
                <w:color w:val="000000"/>
              </w:rPr>
              <w:t>城市维护建设税</w:t>
            </w:r>
          </w:p>
        </w:tc>
        <w:tc>
          <w:tcPr>
            <w:tcW w:w="1738" w:type="pct"/>
            <w:vAlign w:val="center"/>
          </w:tcPr>
          <w:p w14:paraId="0144CA6B">
            <w:r>
              <w:rPr>
                <w:rFonts w:ascii="宋体" w:hAnsi="宋体"/>
              </w:rPr>
              <w:t>本公司及子公司按应缴流转税额的</w:t>
            </w:r>
            <w:r>
              <w:t>7%</w:t>
            </w:r>
            <w:r>
              <w:rPr>
                <w:rFonts w:ascii="宋体" w:hAnsi="宋体"/>
              </w:rPr>
              <w:t>缴纳。</w:t>
            </w:r>
          </w:p>
        </w:tc>
        <w:tc>
          <w:tcPr>
            <w:tcW w:w="1725" w:type="pct"/>
            <w:vAlign w:val="center"/>
          </w:tcPr>
          <w:p w14:paraId="47162E62">
            <w:r>
              <w:rPr>
                <w:rFonts w:hint="eastAsia" w:cs="Times New Roman"/>
              </w:rPr>
              <w:t>7%</w:t>
            </w:r>
          </w:p>
        </w:tc>
      </w:tr>
      <w:tr w14:paraId="22B5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14:paraId="0ADDA5D2">
            <w:pPr>
              <w:rPr>
                <w:color w:val="000000" w:themeColor="text1"/>
                <w14:textFill>
                  <w14:solidFill>
                    <w14:schemeClr w14:val="tx1"/>
                  </w14:solidFill>
                </w14:textFill>
              </w:rPr>
            </w:pPr>
            <w:r>
              <w:rPr>
                <w:rFonts w:ascii="宋体" w:hAnsi="宋体"/>
                <w:color w:val="000000"/>
              </w:rPr>
              <w:t>企业所得税</w:t>
            </w:r>
          </w:p>
        </w:tc>
        <w:tc>
          <w:tcPr>
            <w:tcW w:w="1738" w:type="pct"/>
            <w:vAlign w:val="center"/>
          </w:tcPr>
          <w:p w14:paraId="742F32F1">
            <w:r>
              <w:rPr>
                <w:rFonts w:ascii="宋体" w:hAnsi="宋体"/>
              </w:rPr>
              <w:t>本公司企业所得税税率为</w:t>
            </w:r>
            <w:r>
              <w:t>25%</w:t>
            </w:r>
            <w:r>
              <w:rPr>
                <w:rFonts w:ascii="宋体" w:hAnsi="宋体"/>
              </w:rPr>
              <w:t>，养殖业企业所得税税率为</w:t>
            </w:r>
            <w:r>
              <w:rPr>
                <w:rFonts w:cs="Times New Roman"/>
              </w:rPr>
              <w:t>12.5%</w:t>
            </w:r>
            <w:r>
              <w:rPr>
                <w:rFonts w:ascii="宋体" w:hAnsi="宋体"/>
              </w:rPr>
              <w:t>；水生动物初加工、鱼粉加工收入、远洋捕捞业务免征企业所得税；本公司子公司山东好当家海森药业有限公司于</w:t>
            </w:r>
            <w:r>
              <w:rPr>
                <w:rFonts w:cs="Times New Roman"/>
              </w:rPr>
              <w:t>2022</w:t>
            </w:r>
            <w:r>
              <w:rPr>
                <w:rFonts w:ascii="宋体" w:hAnsi="宋体"/>
              </w:rPr>
              <w:t>年</w:t>
            </w:r>
            <w:r>
              <w:rPr>
                <w:rFonts w:cs="Times New Roman"/>
              </w:rPr>
              <w:t>12</w:t>
            </w:r>
            <w:r>
              <w:rPr>
                <w:rFonts w:ascii="宋体" w:hAnsi="宋体"/>
              </w:rPr>
              <w:t>月</w:t>
            </w:r>
            <w:r>
              <w:rPr>
                <w:rFonts w:cs="Times New Roman"/>
              </w:rPr>
              <w:t>12</w:t>
            </w:r>
            <w:r>
              <w:rPr>
                <w:rFonts w:ascii="宋体" w:hAnsi="宋体"/>
              </w:rPr>
              <w:t>日经山东省科学技术厅、山东省财政厅、国家税务总局山东省税务局认定为高新技术企业，证书编号：</w:t>
            </w:r>
            <w:r>
              <w:rPr>
                <w:rFonts w:cs="Times New Roman"/>
              </w:rPr>
              <w:t>GR202237001747</w:t>
            </w:r>
            <w:r>
              <w:rPr>
                <w:rFonts w:ascii="宋体" w:hAnsi="宋体"/>
              </w:rPr>
              <w:t>，有效期三年，按照《企业所得税法》等相关规定，其执行</w:t>
            </w:r>
            <w:r>
              <w:rPr>
                <w:rFonts w:cs="Times New Roman"/>
              </w:rPr>
              <w:t>15%</w:t>
            </w:r>
            <w:r>
              <w:rPr>
                <w:rFonts w:ascii="宋体" w:hAnsi="宋体"/>
              </w:rPr>
              <w:t>的企业所得税税率。其他子公司企业所得税税率为</w:t>
            </w:r>
            <w:r>
              <w:rPr>
                <w:rFonts w:cs="Times New Roman"/>
              </w:rPr>
              <w:t>25%</w:t>
            </w:r>
            <w:r>
              <w:rPr>
                <w:rFonts w:ascii="宋体" w:hAnsi="宋体"/>
              </w:rPr>
              <w:t>。</w:t>
            </w:r>
          </w:p>
        </w:tc>
        <w:tc>
          <w:tcPr>
            <w:tcW w:w="1725" w:type="pct"/>
            <w:vAlign w:val="center"/>
          </w:tcPr>
          <w:p w14:paraId="51C23698">
            <w:r>
              <w:rPr>
                <w:rFonts w:hint="eastAsia" w:cs="Times New Roman"/>
              </w:rPr>
              <w:t>12.5%</w:t>
            </w:r>
            <w:r>
              <w:rPr>
                <w:rFonts w:hint="eastAsia" w:ascii="宋体" w:hAnsi="宋体"/>
              </w:rPr>
              <w:t>、</w:t>
            </w:r>
            <w:r>
              <w:rPr>
                <w:rFonts w:hint="eastAsia" w:cs="Times New Roman"/>
              </w:rPr>
              <w:t>15%</w:t>
            </w:r>
            <w:r>
              <w:rPr>
                <w:rFonts w:hint="eastAsia" w:ascii="宋体" w:hAnsi="宋体"/>
              </w:rPr>
              <w:t>、</w:t>
            </w:r>
            <w:r>
              <w:rPr>
                <w:rFonts w:hint="eastAsia" w:cs="Times New Roman"/>
              </w:rPr>
              <w:t>25%</w:t>
            </w:r>
          </w:p>
        </w:tc>
      </w:tr>
      <w:tr w14:paraId="4ADF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14:paraId="1F606731">
            <w:pPr>
              <w:rPr>
                <w:color w:val="000000" w:themeColor="text1"/>
                <w14:textFill>
                  <w14:solidFill>
                    <w14:schemeClr w14:val="tx1"/>
                  </w14:solidFill>
                </w14:textFill>
              </w:rPr>
            </w:pPr>
            <w:r>
              <w:rPr>
                <w:rFonts w:hint="eastAsia" w:ascii="宋体" w:hAnsi="宋体"/>
              </w:rPr>
              <w:t>教育费附加</w:t>
            </w:r>
          </w:p>
        </w:tc>
        <w:tc>
          <w:tcPr>
            <w:tcW w:w="1738" w:type="pct"/>
          </w:tcPr>
          <w:p w14:paraId="50637FB8">
            <w:r>
              <w:rPr>
                <w:rFonts w:ascii="宋体" w:hAnsi="宋体"/>
              </w:rPr>
              <w:t>本公司及子公司按应缴流转税额的</w:t>
            </w:r>
            <w:r>
              <w:t>3%</w:t>
            </w:r>
            <w:r>
              <w:rPr>
                <w:rFonts w:ascii="宋体" w:hAnsi="宋体"/>
              </w:rPr>
              <w:t>缴纳。</w:t>
            </w:r>
          </w:p>
        </w:tc>
        <w:tc>
          <w:tcPr>
            <w:tcW w:w="1725" w:type="pct"/>
            <w:vAlign w:val="center"/>
          </w:tcPr>
          <w:p w14:paraId="1427832C">
            <w:r>
              <w:rPr>
                <w:rFonts w:hint="eastAsia" w:cs="Times New Roman"/>
              </w:rPr>
              <w:t>3%</w:t>
            </w:r>
          </w:p>
        </w:tc>
      </w:tr>
      <w:tr w14:paraId="70BC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14:paraId="0C9A7C8A">
            <w:pPr>
              <w:rPr>
                <w:color w:val="000000" w:themeColor="text1"/>
                <w14:textFill>
                  <w14:solidFill>
                    <w14:schemeClr w14:val="tx1"/>
                  </w14:solidFill>
                </w14:textFill>
              </w:rPr>
            </w:pPr>
            <w:r>
              <w:rPr>
                <w:rFonts w:hint="eastAsia" w:ascii="宋体" w:hAnsi="宋体"/>
              </w:rPr>
              <w:t>地方教育费附加</w:t>
            </w:r>
          </w:p>
        </w:tc>
        <w:tc>
          <w:tcPr>
            <w:tcW w:w="1738" w:type="pct"/>
          </w:tcPr>
          <w:p w14:paraId="1DA87029">
            <w:r>
              <w:rPr>
                <w:rFonts w:ascii="宋体" w:hAnsi="宋体"/>
              </w:rPr>
              <w:t>本公司及子公司按应缴流转税额的</w:t>
            </w:r>
            <w:r>
              <w:t>2%</w:t>
            </w:r>
            <w:r>
              <w:rPr>
                <w:rFonts w:ascii="宋体" w:hAnsi="宋体"/>
              </w:rPr>
              <w:t>缴纳。</w:t>
            </w:r>
          </w:p>
        </w:tc>
        <w:tc>
          <w:tcPr>
            <w:tcW w:w="1725" w:type="pct"/>
            <w:vAlign w:val="center"/>
          </w:tcPr>
          <w:p w14:paraId="61E386F2">
            <w:r>
              <w:rPr>
                <w:rFonts w:hint="eastAsia" w:cs="Times New Roman"/>
              </w:rPr>
              <w:t>2%</w:t>
            </w:r>
          </w:p>
        </w:tc>
      </w:tr>
    </w:tbl>
    <w:p w14:paraId="24D97C6F">
      <w:pPr>
        <w:rPr>
          <w:color w:val="000000" w:themeColor="text1"/>
          <w14:textFill>
            <w14:solidFill>
              <w14:schemeClr w14:val="tx1"/>
            </w14:solidFill>
          </w14:textFill>
        </w:rPr>
      </w:pPr>
      <w:r>
        <w:rPr>
          <w:rFonts w:hint="eastAsia"/>
          <w:color w:val="000000" w:themeColor="text1"/>
          <w14:textFill>
            <w14:solidFill>
              <w14:schemeClr w14:val="tx1"/>
            </w14:solidFill>
          </w14:textFill>
        </w:rPr>
        <w:t>存在不同企业所得税税率纳税主体的，披露情况说明</w:t>
      </w:r>
    </w:p>
    <w:sdt>
      <w:sdtPr>
        <w:rPr>
          <w:color w:val="000000" w:themeColor="text1"/>
          <w14:textFill>
            <w14:solidFill>
              <w14:schemeClr w14:val="tx1"/>
            </w14:solidFill>
          </w14:textFill>
        </w:rPr>
        <w:alias w:val="是否适用：存在不同企业所得税税率纳税主体的，披露情况说明[双击切换]"/>
        <w:tag w:val="_GBC_848dc0d1182048ccb5485f3b0d7d1d70"/>
        <w:id w:val="341212728"/>
        <w:placeholder>
          <w:docPart w:val="GBC22222222222222222222222222222"/>
        </w:placeholder>
      </w:sdtPr>
      <w:sdtEndPr>
        <w:rPr>
          <w:color w:val="000000" w:themeColor="text1"/>
          <w14:textFill>
            <w14:solidFill>
              <w14:schemeClr w14:val="tx1"/>
            </w14:solidFill>
          </w14:textFill>
        </w:rPr>
      </w:sdtEndPr>
      <w:sdtContent>
        <w:p w14:paraId="4CBEA43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CA778CD">
      <w:pPr>
        <w:rPr>
          <w:color w:val="000000" w:themeColor="text1"/>
          <w14:textFill>
            <w14:solidFill>
              <w14:schemeClr w14:val="tx1"/>
            </w14:solidFill>
          </w14:textFill>
        </w:rPr>
      </w:pPr>
    </w:p>
    <w:p w14:paraId="48ADE842">
      <w:pPr>
        <w:pStyle w:val="4"/>
        <w:numPr>
          <w:ilvl w:val="0"/>
          <w:numId w:val="52"/>
        </w:numPr>
        <w:tabs>
          <w:tab w:val="left" w:pos="546"/>
        </w:tabs>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税收优惠</w:t>
      </w:r>
    </w:p>
    <w:sdt>
      <w:sdtPr>
        <w:rPr>
          <w:rFonts w:hint="eastAsia"/>
          <w:color w:val="000000" w:themeColor="text1"/>
          <w14:textFill>
            <w14:solidFill>
              <w14:schemeClr w14:val="tx1"/>
            </w14:solidFill>
          </w14:textFill>
        </w:rPr>
        <w:alias w:val="是否适用：税收优惠[双击切换]"/>
        <w:tag w:val="_GBC_f8eb23e7a2e74e448e4eb46519d87bd6"/>
        <w:id w:val="-1763912272"/>
        <w:placeholder>
          <w:docPart w:val="GBC22222222222222222222222222222"/>
        </w:placeholder>
      </w:sdtPr>
      <w:sdtEndPr>
        <w:rPr>
          <w:rFonts w:hint="eastAsia"/>
          <w:color w:val="000000" w:themeColor="text1"/>
          <w14:textFill>
            <w14:solidFill>
              <w14:schemeClr w14:val="tx1"/>
            </w14:solidFill>
          </w14:textFill>
        </w:rPr>
      </w:sdtEndPr>
      <w:sdtContent>
        <w:p w14:paraId="5F55B45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5F43EC0">
      <w:pPr>
        <w:rPr>
          <w:color w:val="000000" w:themeColor="text1"/>
          <w14:textFill>
            <w14:solidFill>
              <w14:schemeClr w14:val="tx1"/>
            </w14:solidFill>
          </w14:textFill>
        </w:rPr>
      </w:pPr>
    </w:p>
    <w:p w14:paraId="36184117">
      <w:pPr>
        <w:pStyle w:val="4"/>
        <w:numPr>
          <w:ilvl w:val="0"/>
          <w:numId w:val="52"/>
        </w:numPr>
        <w:tabs>
          <w:tab w:val="left" w:pos="546"/>
        </w:tabs>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其他</w:t>
      </w:r>
    </w:p>
    <w:sdt>
      <w:sdtPr>
        <w:rPr>
          <w:rFonts w:hint="eastAsia"/>
          <w:color w:val="000000" w:themeColor="text1"/>
          <w14:textFill>
            <w14:solidFill>
              <w14:schemeClr w14:val="tx1"/>
            </w14:solidFill>
          </w14:textFill>
        </w:rPr>
        <w:alias w:val="是否适用：税项说明[双击切换]"/>
        <w:tag w:val="_GBC_566ef0a7141a4b2ca002ad8d0663c462"/>
        <w:id w:val="-1643730869"/>
        <w:placeholder>
          <w:docPart w:val="GBC22222222222222222222222222222"/>
        </w:placeholder>
      </w:sdtPr>
      <w:sdtEndPr>
        <w:rPr>
          <w:rFonts w:hint="eastAsia"/>
          <w:color w:val="000000" w:themeColor="text1"/>
          <w14:textFill>
            <w14:solidFill>
              <w14:schemeClr w14:val="tx1"/>
            </w14:solidFill>
          </w14:textFill>
        </w:rPr>
      </w:sdtEndPr>
      <w:sdtContent>
        <w:p w14:paraId="382B190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86CBDBE">
      <w:pPr>
        <w:rPr>
          <w:color w:val="000000" w:themeColor="text1"/>
          <w14:textFill>
            <w14:solidFill>
              <w14:schemeClr w14:val="tx1"/>
            </w14:solidFill>
          </w14:textFill>
        </w:rPr>
      </w:pPr>
    </w:p>
    <w:p w14:paraId="2EB820CE">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合并财务报表项目注释</w:t>
      </w:r>
    </w:p>
    <w:p w14:paraId="68CF3F32">
      <w:pPr>
        <w:pStyle w:val="4"/>
        <w:numPr>
          <w:ilvl w:val="0"/>
          <w:numId w:val="53"/>
        </w:numPr>
        <w:rPr>
          <w:color w:val="000000" w:themeColor="text1"/>
          <w:szCs w:val="21"/>
          <w14:textFill>
            <w14:solidFill>
              <w14:schemeClr w14:val="tx1"/>
            </w14:solidFill>
          </w14:textFill>
        </w:rPr>
      </w:pPr>
      <w:bookmarkStart w:id="167" w:name="_Hlk167884561"/>
      <w:r>
        <w:rPr>
          <w:color w:val="000000" w:themeColor="text1"/>
          <w:szCs w:val="21"/>
          <w14:textFill>
            <w14:solidFill>
              <w14:schemeClr w14:val="tx1"/>
            </w14:solidFill>
          </w14:textFill>
        </w:rPr>
        <w:t>货币资金</w:t>
      </w:r>
    </w:p>
    <w:sdt>
      <w:sdtPr>
        <w:rPr>
          <w:rFonts w:hint="eastAsia"/>
          <w:color w:val="000000" w:themeColor="text1"/>
          <w14:textFill>
            <w14:solidFill>
              <w14:schemeClr w14:val="tx1"/>
            </w14:solidFill>
          </w14:textFill>
        </w:rPr>
        <w:alias w:val="是否适用：货币资金[双击切换]"/>
        <w:tag w:val="_GBC_5f3519836df54c60a57659bf8a9d755e"/>
        <w:id w:val="-698626406"/>
        <w:placeholder>
          <w:docPart w:val="GBC22222222222222222222222222222"/>
        </w:placeholder>
      </w:sdtPr>
      <w:sdtEndPr>
        <w:rPr>
          <w:rFonts w:hint="eastAsia"/>
          <w:color w:val="000000" w:themeColor="text1"/>
          <w14:textFill>
            <w14:solidFill>
              <w14:schemeClr w14:val="tx1"/>
            </w14:solidFill>
          </w14:textFill>
        </w:rPr>
      </w:sdtEndPr>
      <w:sdtContent>
        <w:p w14:paraId="71B8627D">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9A742E1">
      <w:pPr>
        <w:snapToGrid w:val="0"/>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货币资金"/>
          <w:tag w:val="_GBC_fbefd7cb6bcc4b278e8eafe562f64817"/>
          <w:id w:val="15226574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货币资金"/>
          <w:tag w:val="_GBC_c76577cdfdc64a9abb84903fd74497a4"/>
          <w:id w:val="-16502038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3" w:type="dxa"/>
          <w:bottom w:w="0" w:type="dxa"/>
          <w:right w:w="113" w:type="dxa"/>
        </w:tblCellMar>
      </w:tblPr>
      <w:tblGrid>
        <w:gridCol w:w="2216"/>
        <w:gridCol w:w="3291"/>
        <w:gridCol w:w="3316"/>
      </w:tblGrid>
      <w:tr w14:paraId="59BD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sdt>
          <w:sdtPr>
            <w:tag w:val="_PLD_c298b96ff42b4ec08ce0bc2e7ff09d9d"/>
            <w:id w:val="-951396242"/>
          </w:sdtPr>
          <w:sdtContent>
            <w:tc>
              <w:tcPr>
                <w:tcW w:w="1256" w:type="pct"/>
                <w:vAlign w:val="center"/>
              </w:tcPr>
              <w:p w14:paraId="30BD9A1D">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410d387a5f404c958f8ba18c816ca023"/>
            <w:id w:val="1698198883"/>
          </w:sdtPr>
          <w:sdtContent>
            <w:tc>
              <w:tcPr>
                <w:tcW w:w="1865" w:type="pct"/>
                <w:vAlign w:val="center"/>
              </w:tcPr>
              <w:p w14:paraId="74CE2558">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04102c94e9134fa683ae3d0eac53465c"/>
            <w:id w:val="-1209565088"/>
          </w:sdtPr>
          <w:sdtContent>
            <w:tc>
              <w:tcPr>
                <w:tcW w:w="1879" w:type="pct"/>
                <w:vAlign w:val="center"/>
              </w:tcPr>
              <w:p w14:paraId="237BA6DE">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3E11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256" w:type="pct"/>
          </w:tcPr>
          <w:p w14:paraId="50A1E3FB">
            <w:pPr>
              <w:autoSpaceDE w:val="0"/>
              <w:autoSpaceDN w:val="0"/>
              <w:adjustRightInd w:val="0"/>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库存现金</w:t>
            </w:r>
          </w:p>
        </w:tc>
        <w:tc>
          <w:tcPr>
            <w:tcW w:w="1865" w:type="pct"/>
          </w:tcPr>
          <w:p w14:paraId="6DB3FAC2">
            <w:pPr>
              <w:autoSpaceDE w:val="0"/>
              <w:autoSpaceDN w:val="0"/>
              <w:adjustRightInd w:val="0"/>
              <w:snapToGrid w:val="0"/>
              <w:spacing w:line="240" w:lineRule="atLeast"/>
              <w:jc w:val="right"/>
            </w:pPr>
            <w:r>
              <w:t>290,928.87</w:t>
            </w:r>
          </w:p>
        </w:tc>
        <w:tc>
          <w:tcPr>
            <w:tcW w:w="1879" w:type="pct"/>
          </w:tcPr>
          <w:p w14:paraId="2CA7D7DE">
            <w:pPr>
              <w:autoSpaceDE w:val="0"/>
              <w:autoSpaceDN w:val="0"/>
              <w:adjustRightInd w:val="0"/>
              <w:snapToGrid w:val="0"/>
              <w:spacing w:line="240" w:lineRule="atLeast"/>
              <w:jc w:val="right"/>
            </w:pPr>
            <w:r>
              <w:t>151,574.38</w:t>
            </w:r>
          </w:p>
        </w:tc>
      </w:tr>
      <w:tr w14:paraId="40AF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256" w:type="pct"/>
          </w:tcPr>
          <w:p w14:paraId="3444D430">
            <w:pPr>
              <w:autoSpaceDE w:val="0"/>
              <w:autoSpaceDN w:val="0"/>
              <w:adjustRightInd w:val="0"/>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银行存款</w:t>
            </w:r>
          </w:p>
        </w:tc>
        <w:tc>
          <w:tcPr>
            <w:tcW w:w="1865" w:type="pct"/>
          </w:tcPr>
          <w:p w14:paraId="4F8D1053">
            <w:pPr>
              <w:autoSpaceDE w:val="0"/>
              <w:autoSpaceDN w:val="0"/>
              <w:adjustRightInd w:val="0"/>
              <w:snapToGrid w:val="0"/>
              <w:spacing w:line="240" w:lineRule="atLeast"/>
              <w:jc w:val="right"/>
            </w:pPr>
            <w:r>
              <w:t>37,554,004.39</w:t>
            </w:r>
          </w:p>
        </w:tc>
        <w:tc>
          <w:tcPr>
            <w:tcW w:w="1879" w:type="pct"/>
          </w:tcPr>
          <w:p w14:paraId="71B826A7">
            <w:pPr>
              <w:autoSpaceDE w:val="0"/>
              <w:autoSpaceDN w:val="0"/>
              <w:adjustRightInd w:val="0"/>
              <w:snapToGrid w:val="0"/>
              <w:spacing w:line="240" w:lineRule="atLeast"/>
              <w:jc w:val="right"/>
            </w:pPr>
            <w:r>
              <w:t>31,739,225.71</w:t>
            </w:r>
          </w:p>
        </w:tc>
      </w:tr>
      <w:tr w14:paraId="4F55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256" w:type="pct"/>
          </w:tcPr>
          <w:p w14:paraId="318F62E7">
            <w:pPr>
              <w:autoSpaceDE w:val="0"/>
              <w:autoSpaceDN w:val="0"/>
              <w:adjustRightInd w:val="0"/>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其他货币资金</w:t>
            </w:r>
          </w:p>
        </w:tc>
        <w:tc>
          <w:tcPr>
            <w:tcW w:w="1865" w:type="pct"/>
          </w:tcPr>
          <w:p w14:paraId="64D1FFB3">
            <w:pPr>
              <w:autoSpaceDE w:val="0"/>
              <w:autoSpaceDN w:val="0"/>
              <w:adjustRightInd w:val="0"/>
              <w:snapToGrid w:val="0"/>
              <w:spacing w:line="240" w:lineRule="atLeast"/>
              <w:jc w:val="right"/>
            </w:pPr>
            <w:r>
              <w:t>526,536,881.20</w:t>
            </w:r>
          </w:p>
        </w:tc>
        <w:tc>
          <w:tcPr>
            <w:tcW w:w="1879" w:type="pct"/>
          </w:tcPr>
          <w:p w14:paraId="674B5050">
            <w:pPr>
              <w:autoSpaceDE w:val="0"/>
              <w:autoSpaceDN w:val="0"/>
              <w:adjustRightInd w:val="0"/>
              <w:snapToGrid w:val="0"/>
              <w:spacing w:line="240" w:lineRule="atLeast"/>
              <w:jc w:val="right"/>
            </w:pPr>
            <w:r>
              <w:t>408,048,218.93</w:t>
            </w:r>
          </w:p>
        </w:tc>
      </w:tr>
      <w:tr w14:paraId="26057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256" w:type="pct"/>
          </w:tcPr>
          <w:p w14:paraId="0C35A387">
            <w:pPr>
              <w:autoSpaceDE w:val="0"/>
              <w:autoSpaceDN w:val="0"/>
              <w:adjustRightInd w:val="0"/>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存放财务公司存款</w:t>
            </w:r>
          </w:p>
        </w:tc>
        <w:tc>
          <w:tcPr>
            <w:tcW w:w="1865" w:type="pct"/>
          </w:tcPr>
          <w:p w14:paraId="00CF1C28">
            <w:pPr>
              <w:tabs>
                <w:tab w:val="left" w:pos="2350"/>
              </w:tabs>
              <w:autoSpaceDE w:val="0"/>
              <w:autoSpaceDN w:val="0"/>
              <w:adjustRightInd w:val="0"/>
              <w:snapToGrid w:val="0"/>
              <w:spacing w:line="240" w:lineRule="atLeast"/>
              <w:jc w:val="right"/>
            </w:pPr>
          </w:p>
        </w:tc>
        <w:tc>
          <w:tcPr>
            <w:tcW w:w="1879" w:type="pct"/>
          </w:tcPr>
          <w:p w14:paraId="2477E128">
            <w:pPr>
              <w:autoSpaceDE w:val="0"/>
              <w:autoSpaceDN w:val="0"/>
              <w:adjustRightInd w:val="0"/>
              <w:snapToGrid w:val="0"/>
              <w:spacing w:line="240" w:lineRule="atLeast"/>
              <w:jc w:val="right"/>
            </w:pPr>
          </w:p>
        </w:tc>
      </w:tr>
      <w:tr w14:paraId="29C1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256" w:type="pct"/>
            <w:vAlign w:val="center"/>
          </w:tcPr>
          <w:p w14:paraId="3BE4C15B">
            <w:pPr>
              <w:autoSpaceDE w:val="0"/>
              <w:autoSpaceDN w:val="0"/>
              <w:adjustRightInd w:val="0"/>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865" w:type="pct"/>
          </w:tcPr>
          <w:p w14:paraId="51DA864E">
            <w:pPr>
              <w:autoSpaceDE w:val="0"/>
              <w:autoSpaceDN w:val="0"/>
              <w:adjustRightInd w:val="0"/>
              <w:snapToGrid w:val="0"/>
              <w:spacing w:line="240" w:lineRule="atLeast"/>
              <w:jc w:val="right"/>
            </w:pPr>
            <w:r>
              <w:t>564,381,814.46</w:t>
            </w:r>
          </w:p>
        </w:tc>
        <w:tc>
          <w:tcPr>
            <w:tcW w:w="1879" w:type="pct"/>
          </w:tcPr>
          <w:p w14:paraId="475F3002">
            <w:pPr>
              <w:autoSpaceDE w:val="0"/>
              <w:autoSpaceDN w:val="0"/>
              <w:adjustRightInd w:val="0"/>
              <w:snapToGrid w:val="0"/>
              <w:spacing w:line="240" w:lineRule="atLeast"/>
              <w:jc w:val="right"/>
            </w:pPr>
            <w:r>
              <w:t>439,939,019.02</w:t>
            </w:r>
          </w:p>
        </w:tc>
      </w:tr>
      <w:tr w14:paraId="25CF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256" w:type="pct"/>
          </w:tcPr>
          <w:p w14:paraId="02A8CB21">
            <w:pPr>
              <w:autoSpaceDE w:val="0"/>
              <w:autoSpaceDN w:val="0"/>
              <w:adjustRightInd w:val="0"/>
              <w:snapToGrid w:val="0"/>
              <w:spacing w:line="240" w:lineRule="atLeast"/>
              <w:ind w:firstLine="210" w:firstLineChars="10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其中：存放在境外的款项总额</w:t>
            </w:r>
          </w:p>
        </w:tc>
        <w:tc>
          <w:tcPr>
            <w:tcW w:w="1865" w:type="pct"/>
          </w:tcPr>
          <w:p w14:paraId="20855661">
            <w:pPr>
              <w:autoSpaceDE w:val="0"/>
              <w:autoSpaceDN w:val="0"/>
              <w:adjustRightInd w:val="0"/>
              <w:snapToGrid w:val="0"/>
              <w:spacing w:line="240" w:lineRule="atLeast"/>
              <w:jc w:val="right"/>
            </w:pPr>
          </w:p>
        </w:tc>
        <w:tc>
          <w:tcPr>
            <w:tcW w:w="1879" w:type="pct"/>
          </w:tcPr>
          <w:p w14:paraId="364F9338">
            <w:pPr>
              <w:autoSpaceDE w:val="0"/>
              <w:autoSpaceDN w:val="0"/>
              <w:adjustRightInd w:val="0"/>
              <w:snapToGrid w:val="0"/>
              <w:spacing w:line="240" w:lineRule="atLeast"/>
              <w:jc w:val="right"/>
            </w:pPr>
          </w:p>
        </w:tc>
      </w:tr>
    </w:tbl>
    <w:p w14:paraId="28C1BC1A">
      <w:pPr>
        <w:rPr>
          <w:color w:val="000000" w:themeColor="text1"/>
          <w14:textFill>
            <w14:solidFill>
              <w14:schemeClr w14:val="tx1"/>
            </w14:solidFill>
          </w14:textFill>
        </w:rPr>
      </w:pPr>
    </w:p>
    <w:p w14:paraId="2B5A07EA">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p w14:paraId="37EE6703">
      <w:pPr>
        <w:rPr>
          <w:color w:val="000000" w:themeColor="text1"/>
          <w14:textFill>
            <w14:solidFill>
              <w14:schemeClr w14:val="tx1"/>
            </w14:solidFill>
          </w14:textFill>
        </w:rPr>
      </w:pPr>
      <w:sdt>
        <w:sdtPr>
          <w:rPr>
            <w:color w:val="000000" w:themeColor="text1"/>
            <w14:textFill>
              <w14:solidFill>
                <w14:schemeClr w14:val="tx1"/>
              </w14:solidFill>
            </w14:textFill>
          </w:rPr>
          <w:alias w:val="货币资金的说明"/>
          <w:tag w:val="_GBC_2938fcf8616141aca7cb2bc277476b5d"/>
          <w:id w:val="1056444178"/>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无</w:t>
          </w:r>
        </w:sdtContent>
      </w:sdt>
    </w:p>
    <w:bookmarkEnd w:id="167"/>
    <w:p w14:paraId="4FF2B11C">
      <w:pPr>
        <w:snapToGrid w:val="0"/>
        <w:spacing w:line="240" w:lineRule="atLeast"/>
        <w:ind w:left="1470" w:right="25" w:rightChars="12" w:hanging="1470" w:hangingChars="700"/>
        <w:rPr>
          <w:color w:val="000000" w:themeColor="text1"/>
          <w14:textFill>
            <w14:solidFill>
              <w14:schemeClr w14:val="tx1"/>
            </w14:solidFill>
          </w14:textFill>
        </w:rPr>
      </w:pPr>
    </w:p>
    <w:p w14:paraId="2C8162E7">
      <w:pPr>
        <w:pStyle w:val="4"/>
        <w:numPr>
          <w:ilvl w:val="0"/>
          <w:numId w:val="53"/>
        </w:numPr>
        <w:rPr>
          <w:color w:val="000000" w:themeColor="text1"/>
          <w:szCs w:val="21"/>
          <w14:textFill>
            <w14:solidFill>
              <w14:schemeClr w14:val="tx1"/>
            </w14:solidFill>
          </w14:textFill>
        </w:rPr>
      </w:pPr>
      <w:bookmarkStart w:id="168" w:name="_Hlk167884670"/>
      <w:r>
        <w:rPr>
          <w:rFonts w:hint="eastAsia"/>
          <w:color w:val="000000" w:themeColor="text1"/>
          <w:szCs w:val="21"/>
          <w14:textFill>
            <w14:solidFill>
              <w14:schemeClr w14:val="tx1"/>
            </w14:solidFill>
          </w14:textFill>
        </w:rPr>
        <w:t>交易性金融资产</w:t>
      </w:r>
    </w:p>
    <w:sdt>
      <w:sdtPr>
        <w:rPr>
          <w:color w:val="000000" w:themeColor="text1"/>
          <w14:textFill>
            <w14:solidFill>
              <w14:schemeClr w14:val="tx1"/>
            </w14:solidFill>
          </w14:textFill>
        </w:rPr>
        <w:alias w:val="是否适用：交易性金融资产[双击切换]"/>
        <w:tag w:val="_GBC_814e9c37d6a143e79b3faaee7ef0a917"/>
        <w:id w:val="1605850281"/>
        <w:placeholder>
          <w:docPart w:val="GBC22222222222222222222222222222"/>
        </w:placeholder>
      </w:sdtPr>
      <w:sdtEndPr>
        <w:rPr>
          <w:color w:val="000000" w:themeColor="text1"/>
          <w14:textFill>
            <w14:solidFill>
              <w14:schemeClr w14:val="tx1"/>
            </w14:solidFill>
          </w14:textFill>
        </w:rPr>
      </w:sdtEndPr>
      <w:sdtContent>
        <w:p w14:paraId="7ABC08B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C3A56DA">
      <w:pPr>
        <w:rPr>
          <w:color w:val="000000" w:themeColor="text1"/>
          <w14:textFill>
            <w14:solidFill>
              <w14:schemeClr w14:val="tx1"/>
            </w14:solidFill>
          </w14:textFill>
        </w:rPr>
      </w:pPr>
    </w:p>
    <w:p w14:paraId="3522A67D">
      <w:pPr>
        <w:rPr>
          <w:color w:val="000000" w:themeColor="text1"/>
          <w14:textFill>
            <w14:solidFill>
              <w14:schemeClr w14:val="tx1"/>
            </w14:solidFill>
          </w14:textFill>
        </w:rPr>
      </w:pPr>
    </w:p>
    <w:bookmarkEnd w:id="168"/>
    <w:p w14:paraId="0D59D338">
      <w:pPr>
        <w:pStyle w:val="4"/>
        <w:numPr>
          <w:ilvl w:val="0"/>
          <w:numId w:val="53"/>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衍生金融资产</w:t>
      </w:r>
    </w:p>
    <w:sdt>
      <w:sdtPr>
        <w:rPr>
          <w:color w:val="000000" w:themeColor="text1"/>
          <w14:textFill>
            <w14:solidFill>
              <w14:schemeClr w14:val="tx1"/>
            </w14:solidFill>
          </w14:textFill>
        </w:rPr>
        <w:alias w:val="是否适用：衍生金融资产[双击切换]"/>
        <w:tag w:val="_GBC_7f1559f8ac9a442b81c5479563d9e8bb"/>
        <w:id w:val="-1573111391"/>
        <w:placeholder>
          <w:docPart w:val="GBC22222222222222222222222222222"/>
        </w:placeholder>
      </w:sdtPr>
      <w:sdtEndPr>
        <w:rPr>
          <w:color w:val="000000" w:themeColor="text1"/>
          <w14:textFill>
            <w14:solidFill>
              <w14:schemeClr w14:val="tx1"/>
            </w14:solidFill>
          </w14:textFill>
        </w:rPr>
      </w:sdtEndPr>
      <w:sdtContent>
        <w:p w14:paraId="4A08BB9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FF8544F">
      <w:pPr>
        <w:snapToGrid w:val="0"/>
        <w:spacing w:line="240" w:lineRule="atLeast"/>
        <w:rPr>
          <w:color w:val="000000" w:themeColor="text1"/>
          <w14:textFill>
            <w14:solidFill>
              <w14:schemeClr w14:val="tx1"/>
            </w14:solidFill>
          </w14:textFill>
        </w:rPr>
      </w:pPr>
    </w:p>
    <w:p w14:paraId="54C741E0">
      <w:pPr>
        <w:snapToGrid w:val="0"/>
        <w:spacing w:line="240" w:lineRule="atLeast"/>
        <w:ind w:right="25" w:rightChars="12"/>
        <w:rPr>
          <w:color w:val="000000" w:themeColor="text1"/>
          <w14:textFill>
            <w14:solidFill>
              <w14:schemeClr w14:val="tx1"/>
            </w14:solidFill>
          </w14:textFill>
        </w:rPr>
      </w:pPr>
    </w:p>
    <w:p w14:paraId="7B370CC8">
      <w:pPr>
        <w:pStyle w:val="4"/>
        <w:numPr>
          <w:ilvl w:val="0"/>
          <w:numId w:val="53"/>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应收票据</w:t>
      </w:r>
    </w:p>
    <w:p w14:paraId="09F24FC4">
      <w:pPr>
        <w:pStyle w:val="5"/>
        <w:numPr>
          <w:ilvl w:val="3"/>
          <w:numId w:val="54"/>
        </w:numPr>
        <w:ind w:left="425" w:hanging="42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应收票据分类列示</w:t>
      </w:r>
    </w:p>
    <w:sdt>
      <w:sdtPr>
        <w:rPr>
          <w:color w:val="000000" w:themeColor="text1"/>
          <w14:textFill>
            <w14:solidFill>
              <w14:schemeClr w14:val="tx1"/>
            </w14:solidFill>
          </w14:textFill>
        </w:rPr>
        <w:alias w:val="是否适用：应收票据分类列示[双击切换]"/>
        <w:tag w:val="_GBC_3c32a2809ab3476a93b88a8155fb0be8"/>
        <w:id w:val="945119400"/>
        <w:placeholder>
          <w:docPart w:val="GBC22222222222222222222222222222"/>
        </w:placeholder>
      </w:sdtPr>
      <w:sdtEndPr>
        <w:rPr>
          <w:color w:val="000000" w:themeColor="text1"/>
          <w14:textFill>
            <w14:solidFill>
              <w14:schemeClr w14:val="tx1"/>
            </w14:solidFill>
          </w14:textFill>
        </w:rPr>
      </w:sdtEndPr>
      <w:sdtContent>
        <w:p w14:paraId="6A161BC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7B08570">
      <w:pPr>
        <w:rPr>
          <w:color w:val="000000" w:themeColor="text1"/>
          <w14:textFill>
            <w14:solidFill>
              <w14:schemeClr w14:val="tx1"/>
            </w14:solidFill>
          </w14:textFill>
        </w:rPr>
      </w:pPr>
    </w:p>
    <w:p w14:paraId="6D33FB60">
      <w:pPr>
        <w:pStyle w:val="5"/>
        <w:numPr>
          <w:ilvl w:val="3"/>
          <w:numId w:val="54"/>
        </w:numPr>
        <w:ind w:left="425" w:hanging="425"/>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期末公司已</w:t>
      </w:r>
      <w:r>
        <w:rPr>
          <w:rFonts w:hint="eastAsia" w:ascii="宋体" w:hAnsi="宋体"/>
          <w:color w:val="000000" w:themeColor="text1"/>
          <w14:textFill>
            <w14:solidFill>
              <w14:schemeClr w14:val="tx1"/>
            </w14:solidFill>
          </w14:textFill>
        </w:rPr>
        <w:t>质押</w:t>
      </w:r>
      <w:r>
        <w:rPr>
          <w:rFonts w:ascii="宋体" w:hAnsi="宋体"/>
          <w:color w:val="000000" w:themeColor="text1"/>
          <w14:textFill>
            <w14:solidFill>
              <w14:schemeClr w14:val="tx1"/>
            </w14:solidFill>
          </w14:textFill>
        </w:rPr>
        <w:t>的应收票据</w:t>
      </w:r>
    </w:p>
    <w:sdt>
      <w:sdtPr>
        <w:rPr>
          <w:color w:val="000000" w:themeColor="text1"/>
          <w14:textFill>
            <w14:solidFill>
              <w14:schemeClr w14:val="tx1"/>
            </w14:solidFill>
          </w14:textFill>
        </w:rPr>
        <w:alias w:val="是否适用：期末公司已质押的应收票据[双击切换]"/>
        <w:tag w:val="_GBC_3440ef2908e64e51a440106bfa389257"/>
        <w:id w:val="972493810"/>
        <w:placeholder>
          <w:docPart w:val="GBC22222222222222222222222222222"/>
        </w:placeholder>
      </w:sdtPr>
      <w:sdtEndPr>
        <w:rPr>
          <w:color w:val="000000" w:themeColor="text1"/>
          <w14:textFill>
            <w14:solidFill>
              <w14:schemeClr w14:val="tx1"/>
            </w14:solidFill>
          </w14:textFill>
        </w:rPr>
      </w:sdtEndPr>
      <w:sdtContent>
        <w:p w14:paraId="29B2143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8545F76">
      <w:pPr>
        <w:rPr>
          <w:color w:val="000000" w:themeColor="text1"/>
          <w14:textFill>
            <w14:solidFill>
              <w14:schemeClr w14:val="tx1"/>
            </w14:solidFill>
          </w14:textFill>
        </w:rPr>
      </w:pPr>
    </w:p>
    <w:p w14:paraId="2FBEE7DD">
      <w:pPr>
        <w:pStyle w:val="5"/>
        <w:numPr>
          <w:ilvl w:val="3"/>
          <w:numId w:val="54"/>
        </w:numPr>
        <w:ind w:left="425" w:hanging="42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期末公司已背书或贴现且在资产负债表日尚未到期的应收票据</w:t>
      </w:r>
    </w:p>
    <w:sdt>
      <w:sdtPr>
        <w:rPr>
          <w:color w:val="000000" w:themeColor="text1"/>
          <w14:textFill>
            <w14:solidFill>
              <w14:schemeClr w14:val="tx1"/>
            </w14:solidFill>
          </w14:textFill>
        </w:rPr>
        <w:alias w:val="是否适用：期末公司已背书或贴现且在资产负债表日尚未到期的应收票据[双击切换]"/>
        <w:tag w:val="_GBC_d04f4c30d18f498d986ce6c934ec761c"/>
        <w:id w:val="-752807007"/>
        <w:placeholder>
          <w:docPart w:val="GBC22222222222222222222222222222"/>
        </w:placeholder>
      </w:sdtPr>
      <w:sdtEndPr>
        <w:rPr>
          <w:color w:val="000000" w:themeColor="text1"/>
          <w14:textFill>
            <w14:solidFill>
              <w14:schemeClr w14:val="tx1"/>
            </w14:solidFill>
          </w14:textFill>
        </w:rPr>
      </w:sdtEndPr>
      <w:sdtContent>
        <w:p w14:paraId="674CB6B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6F80CA5">
      <w:pPr>
        <w:rPr>
          <w:rFonts w:cs="Times New Roman"/>
          <w:color w:val="000000" w:themeColor="text1"/>
          <w:kern w:val="2"/>
          <w14:textFill>
            <w14:solidFill>
              <w14:schemeClr w14:val="tx1"/>
            </w14:solidFill>
          </w14:textFill>
        </w:rPr>
      </w:pPr>
    </w:p>
    <w:p w14:paraId="0509EFF6">
      <w:pPr>
        <w:pStyle w:val="5"/>
        <w:numPr>
          <w:ilvl w:val="3"/>
          <w:numId w:val="54"/>
        </w:numPr>
        <w:ind w:left="425" w:hanging="425"/>
        <w:rPr>
          <w:rFonts w:hint="eastAsia" w:ascii="宋体" w:hAnsi="宋体"/>
          <w:color w:val="000000" w:themeColor="text1"/>
          <w14:textFill>
            <w14:solidFill>
              <w14:schemeClr w14:val="tx1"/>
            </w14:solidFill>
          </w14:textFill>
        </w:rPr>
      </w:pPr>
      <w:bookmarkStart w:id="169" w:name="_Hlk10466572"/>
      <w:r>
        <w:rPr>
          <w:rFonts w:hint="eastAsia" w:ascii="宋体" w:hAnsi="宋体"/>
          <w:color w:val="000000" w:themeColor="text1"/>
          <w14:textFill>
            <w14:solidFill>
              <w14:schemeClr w14:val="tx1"/>
            </w14:solidFill>
          </w14:textFill>
        </w:rPr>
        <w:t>按坏账计提方法分类披露</w:t>
      </w:r>
    </w:p>
    <w:sdt>
      <w:sdtPr>
        <w:rPr>
          <w:color w:val="000000" w:themeColor="text1"/>
          <w14:textFill>
            <w14:solidFill>
              <w14:schemeClr w14:val="tx1"/>
            </w14:solidFill>
          </w14:textFill>
        </w:rPr>
        <w:alias w:val="是否适用：应收票据按坏账计提方法分类披露[双击切换]"/>
        <w:tag w:val="_GBC_064ae6cf552d47d6abf4ad2b5c55d254"/>
        <w:id w:val="733277663"/>
        <w:placeholder>
          <w:docPart w:val="GBC22222222222222222222222222222"/>
        </w:placeholder>
      </w:sdtPr>
      <w:sdtEndPr>
        <w:rPr>
          <w:color w:val="000000" w:themeColor="text1"/>
          <w14:textFill>
            <w14:solidFill>
              <w14:schemeClr w14:val="tx1"/>
            </w14:solidFill>
          </w14:textFill>
        </w:rPr>
      </w:sdtEndPr>
      <w:sdtContent>
        <w:p w14:paraId="22E394B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31E0A53">
      <w:pPr>
        <w:rPr>
          <w:color w:val="000000" w:themeColor="text1"/>
          <w14:textFill>
            <w14:solidFill>
              <w14:schemeClr w14:val="tx1"/>
            </w14:solidFill>
          </w14:textFill>
        </w:rPr>
      </w:pPr>
      <w:bookmarkStart w:id="170" w:name="_Hlk533511527"/>
    </w:p>
    <w:bookmarkEnd w:id="169"/>
    <w:bookmarkEnd w:id="170"/>
    <w:p w14:paraId="0FCE04A8">
      <w:pPr>
        <w:rPr>
          <w:color w:val="000000" w:themeColor="text1"/>
          <w14:textFill>
            <w14:solidFill>
              <w14:schemeClr w14:val="tx1"/>
            </w14:solidFill>
          </w14:textFill>
        </w:rPr>
      </w:pPr>
      <w:bookmarkStart w:id="171" w:name="_Hlk10466593"/>
      <w:bookmarkStart w:id="172" w:name="_Hlk10466603"/>
      <w:r>
        <w:rPr>
          <w:rFonts w:hint="eastAsia"/>
          <w:color w:val="000000" w:themeColor="text1"/>
          <w14:textFill>
            <w14:solidFill>
              <w14:schemeClr w14:val="tx1"/>
            </w14:solidFill>
          </w14:textFill>
        </w:rPr>
        <w:t>按单项计提坏账准备：</w:t>
      </w:r>
      <w:bookmarkEnd w:id="171"/>
    </w:p>
    <w:sdt>
      <w:sdtPr>
        <w:rPr>
          <w:rFonts w:hint="eastAsia"/>
          <w:color w:val="000000" w:themeColor="text1"/>
          <w14:textFill>
            <w14:solidFill>
              <w14:schemeClr w14:val="tx1"/>
            </w14:solidFill>
          </w14:textFill>
        </w:rPr>
        <w:alias w:val="是否适用：按单项计提坏账准备的应收票据详细情况[双击切换]"/>
        <w:tag w:val="_GBC_90335c20d2434e43b63dbeddbebca5f6"/>
        <w:id w:val="1393166537"/>
        <w:placeholder>
          <w:docPart w:val="GBC22222222222222222222222222222"/>
        </w:placeholder>
      </w:sdtPr>
      <w:sdtEndPr>
        <w:rPr>
          <w:rFonts w:hint="eastAsia"/>
          <w:color w:val="000000" w:themeColor="text1"/>
          <w14:textFill>
            <w14:solidFill>
              <w14:schemeClr w14:val="tx1"/>
            </w14:solidFill>
          </w14:textFill>
        </w:rPr>
      </w:sdtEndPr>
      <w:sdtContent>
        <w:p w14:paraId="6D956D6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9B4609E">
      <w:pPr>
        <w:rPr>
          <w:color w:val="000000" w:themeColor="text1"/>
          <w14:textFill>
            <w14:solidFill>
              <w14:schemeClr w14:val="tx1"/>
            </w14:solidFill>
          </w14:textFill>
        </w:rPr>
      </w:pPr>
      <w:bookmarkStart w:id="173" w:name="_Hlk533597423"/>
    </w:p>
    <w:p w14:paraId="47EB77B9">
      <w:pPr>
        <w:ind w:right="210"/>
        <w:rPr>
          <w:color w:val="000000" w:themeColor="text1"/>
          <w14:textFill>
            <w14:solidFill>
              <w14:schemeClr w14:val="tx1"/>
            </w14:solidFill>
          </w14:textFill>
        </w:rPr>
      </w:pPr>
    </w:p>
    <w:bookmarkEnd w:id="172"/>
    <w:bookmarkEnd w:id="173"/>
    <w:p w14:paraId="2F5CC462">
      <w:pPr>
        <w:rPr>
          <w:rFonts w:cstheme="minorBidi"/>
          <w:bCs w:val="0"/>
          <w:color w:val="000000" w:themeColor="text1"/>
          <w:szCs w:val="22"/>
          <w14:textFill>
            <w14:solidFill>
              <w14:schemeClr w14:val="tx1"/>
            </w14:solidFill>
          </w14:textFill>
        </w:rPr>
      </w:pPr>
      <w:bookmarkStart w:id="174" w:name="_Hlk10466625"/>
      <w:bookmarkStart w:id="175" w:name="_Hlk10466636"/>
      <w:r>
        <w:rPr>
          <w:rFonts w:hint="eastAsia" w:cstheme="minorBidi"/>
          <w:color w:val="000000" w:themeColor="text1"/>
          <w:szCs w:val="22"/>
          <w14:textFill>
            <w14:solidFill>
              <w14:schemeClr w14:val="tx1"/>
            </w14:solidFill>
          </w14:textFill>
        </w:rPr>
        <w:t>按组合计提坏账准备：</w:t>
      </w:r>
      <w:bookmarkEnd w:id="174"/>
    </w:p>
    <w:sdt>
      <w:sdtPr>
        <w:rPr>
          <w:rFonts w:hint="eastAsia" w:cstheme="minorBidi"/>
          <w:bCs w:val="0"/>
          <w:color w:val="000000" w:themeColor="text1"/>
          <w:szCs w:val="22"/>
          <w14:textFill>
            <w14:solidFill>
              <w14:schemeClr w14:val="tx1"/>
            </w14:solidFill>
          </w14:textFill>
        </w:rPr>
        <w:alias w:val="是否适用：按组合计提坏账准备的应收票据详细情况[双击切换]"/>
        <w:tag w:val="_GBC_2b00fe7228b14b11bdb374e735777f02"/>
        <w:id w:val="100841282"/>
        <w:placeholder>
          <w:docPart w:val="GBC22222222222222222222222222222"/>
        </w:placeholder>
      </w:sdtPr>
      <w:sdtEndPr>
        <w:rPr>
          <w:rFonts w:hint="eastAsia" w:cstheme="minorBidi"/>
          <w:bCs w:val="0"/>
          <w:color w:val="000000" w:themeColor="text1"/>
          <w:szCs w:val="22"/>
          <w14:textFill>
            <w14:solidFill>
              <w14:schemeClr w14:val="tx1"/>
            </w14:solidFill>
          </w14:textFill>
        </w:rPr>
      </w:sdtEndPr>
      <w:sdtContent>
        <w:p w14:paraId="14E6A4B8">
          <w:pPr>
            <w:rPr>
              <w:color w:val="000000" w:themeColor="text1"/>
              <w14:textFill>
                <w14:solidFill>
                  <w14:schemeClr w14:val="tx1"/>
                </w14:solidFill>
              </w14:textFill>
            </w:rPr>
          </w:pPr>
          <w:r>
            <w:rPr>
              <w:rFonts w:ascii="宋体" w:hAnsi="宋体" w:cstheme="minorBidi"/>
              <w:bCs w:val="0"/>
              <w:color w:val="000000" w:themeColor="text1"/>
              <w:szCs w:val="22"/>
              <w14:textFill>
                <w14:solidFill>
                  <w14:schemeClr w14:val="tx1"/>
                </w14:solidFill>
              </w14:textFill>
            </w:rPr>
            <w:fldChar w:fldCharType="begin"/>
          </w:r>
          <w:r>
            <w:rPr>
              <w:rFonts w:hint="eastAsia" w:ascii="宋体" w:hAnsi="宋体" w:cstheme="minorBidi"/>
              <w:color w:val="000000" w:themeColor="text1"/>
              <w:szCs w:val="22"/>
              <w14:textFill>
                <w14:solidFill>
                  <w14:schemeClr w14:val="tx1"/>
                </w14:solidFill>
              </w14:textFill>
            </w:rPr>
            <w:instrText xml:space="preserve"> MACROBUTTON  SnrToggleCheckbox □适用 </w:instrText>
          </w:r>
          <w:r>
            <w:rPr>
              <w:rFonts w:ascii="宋体" w:hAnsi="宋体" w:cstheme="minorBidi"/>
              <w:bCs w:val="0"/>
              <w:color w:val="000000" w:themeColor="text1"/>
              <w:szCs w:val="22"/>
              <w14:textFill>
                <w14:solidFill>
                  <w14:schemeClr w14:val="tx1"/>
                </w14:solidFill>
              </w14:textFill>
            </w:rPr>
            <w:fldChar w:fldCharType="end"/>
          </w:r>
          <w:r>
            <w:rPr>
              <w:rFonts w:ascii="宋体" w:hAnsi="宋体" w:cstheme="minorBidi"/>
              <w:bCs w:val="0"/>
              <w:color w:val="000000" w:themeColor="text1"/>
              <w:szCs w:val="22"/>
              <w14:textFill>
                <w14:solidFill>
                  <w14:schemeClr w14:val="tx1"/>
                </w14:solidFill>
              </w14:textFill>
            </w:rPr>
            <w:fldChar w:fldCharType="begin"/>
          </w:r>
          <w:r>
            <w:rPr>
              <w:rFonts w:hint="eastAsia" w:ascii="宋体" w:hAnsi="宋体" w:cstheme="minorBidi"/>
              <w:color w:val="000000" w:themeColor="text1"/>
              <w:szCs w:val="22"/>
              <w14:textFill>
                <w14:solidFill>
                  <w14:schemeClr w14:val="tx1"/>
                </w14:solidFill>
              </w14:textFill>
            </w:rPr>
            <w:instrText xml:space="preserve"> MACROBUTTON  SnrToggleCheckbox √不适用 </w:instrText>
          </w:r>
          <w:r>
            <w:rPr>
              <w:rFonts w:ascii="宋体" w:hAnsi="宋体" w:cstheme="minorBidi"/>
              <w:bCs w:val="0"/>
              <w:color w:val="000000" w:themeColor="text1"/>
              <w:szCs w:val="22"/>
              <w14:textFill>
                <w14:solidFill>
                  <w14:schemeClr w14:val="tx1"/>
                </w14:solidFill>
              </w14:textFill>
            </w:rPr>
            <w:fldChar w:fldCharType="end"/>
          </w:r>
        </w:p>
      </w:sdtContent>
    </w:sdt>
    <w:p w14:paraId="4AA4CF14">
      <w:pPr>
        <w:rPr>
          <w:color w:val="000000" w:themeColor="text1"/>
          <w14:textFill>
            <w14:solidFill>
              <w14:schemeClr w14:val="tx1"/>
            </w14:solidFill>
          </w14:textFill>
        </w:rPr>
      </w:pPr>
      <w:bookmarkStart w:id="176" w:name="_Hlk533601037"/>
    </w:p>
    <w:bookmarkEnd w:id="175"/>
    <w:bookmarkEnd w:id="176"/>
    <w:p w14:paraId="2FA8FDA6">
      <w:pPr>
        <w:rPr>
          <w:rFonts w:cstheme="minorBidi"/>
          <w:bCs w:val="0"/>
          <w:color w:val="000000" w:themeColor="text1"/>
          <w:szCs w:val="22"/>
          <w14:textFill>
            <w14:solidFill>
              <w14:schemeClr w14:val="tx1"/>
            </w14:solidFill>
          </w14:textFill>
        </w:rPr>
      </w:pPr>
    </w:p>
    <w:p w14:paraId="01178973">
      <w:pPr>
        <w:rPr>
          <w:rFonts w:cstheme="minorBidi"/>
          <w:bCs w:val="0"/>
          <w:color w:val="000000" w:themeColor="text1"/>
          <w:szCs w:val="22"/>
          <w14:textFill>
            <w14:solidFill>
              <w14:schemeClr w14:val="tx1"/>
            </w14:solidFill>
          </w14:textFill>
        </w:rPr>
      </w:pPr>
      <w:bookmarkStart w:id="177" w:name="_Hlk153356892"/>
      <w:bookmarkStart w:id="178" w:name="_Hlk167884917"/>
      <w:r>
        <w:rPr>
          <w:rFonts w:hint="eastAsia" w:cstheme="minorBidi"/>
          <w:color w:val="000000" w:themeColor="text1"/>
          <w:szCs w:val="22"/>
          <w14:textFill>
            <w14:solidFill>
              <w14:schemeClr w14:val="tx1"/>
            </w14:solidFill>
          </w14:textFill>
        </w:rPr>
        <w:t>按预期信用损失一般模型计提坏账准备</w:t>
      </w:r>
    </w:p>
    <w:sdt>
      <w:sdtPr>
        <w:rPr>
          <w:rFonts w:cstheme="minorBidi"/>
          <w:bCs w:val="0"/>
          <w:color w:val="000000" w:themeColor="text1"/>
          <w:szCs w:val="22"/>
          <w14:textFill>
            <w14:solidFill>
              <w14:schemeClr w14:val="tx1"/>
            </w14:solidFill>
          </w14:textFill>
        </w:rPr>
        <w:alias w:val="是否适用：按预期信用损失一般模型计提坏账准备[双击切换]"/>
        <w:tag w:val="_GBC_843d776745f34ed8a0f1956fcb3af042"/>
        <w:id w:val="-2049449629"/>
        <w:placeholder>
          <w:docPart w:val="GBC22222222222222222222222222222"/>
        </w:placeholder>
      </w:sdtPr>
      <w:sdtEndPr>
        <w:rPr>
          <w:rFonts w:cstheme="minorBidi"/>
          <w:bCs w:val="0"/>
          <w:color w:val="000000" w:themeColor="text1"/>
          <w:szCs w:val="22"/>
          <w14:textFill>
            <w14:solidFill>
              <w14:schemeClr w14:val="tx1"/>
            </w14:solidFill>
          </w14:textFill>
        </w:rPr>
      </w:sdtEndPr>
      <w:sdtContent>
        <w:p w14:paraId="6EA3718A">
          <w:pPr>
            <w:rPr>
              <w:rFonts w:cstheme="minorBidi"/>
              <w:bCs w:val="0"/>
              <w:color w:val="000000" w:themeColor="text1"/>
              <w:szCs w:val="22"/>
              <w14:textFill>
                <w14:solidFill>
                  <w14:schemeClr w14:val="tx1"/>
                </w14:solidFill>
              </w14:textFill>
            </w:rPr>
          </w:pPr>
          <w:r>
            <w:rPr>
              <w:rFonts w:ascii="宋体" w:hAnsi="宋体" w:cstheme="minorBidi"/>
              <w:bCs w:val="0"/>
              <w:color w:val="000000" w:themeColor="text1"/>
              <w:szCs w:val="22"/>
              <w14:textFill>
                <w14:solidFill>
                  <w14:schemeClr w14:val="tx1"/>
                </w14:solidFill>
              </w14:textFill>
            </w:rPr>
            <w:fldChar w:fldCharType="begin"/>
          </w:r>
          <w:r>
            <w:rPr>
              <w:rFonts w:hint="eastAsia" w:ascii="宋体" w:hAnsi="宋体" w:cstheme="minorBidi"/>
              <w:color w:val="000000" w:themeColor="text1"/>
              <w:szCs w:val="22"/>
              <w14:textFill>
                <w14:solidFill>
                  <w14:schemeClr w14:val="tx1"/>
                </w14:solidFill>
              </w14:textFill>
            </w:rPr>
            <w:instrText xml:space="preserve"> MACROBUTTON  SnrToggleCheckbox □适用 </w:instrText>
          </w:r>
          <w:r>
            <w:rPr>
              <w:rFonts w:ascii="宋体" w:hAnsi="宋体" w:cstheme="minorBidi"/>
              <w:bCs w:val="0"/>
              <w:color w:val="000000" w:themeColor="text1"/>
              <w:szCs w:val="22"/>
              <w14:textFill>
                <w14:solidFill>
                  <w14:schemeClr w14:val="tx1"/>
                </w14:solidFill>
              </w14:textFill>
            </w:rPr>
            <w:fldChar w:fldCharType="end"/>
          </w:r>
          <w:r>
            <w:rPr>
              <w:rFonts w:ascii="宋体" w:hAnsi="宋体" w:cstheme="minorBidi"/>
              <w:bCs w:val="0"/>
              <w:color w:val="000000" w:themeColor="text1"/>
              <w:szCs w:val="22"/>
              <w14:textFill>
                <w14:solidFill>
                  <w14:schemeClr w14:val="tx1"/>
                </w14:solidFill>
              </w14:textFill>
            </w:rPr>
            <w:fldChar w:fldCharType="begin"/>
          </w:r>
          <w:r>
            <w:rPr>
              <w:rFonts w:hint="eastAsia" w:ascii="宋体" w:hAnsi="宋体" w:cstheme="minorBidi"/>
              <w:color w:val="000000" w:themeColor="text1"/>
              <w:szCs w:val="22"/>
              <w14:textFill>
                <w14:solidFill>
                  <w14:schemeClr w14:val="tx1"/>
                </w14:solidFill>
              </w14:textFill>
            </w:rPr>
            <w:instrText xml:space="preserve"> MACROBUTTON  SnrToggleCheckbox √不适用 </w:instrText>
          </w:r>
          <w:r>
            <w:rPr>
              <w:rFonts w:ascii="宋体" w:hAnsi="宋体" w:cstheme="minorBidi"/>
              <w:bCs w:val="0"/>
              <w:color w:val="000000" w:themeColor="text1"/>
              <w:szCs w:val="22"/>
              <w14:textFill>
                <w14:solidFill>
                  <w14:schemeClr w14:val="tx1"/>
                </w14:solidFill>
              </w14:textFill>
            </w:rPr>
            <w:fldChar w:fldCharType="end"/>
          </w:r>
        </w:p>
      </w:sdtContent>
    </w:sdt>
    <w:p w14:paraId="485B464C">
      <w:pPr>
        <w:rPr>
          <w:color w:val="000000" w:themeColor="text1"/>
          <w14:textFill>
            <w14:solidFill>
              <w14:schemeClr w14:val="tx1"/>
            </w14:solidFill>
          </w14:textFill>
        </w:rPr>
      </w:pPr>
    </w:p>
    <w:p w14:paraId="0F47B545">
      <w:pPr>
        <w:autoSpaceDE w:val="0"/>
        <w:autoSpaceDN w:val="0"/>
        <w:adjustRightInd w:val="0"/>
        <w:ind w:right="105" w:rightChars="50"/>
        <w:rPr>
          <w:color w:val="000000" w:themeColor="text1"/>
          <w14:textFill>
            <w14:solidFill>
              <w14:schemeClr w14:val="tx1"/>
            </w14:solidFill>
          </w14:textFill>
        </w:rPr>
      </w:pPr>
      <w:r>
        <w:rPr>
          <w:rFonts w:hint="eastAsia"/>
          <w:color w:val="000000" w:themeColor="text1"/>
          <w14:textFill>
            <w14:solidFill>
              <w14:schemeClr w14:val="tx1"/>
            </w14:solidFill>
          </w14:textFill>
        </w:rPr>
        <w:t>各阶段划分依据和坏账准备计提比例</w:t>
      </w:r>
    </w:p>
    <w:sdt>
      <w:sdtPr>
        <w:rPr>
          <w:rFonts w:cs="Times New Roman"/>
          <w:bCs w:val="0"/>
          <w:color w:val="000000" w:themeColor="text1"/>
          <w:szCs w:val="22"/>
          <w14:textFill>
            <w14:solidFill>
              <w14:schemeClr w14:val="tx1"/>
            </w14:solidFill>
          </w14:textFill>
        </w:rPr>
        <w:alias w:val="各阶段划分依据和坏账准备计提比例"/>
        <w:tag w:val="_GBC_0c92b3ffc361499bb76814db60f3df97"/>
        <w:id w:val="-1729985514"/>
        <w:placeholder>
          <w:docPart w:val="GBC22222222222222222222222222222"/>
        </w:placeholder>
      </w:sdtPr>
      <w:sdtEndPr>
        <w:rPr>
          <w:rFonts w:cs="Times New Roman"/>
          <w:bCs w:val="0"/>
          <w:color w:val="000000" w:themeColor="text1"/>
          <w:szCs w:val="22"/>
          <w14:textFill>
            <w14:solidFill>
              <w14:schemeClr w14:val="tx1"/>
            </w14:solidFill>
          </w14:textFill>
        </w:rPr>
      </w:sdtEndPr>
      <w:sdtContent>
        <w:p w14:paraId="4D01CE8A">
          <w:pPr>
            <w:rPr>
              <w:rFonts w:cs="Times New Roman"/>
              <w:bCs w:val="0"/>
              <w:color w:val="000000" w:themeColor="text1"/>
              <w:szCs w:val="22"/>
              <w14:textFill>
                <w14:solidFill>
                  <w14:schemeClr w14:val="tx1"/>
                </w14:solidFill>
              </w14:textFill>
            </w:rPr>
          </w:pPr>
          <w:r>
            <w:rPr>
              <w:rFonts w:hint="eastAsia" w:cs="Times New Roman"/>
              <w:bCs w:val="0"/>
              <w:color w:val="000000" w:themeColor="text1"/>
              <w:szCs w:val="22"/>
              <w14:textFill>
                <w14:solidFill>
                  <w14:schemeClr w14:val="tx1"/>
                </w14:solidFill>
              </w14:textFill>
            </w:rPr>
            <w:t>无</w:t>
          </w:r>
        </w:p>
      </w:sdtContent>
    </w:sdt>
    <w:p w14:paraId="595D5FFE">
      <w:pPr>
        <w:rPr>
          <w:rFonts w:asciiTheme="minorHAnsi" w:hAnsiTheme="minorHAnsi" w:cstheme="minorBidi"/>
          <w:b/>
          <w:bCs w:val="0"/>
          <w:color w:val="000000" w:themeColor="text1"/>
          <w:szCs w:val="22"/>
          <w14:textFill>
            <w14:solidFill>
              <w14:schemeClr w14:val="tx1"/>
            </w14:solidFill>
          </w14:textFill>
        </w:rPr>
      </w:pPr>
    </w:p>
    <w:p w14:paraId="6E3887A2">
      <w:pPr>
        <w:pStyle w:val="72"/>
        <w:rPr>
          <w:color w:val="000000" w:themeColor="text1"/>
          <w14:textFill>
            <w14:solidFill>
              <w14:schemeClr w14:val="tx1"/>
            </w14:solidFill>
          </w14:textFill>
        </w:rPr>
      </w:pPr>
      <w:r>
        <w:rPr>
          <w:rFonts w:hint="eastAsia"/>
          <w:color w:val="000000" w:themeColor="text1"/>
          <w14:textFill>
            <w14:solidFill>
              <w14:schemeClr w14:val="tx1"/>
            </w14:solidFill>
          </w14:textFill>
        </w:rPr>
        <w:t>对本期发生损失准备变动的应收票据账面余额显著变动的情况说明：</w:t>
      </w:r>
    </w:p>
    <w:sdt>
      <w:sdtPr>
        <w:rPr>
          <w:color w:val="000000" w:themeColor="text1"/>
          <w14:textFill>
            <w14:solidFill>
              <w14:schemeClr w14:val="tx1"/>
            </w14:solidFill>
          </w14:textFill>
        </w:rPr>
        <w:alias w:val="是否适用：对本期发生损失准备变动的账面余额显著变动的情况说明[双击切换]"/>
        <w:tag w:val="_GBC_58cb241b61cd42d1a0d769cec83b1516"/>
        <w:id w:val="-1606413484"/>
        <w:placeholder>
          <w:docPart w:val="GBC22222222222222222222222222222"/>
        </w:placeholder>
      </w:sdtPr>
      <w:sdtEndPr>
        <w:rPr>
          <w:color w:val="000000" w:themeColor="text1"/>
          <w14:textFill>
            <w14:solidFill>
              <w14:schemeClr w14:val="tx1"/>
            </w14:solidFill>
          </w14:textFill>
        </w:rPr>
      </w:sdtEndPr>
      <w:sdtContent>
        <w:p w14:paraId="7FB20EEF">
          <w:pPr>
            <w:autoSpaceDE w:val="0"/>
            <w:autoSpaceDN w:val="0"/>
            <w:adjustRightInd w:val="0"/>
            <w:ind w:right="105" w:rightChars="5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CF3ECF2">
      <w:pPr>
        <w:rPr>
          <w:rFonts w:asciiTheme="minorHAnsi" w:hAnsiTheme="minorHAnsi" w:cstheme="minorBidi"/>
          <w:b/>
          <w:bCs w:val="0"/>
          <w:color w:val="000000" w:themeColor="text1"/>
          <w:szCs w:val="22"/>
          <w14:textFill>
            <w14:solidFill>
              <w14:schemeClr w14:val="tx1"/>
            </w14:solidFill>
          </w14:textFill>
        </w:rPr>
      </w:pPr>
    </w:p>
    <w:bookmarkEnd w:id="177"/>
    <w:bookmarkEnd w:id="178"/>
    <w:p w14:paraId="64D5DF25">
      <w:pPr>
        <w:ind w:right="210"/>
        <w:rPr>
          <w:color w:val="000000" w:themeColor="text1"/>
          <w14:textFill>
            <w14:solidFill>
              <w14:schemeClr w14:val="tx1"/>
            </w14:solidFill>
          </w14:textFill>
        </w:rPr>
      </w:pPr>
    </w:p>
    <w:p w14:paraId="7BDE898C">
      <w:pPr>
        <w:pStyle w:val="5"/>
        <w:numPr>
          <w:ilvl w:val="3"/>
          <w:numId w:val="54"/>
        </w:numPr>
        <w:ind w:left="425" w:hanging="425"/>
        <w:jc w:val="left"/>
        <w:rPr>
          <w:rFonts w:hint="eastAsia" w:ascii="宋体" w:hAnsi="宋体"/>
          <w:color w:val="000000" w:themeColor="text1"/>
          <w14:textFill>
            <w14:solidFill>
              <w14:schemeClr w14:val="tx1"/>
            </w14:solidFill>
          </w14:textFill>
        </w:rPr>
      </w:pPr>
      <w:bookmarkStart w:id="179" w:name="_Hlk167885031"/>
      <w:bookmarkStart w:id="180" w:name="_Hlk532980547"/>
      <w:bookmarkStart w:id="181" w:name="_Hlk154148795"/>
      <w:r>
        <w:rPr>
          <w:rFonts w:hint="eastAsia" w:ascii="宋体" w:hAnsi="宋体"/>
          <w:color w:val="000000" w:themeColor="text1"/>
          <w14:textFill>
            <w14:solidFill>
              <w14:schemeClr w14:val="tx1"/>
            </w14:solidFill>
          </w14:textFill>
        </w:rPr>
        <w:t>坏账准备的情况</w:t>
      </w:r>
    </w:p>
    <w:sdt>
      <w:sdtPr>
        <w:rPr>
          <w:color w:val="000000" w:themeColor="text1"/>
          <w14:textFill>
            <w14:solidFill>
              <w14:schemeClr w14:val="tx1"/>
            </w14:solidFill>
          </w14:textFill>
        </w:rPr>
        <w:alias w:val="是否适用：应收票据坏账准备情况[双击切换]"/>
        <w:tag w:val="_GBC_168f3e2065e34239828a1cf025c3d9ad"/>
        <w:id w:val="-642576932"/>
        <w:placeholder>
          <w:docPart w:val="GBC22222222222222222222222222222"/>
        </w:placeholder>
      </w:sdtPr>
      <w:sdtEndPr>
        <w:rPr>
          <w:color w:val="000000" w:themeColor="text1"/>
          <w14:textFill>
            <w14:solidFill>
              <w14:schemeClr w14:val="tx1"/>
            </w14:solidFill>
          </w14:textFill>
        </w:rPr>
      </w:sdtEndPr>
      <w:sdtContent>
        <w:p w14:paraId="07EF379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73C6451">
      <w:pPr>
        <w:rPr>
          <w:color w:val="000000" w:themeColor="text1"/>
          <w14:textFill>
            <w14:solidFill>
              <w14:schemeClr w14:val="tx1"/>
            </w14:solidFill>
          </w14:textFill>
        </w:rPr>
      </w:pPr>
    </w:p>
    <w:p w14:paraId="7F34BEF9">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其中本期坏账准备收回或转回金额重要的：</w:t>
      </w:r>
    </w:p>
    <w:sdt>
      <w:sdtPr>
        <w:rPr>
          <w:rFonts w:hint="eastAsia"/>
          <w:color w:val="000000" w:themeColor="text1"/>
          <w14:textFill>
            <w14:solidFill>
              <w14:schemeClr w14:val="tx1"/>
            </w14:solidFill>
          </w14:textFill>
        </w:rPr>
        <w:alias w:val="是否适用：应收票据本期坏账准备收回或转回金额重要的[双击切换]"/>
        <w:tag w:val="_GBC_ebd5833e36984f6f9c7dc0fec90cccc0"/>
        <w:id w:val="-1286278142"/>
        <w:placeholder>
          <w:docPart w:val="GBC22222222222222222222222222222"/>
        </w:placeholder>
      </w:sdtPr>
      <w:sdtEndPr>
        <w:rPr>
          <w:rFonts w:hint="eastAsia"/>
          <w:color w:val="000000" w:themeColor="text1"/>
          <w14:textFill>
            <w14:solidFill>
              <w14:schemeClr w14:val="tx1"/>
            </w14:solidFill>
          </w14:textFill>
        </w:rPr>
      </w:sdtEndPr>
      <w:sdtContent>
        <w:p w14:paraId="2EE939A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CEF57A1">
      <w:pPr>
        <w:rPr>
          <w:color w:val="000000" w:themeColor="text1"/>
          <w14:textFill>
            <w14:solidFill>
              <w14:schemeClr w14:val="tx1"/>
            </w14:solidFill>
          </w14:textFill>
        </w:rPr>
      </w:pPr>
    </w:p>
    <w:p w14:paraId="08A9B58C">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rFonts w:cstheme="minorBidi"/>
          <w:bCs w:val="0"/>
          <w:color w:val="000000" w:themeColor="text1"/>
          <w:szCs w:val="22"/>
          <w14:textFill>
            <w14:solidFill>
              <w14:schemeClr w14:val="tx1"/>
            </w14:solidFill>
          </w14:textFill>
        </w:rPr>
        <w:alias w:val="应收票据坏账准备的其他说明"/>
        <w:tag w:val="_GBC_06a2eec03f574dd1baa82ec8987eaf65"/>
        <w:id w:val="814451489"/>
        <w:placeholder>
          <w:docPart w:val="GBC22222222222222222222222222222"/>
        </w:placeholder>
      </w:sdtPr>
      <w:sdtEndPr>
        <w:rPr>
          <w:rFonts w:asciiTheme="minorHAnsi" w:hAnsiTheme="minorHAnsi" w:cstheme="minorBidi"/>
          <w:bCs w:val="0"/>
          <w:color w:val="000000" w:themeColor="text1"/>
          <w:szCs w:val="22"/>
          <w14:textFill>
            <w14:solidFill>
              <w14:schemeClr w14:val="tx1"/>
            </w14:solidFill>
          </w14:textFill>
        </w:rPr>
      </w:sdtEndPr>
      <w:sdtContent>
        <w:p w14:paraId="71A67507">
          <w:pPr>
            <w:rPr>
              <w:rFonts w:asciiTheme="minorHAnsi" w:hAnsiTheme="minorHAnsi" w:cstheme="minorBidi"/>
              <w:bCs w:val="0"/>
              <w:color w:val="000000" w:themeColor="text1"/>
              <w:szCs w:val="22"/>
              <w14:textFill>
                <w14:solidFill>
                  <w14:schemeClr w14:val="tx1"/>
                </w14:solidFill>
              </w14:textFill>
            </w:rPr>
          </w:pPr>
          <w:r>
            <w:rPr>
              <w:rFonts w:hint="eastAsia" w:cstheme="minorBidi"/>
              <w:bCs w:val="0"/>
              <w:color w:val="000000" w:themeColor="text1"/>
              <w:szCs w:val="22"/>
              <w14:textFill>
                <w14:solidFill>
                  <w14:schemeClr w14:val="tx1"/>
                </w14:solidFill>
              </w14:textFill>
            </w:rPr>
            <w:t>无</w:t>
          </w:r>
        </w:p>
      </w:sdtContent>
    </w:sdt>
    <w:p w14:paraId="19E47E17">
      <w:pPr>
        <w:rPr>
          <w:rFonts w:asciiTheme="minorHAnsi" w:hAnsiTheme="minorHAnsi" w:cstheme="minorBidi"/>
          <w:bCs w:val="0"/>
          <w:color w:val="000000" w:themeColor="text1"/>
          <w:szCs w:val="22"/>
          <w14:textFill>
            <w14:solidFill>
              <w14:schemeClr w14:val="tx1"/>
            </w14:solidFill>
          </w14:textFill>
        </w:rPr>
      </w:pPr>
    </w:p>
    <w:bookmarkEnd w:id="179"/>
    <w:bookmarkEnd w:id="180"/>
    <w:bookmarkEnd w:id="181"/>
    <w:p w14:paraId="6DC5E53C">
      <w:pPr>
        <w:pStyle w:val="5"/>
        <w:numPr>
          <w:ilvl w:val="3"/>
          <w:numId w:val="54"/>
        </w:numPr>
        <w:ind w:left="425" w:hanging="425"/>
        <w:jc w:val="left"/>
        <w:rPr>
          <w:rFonts w:hint="eastAsia" w:ascii="宋体" w:hAnsi="宋体"/>
          <w:color w:val="000000" w:themeColor="text1"/>
          <w14:textFill>
            <w14:solidFill>
              <w14:schemeClr w14:val="tx1"/>
            </w14:solidFill>
          </w14:textFill>
        </w:rPr>
      </w:pPr>
      <w:bookmarkStart w:id="182" w:name="_Hlk10466841"/>
      <w:bookmarkStart w:id="183" w:name="_Hlk10466853"/>
      <w:r>
        <w:rPr>
          <w:rFonts w:hint="eastAsia" w:ascii="宋体" w:hAnsi="宋体"/>
          <w:color w:val="000000" w:themeColor="text1"/>
          <w14:textFill>
            <w14:solidFill>
              <w14:schemeClr w14:val="tx1"/>
            </w14:solidFill>
          </w14:textFill>
        </w:rPr>
        <w:t>本期实际核销的应收票据情况</w:t>
      </w:r>
      <w:bookmarkEnd w:id="182"/>
    </w:p>
    <w:sdt>
      <w:sdtPr>
        <w:rPr>
          <w:color w:val="000000" w:themeColor="text1"/>
          <w14:textFill>
            <w14:solidFill>
              <w14:schemeClr w14:val="tx1"/>
            </w14:solidFill>
          </w14:textFill>
        </w:rPr>
        <w:alias w:val="是否适用：实际核销的应收票据[双击切换]"/>
        <w:tag w:val="_GBC_d0dcbb36ec68469bb29eac25b4a7af19"/>
        <w:id w:val="-1096395244"/>
        <w:placeholder>
          <w:docPart w:val="GBC22222222222222222222222222222"/>
        </w:placeholder>
      </w:sdtPr>
      <w:sdtEndPr>
        <w:rPr>
          <w:color w:val="000000" w:themeColor="text1"/>
          <w14:textFill>
            <w14:solidFill>
              <w14:schemeClr w14:val="tx1"/>
            </w14:solidFill>
          </w14:textFill>
        </w:rPr>
      </w:sdtEndPr>
      <w:sdtContent>
        <w:p w14:paraId="7D4103B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FFA8C35">
      <w:pPr>
        <w:rPr>
          <w:color w:val="000000" w:themeColor="text1"/>
          <w14:textFill>
            <w14:solidFill>
              <w14:schemeClr w14:val="tx1"/>
            </w14:solidFill>
          </w14:textFill>
        </w:rPr>
      </w:pPr>
    </w:p>
    <w:p w14:paraId="42376741">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其中重要的应收票据核销情况：</w:t>
      </w:r>
    </w:p>
    <w:sdt>
      <w:sdtPr>
        <w:rPr>
          <w:color w:val="000000" w:themeColor="text1"/>
          <w14:textFill>
            <w14:solidFill>
              <w14:schemeClr w14:val="tx1"/>
            </w14:solidFill>
          </w14:textFill>
        </w:rPr>
        <w:alias w:val="是否适用：重要的应收票据核销[双击切换]"/>
        <w:tag w:val="_GBC_e2717d0c54ea4f5eb5b1671a3c798609"/>
        <w:id w:val="-1740622219"/>
        <w:placeholder>
          <w:docPart w:val="GBC22222222222222222222222222222"/>
        </w:placeholder>
      </w:sdtPr>
      <w:sdtEndPr>
        <w:rPr>
          <w:color w:val="000000" w:themeColor="text1"/>
          <w14:textFill>
            <w14:solidFill>
              <w14:schemeClr w14:val="tx1"/>
            </w14:solidFill>
          </w14:textFill>
        </w:rPr>
      </w:sdtEndPr>
      <w:sdtContent>
        <w:p w14:paraId="6E9F84E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9B7AC8A">
      <w:pPr>
        <w:rPr>
          <w:color w:val="000000" w:themeColor="text1"/>
          <w14:textFill>
            <w14:solidFill>
              <w14:schemeClr w14:val="tx1"/>
            </w14:solidFill>
          </w14:textFill>
        </w:rPr>
      </w:pPr>
    </w:p>
    <w:p w14:paraId="78BB3277">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应收票据核销说明：</w:t>
      </w:r>
    </w:p>
    <w:sdt>
      <w:sdtPr>
        <w:rPr>
          <w:rFonts w:cstheme="minorBidi"/>
          <w:bCs w:val="0"/>
          <w:color w:val="000000" w:themeColor="text1"/>
          <w:szCs w:val="22"/>
          <w14:textFill>
            <w14:solidFill>
              <w14:schemeClr w14:val="tx1"/>
            </w14:solidFill>
          </w14:textFill>
        </w:rPr>
        <w:alias w:val="是否适用：应收票据核销说明[双击切换]"/>
        <w:tag w:val="_GBC_60d1268fdde049f1971e1a68d97580f2"/>
        <w:id w:val="-335530700"/>
        <w:placeholder>
          <w:docPart w:val="GBC22222222222222222222222222222"/>
        </w:placeholder>
      </w:sdtPr>
      <w:sdtEndPr>
        <w:rPr>
          <w:rFonts w:cstheme="minorBidi"/>
          <w:bCs w:val="0"/>
          <w:color w:val="000000" w:themeColor="text1"/>
          <w:szCs w:val="22"/>
          <w14:textFill>
            <w14:solidFill>
              <w14:schemeClr w14:val="tx1"/>
            </w14:solidFill>
          </w14:textFill>
        </w:rPr>
      </w:sdtEndPr>
      <w:sdtContent>
        <w:p w14:paraId="52F3382D">
          <w:pPr>
            <w:rPr>
              <w:rFonts w:cstheme="minorBidi"/>
              <w:bCs w:val="0"/>
              <w:color w:val="000000" w:themeColor="text1"/>
              <w:szCs w:val="22"/>
              <w14:textFill>
                <w14:solidFill>
                  <w14:schemeClr w14:val="tx1"/>
                </w14:solidFill>
              </w14:textFill>
            </w:rPr>
          </w:pPr>
          <w:r>
            <w:rPr>
              <w:rFonts w:ascii="宋体" w:hAnsi="宋体" w:cstheme="minorBidi"/>
              <w:bCs w:val="0"/>
              <w:color w:val="000000" w:themeColor="text1"/>
              <w:szCs w:val="22"/>
              <w14:textFill>
                <w14:solidFill>
                  <w14:schemeClr w14:val="tx1"/>
                </w14:solidFill>
              </w14:textFill>
            </w:rPr>
            <w:fldChar w:fldCharType="begin"/>
          </w:r>
          <w:r>
            <w:rPr>
              <w:rFonts w:hint="eastAsia" w:ascii="宋体" w:hAnsi="宋体" w:cstheme="minorBidi"/>
              <w:color w:val="000000" w:themeColor="text1"/>
              <w:szCs w:val="22"/>
              <w14:textFill>
                <w14:solidFill>
                  <w14:schemeClr w14:val="tx1"/>
                </w14:solidFill>
              </w14:textFill>
            </w:rPr>
            <w:instrText xml:space="preserve"> MACROBUTTON  SnrToggleCheckbox □适用 </w:instrText>
          </w:r>
          <w:r>
            <w:rPr>
              <w:rFonts w:ascii="宋体" w:hAnsi="宋体" w:cstheme="minorBidi"/>
              <w:bCs w:val="0"/>
              <w:color w:val="000000" w:themeColor="text1"/>
              <w:szCs w:val="22"/>
              <w14:textFill>
                <w14:solidFill>
                  <w14:schemeClr w14:val="tx1"/>
                </w14:solidFill>
              </w14:textFill>
            </w:rPr>
            <w:fldChar w:fldCharType="end"/>
          </w:r>
          <w:r>
            <w:rPr>
              <w:rFonts w:ascii="宋体" w:hAnsi="宋体" w:cstheme="minorBidi"/>
              <w:bCs w:val="0"/>
              <w:color w:val="000000" w:themeColor="text1"/>
              <w:szCs w:val="22"/>
              <w14:textFill>
                <w14:solidFill>
                  <w14:schemeClr w14:val="tx1"/>
                </w14:solidFill>
              </w14:textFill>
            </w:rPr>
            <w:fldChar w:fldCharType="begin"/>
          </w:r>
          <w:r>
            <w:rPr>
              <w:rFonts w:hint="eastAsia" w:ascii="宋体" w:hAnsi="宋体" w:cstheme="minorBidi"/>
              <w:color w:val="000000" w:themeColor="text1"/>
              <w:szCs w:val="22"/>
              <w14:textFill>
                <w14:solidFill>
                  <w14:schemeClr w14:val="tx1"/>
                </w14:solidFill>
              </w14:textFill>
            </w:rPr>
            <w:instrText xml:space="preserve"> MACROBUTTON  SnrToggleCheckbox √不适用 </w:instrText>
          </w:r>
          <w:r>
            <w:rPr>
              <w:rFonts w:ascii="宋体" w:hAnsi="宋体" w:cstheme="minorBidi"/>
              <w:bCs w:val="0"/>
              <w:color w:val="000000" w:themeColor="text1"/>
              <w:szCs w:val="22"/>
              <w14:textFill>
                <w14:solidFill>
                  <w14:schemeClr w14:val="tx1"/>
                </w14:solidFill>
              </w14:textFill>
            </w:rPr>
            <w:fldChar w:fldCharType="end"/>
          </w:r>
        </w:p>
      </w:sdtContent>
    </w:sdt>
    <w:p w14:paraId="57BF09E3">
      <w:pPr>
        <w:ind w:right="210"/>
        <w:rPr>
          <w:color w:val="000000" w:themeColor="text1"/>
          <w14:textFill>
            <w14:solidFill>
              <w14:schemeClr w14:val="tx1"/>
            </w14:solidFill>
          </w14:textFill>
        </w:rPr>
      </w:pPr>
    </w:p>
    <w:bookmarkEnd w:id="183"/>
    <w:p w14:paraId="56EB26C0">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应收票据的说明[双击切换]"/>
        <w:tag w:val="_GBC_704e24e70b65463883e10335ce93a1ac"/>
        <w:id w:val="22063305"/>
        <w:placeholder>
          <w:docPart w:val="GBC22222222222222222222222222222"/>
        </w:placeholder>
      </w:sdtPr>
      <w:sdtEndPr>
        <w:rPr>
          <w:color w:val="000000" w:themeColor="text1"/>
          <w14:textFill>
            <w14:solidFill>
              <w14:schemeClr w14:val="tx1"/>
            </w14:solidFill>
          </w14:textFill>
        </w:rPr>
      </w:sdtEndPr>
      <w:sdtContent>
        <w:p w14:paraId="5B5CE21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DB269E8">
      <w:pPr>
        <w:rPr>
          <w:color w:val="000000" w:themeColor="text1"/>
          <w14:textFill>
            <w14:solidFill>
              <w14:schemeClr w14:val="tx1"/>
            </w14:solidFill>
          </w14:textFill>
        </w:rPr>
      </w:pPr>
    </w:p>
    <w:sdt>
      <w:sdtPr>
        <w:rPr>
          <w:color w:val="000000" w:themeColor="text1"/>
          <w14:textFill>
            <w14:solidFill>
              <w14:schemeClr w14:val="tx1"/>
            </w14:solidFill>
          </w14:textFill>
        </w:rPr>
        <w:alias w:val="应收票据的说明"/>
        <w:tag w:val="_GBC_2006e891d63d493bb79a98ee1650c6ff"/>
        <w:id w:val="-1749422984"/>
        <w:placeholder>
          <w:docPart w:val="95E82A14754D465D9A345785211FB914"/>
        </w:placeholder>
      </w:sdtPr>
      <w:sdtEndPr>
        <w:rPr>
          <w:color w:val="000000" w:themeColor="text1"/>
          <w14:textFill>
            <w14:solidFill>
              <w14:schemeClr w14:val="tx1"/>
            </w14:solidFill>
          </w14:textFill>
        </w:rPr>
      </w:sdtEndPr>
      <w:sdtContent>
        <w:sdt>
          <w:sdtPr>
            <w:rPr>
              <w:color w:val="000000" w:themeColor="text1"/>
              <w14:textFill>
                <w14:solidFill>
                  <w14:schemeClr w14:val="tx1"/>
                </w14:solidFill>
              </w14:textFill>
            </w:rPr>
            <w:alias w:val="应收票据的说明"/>
            <w:tag w:val="_GBC_2006e891d63d493bb79a98ee1650c6ff"/>
            <w:id w:val="-1955085778"/>
          </w:sdtPr>
          <w:sdtEndPr>
            <w:rPr>
              <w:color w:val="000000" w:themeColor="text1"/>
              <w14:textFill>
                <w14:solidFill>
                  <w14:schemeClr w14:val="tx1"/>
                </w14:solidFill>
              </w14:textFill>
            </w:rPr>
          </w:sdtEndPr>
          <w:sdtContent>
            <w:p w14:paraId="643B8C6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本公司在日常资金管理中将部分承兑汇票背书或贴现，信用等级较低的银行承兑汇票和商业承兑汇票在背书或贴现时未终止确认。</w:t>
              </w:r>
            </w:p>
            <w:p w14:paraId="089F3B30">
              <w:pPr>
                <w:spacing w:line="360" w:lineRule="auto"/>
                <w:ind w:firstLine="420" w:firstLineChars="200"/>
              </w:pPr>
              <w:r>
                <w:rPr>
                  <w:rFonts w:hint="eastAsia"/>
                  <w:color w:val="000000" w:themeColor="text1"/>
                  <w14:textFill>
                    <w14:solidFill>
                      <w14:schemeClr w14:val="tx1"/>
                    </w14:solidFill>
                  </w14:textFill>
                </w:rPr>
                <w:t>公司报告期内应收票据中无应收持公司5%（含5%）以上表决权股份的股东单位款项。</w:t>
              </w:r>
            </w:p>
          </w:sdtContent>
        </w:sdt>
      </w:sdtContent>
    </w:sdt>
    <w:p w14:paraId="155A4574">
      <w:pPr>
        <w:spacing w:line="360" w:lineRule="auto"/>
        <w:rPr>
          <w:color w:val="000000" w:themeColor="text1"/>
          <w14:textFill>
            <w14:solidFill>
              <w14:schemeClr w14:val="tx1"/>
            </w14:solidFill>
          </w14:textFill>
        </w:rPr>
      </w:pPr>
    </w:p>
    <w:p w14:paraId="4327365A">
      <w:pPr>
        <w:pStyle w:val="4"/>
        <w:numPr>
          <w:ilvl w:val="0"/>
          <w:numId w:val="53"/>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应收账款</w:t>
      </w:r>
    </w:p>
    <w:p w14:paraId="525CF1E9">
      <w:pPr>
        <w:pStyle w:val="5"/>
        <w:numPr>
          <w:ilvl w:val="3"/>
          <w:numId w:val="55"/>
        </w:numPr>
        <w:ind w:left="425" w:hanging="425"/>
        <w:rPr>
          <w:color w:val="000000" w:themeColor="text1"/>
          <w14:textFill>
            <w14:solidFill>
              <w14:schemeClr w14:val="tx1"/>
            </w14:solidFill>
          </w14:textFill>
        </w:rPr>
      </w:pPr>
      <w:bookmarkStart w:id="184" w:name="_Hlk167885161"/>
      <w:r>
        <w:rPr>
          <w:rFonts w:hint="eastAsia"/>
          <w:color w:val="000000" w:themeColor="text1"/>
          <w14:textFill>
            <w14:solidFill>
              <w14:schemeClr w14:val="tx1"/>
            </w14:solidFill>
          </w14:textFill>
        </w:rPr>
        <w:t>按账龄披露</w:t>
      </w:r>
    </w:p>
    <w:sdt>
      <w:sdtPr>
        <w:rPr>
          <w:rFonts w:hint="eastAsia"/>
          <w:color w:val="000000" w:themeColor="text1"/>
          <w14:textFill>
            <w14:solidFill>
              <w14:schemeClr w14:val="tx1"/>
            </w14:solidFill>
          </w14:textFill>
        </w:rPr>
        <w:alias w:val="是否适用：组合中，按账龄分析法计提坏账准备的应收账款[双击切换]"/>
        <w:tag w:val="_GBC_0cb5a49c5db74995bd3018603d9e51bd"/>
        <w:id w:val="913441135"/>
        <w:placeholder>
          <w:docPart w:val="GBC22222222222222222222222222222"/>
        </w:placeholder>
      </w:sdtPr>
      <w:sdtEndPr>
        <w:rPr>
          <w:rFonts w:hint="eastAsia"/>
          <w:color w:val="000000" w:themeColor="text1"/>
          <w14:textFill>
            <w14:solidFill>
              <w14:schemeClr w14:val="tx1"/>
            </w14:solidFill>
          </w14:textFill>
        </w:rPr>
      </w:sdtEndPr>
      <w:sdtContent>
        <w:p w14:paraId="52B961F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CF03745">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单项金额不重大但按信用风险特征组合后该组合的风险较大的应收账款"/>
          <w:tag w:val="_GBC_265ded289d9549b48b782b655857ce0f"/>
          <w:id w:val="15159615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单项金额不重大但按信用风险特征组合后该组合的风险较大的应收账款"/>
          <w:tag w:val="_GBC_180ea8d33f6444f78eff9694acd980ae"/>
          <w:id w:val="16316682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3"/>
        <w:gridCol w:w="2975"/>
        <w:gridCol w:w="2975"/>
      </w:tblGrid>
      <w:tr w14:paraId="20EC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213499a1ef1849a6bacc47a55e2a94f7"/>
            <w:id w:val="-1496413939"/>
          </w:sdtPr>
          <w:sdtContent>
            <w:tc>
              <w:tcPr>
                <w:tcW w:w="1628" w:type="pct"/>
                <w:tcBorders>
                  <w:top w:val="single" w:color="auto" w:sz="4" w:space="0"/>
                  <w:left w:val="single" w:color="auto" w:sz="4" w:space="0"/>
                  <w:bottom w:val="single" w:color="auto" w:sz="4" w:space="0"/>
                  <w:right w:val="single" w:color="auto" w:sz="4" w:space="0"/>
                </w:tcBorders>
                <w:vAlign w:val="center"/>
              </w:tcPr>
              <w:p w14:paraId="1685132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账龄</w:t>
                </w:r>
              </w:p>
            </w:tc>
          </w:sdtContent>
        </w:sdt>
        <w:sdt>
          <w:sdtPr>
            <w:tag w:val="_PLD_80e3ddf3d703438d9bc59aba1626c89f"/>
            <w:id w:val="531072857"/>
          </w:sdtPr>
          <w:sdtContent>
            <w:tc>
              <w:tcPr>
                <w:tcW w:w="1686" w:type="pct"/>
                <w:tcBorders>
                  <w:top w:val="single" w:color="auto" w:sz="4" w:space="0"/>
                  <w:left w:val="single" w:color="auto" w:sz="4" w:space="0"/>
                  <w:bottom w:val="single" w:color="auto" w:sz="4" w:space="0"/>
                  <w:right w:val="single" w:color="auto" w:sz="4" w:space="0"/>
                </w:tcBorders>
                <w:vAlign w:val="center"/>
              </w:tcPr>
              <w:p w14:paraId="0A3D9FA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期末账面余额</w:t>
                </w:r>
              </w:p>
            </w:tc>
          </w:sdtContent>
        </w:sdt>
        <w:sdt>
          <w:sdtPr>
            <w:tag w:val="_PLD_4acf836dd5254d2ba9d541e7076daad6"/>
            <w:id w:val="-1053848854"/>
          </w:sdtPr>
          <w:sdtContent>
            <w:tc>
              <w:tcPr>
                <w:tcW w:w="1686" w:type="pct"/>
                <w:tcBorders>
                  <w:top w:val="single" w:color="auto" w:sz="4" w:space="0"/>
                  <w:left w:val="single" w:color="auto" w:sz="4" w:space="0"/>
                  <w:bottom w:val="single" w:color="auto" w:sz="4" w:space="0"/>
                  <w:right w:val="single" w:color="auto" w:sz="4" w:space="0"/>
                </w:tcBorders>
              </w:tcPr>
              <w:p w14:paraId="7921CE1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期初账面余额</w:t>
                </w:r>
              </w:p>
            </w:tc>
          </w:sdtContent>
        </w:sdt>
      </w:tr>
      <w:tr w14:paraId="2BCD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3D61DF7C">
            <w:pPr>
              <w:rPr>
                <w:color w:val="000000" w:themeColor="text1"/>
                <w14:textFill>
                  <w14:solidFill>
                    <w14:schemeClr w14:val="tx1"/>
                  </w14:solidFill>
                </w14:textFill>
              </w:rPr>
            </w:pPr>
            <w:r>
              <w:rPr>
                <w:rFonts w:hint="eastAsia" w:cs="Times New Roman"/>
                <w:color w:val="000000"/>
              </w:rPr>
              <w:t>1</w:t>
            </w:r>
            <w:r>
              <w:rPr>
                <w:rFonts w:hint="eastAsia" w:ascii="宋体" w:hAnsi="宋体"/>
                <w:color w:val="000000"/>
              </w:rPr>
              <w:t>年以内</w:t>
            </w:r>
          </w:p>
        </w:tc>
        <w:tc>
          <w:tcPr>
            <w:tcW w:w="1686" w:type="pct"/>
            <w:tcBorders>
              <w:top w:val="single" w:color="auto" w:sz="4" w:space="0"/>
              <w:left w:val="single" w:color="auto" w:sz="4" w:space="0"/>
              <w:bottom w:val="single" w:color="auto" w:sz="4" w:space="0"/>
              <w:right w:val="single" w:color="auto" w:sz="4" w:space="0"/>
            </w:tcBorders>
          </w:tcPr>
          <w:p w14:paraId="6EC77B66">
            <w:pPr>
              <w:jc w:val="right"/>
            </w:pPr>
            <w:r>
              <w:t>43,072,511.18</w:t>
            </w:r>
          </w:p>
        </w:tc>
        <w:tc>
          <w:tcPr>
            <w:tcW w:w="1686" w:type="pct"/>
            <w:tcBorders>
              <w:top w:val="single" w:color="auto" w:sz="4" w:space="0"/>
              <w:left w:val="single" w:color="auto" w:sz="4" w:space="0"/>
              <w:bottom w:val="single" w:color="auto" w:sz="4" w:space="0"/>
              <w:right w:val="single" w:color="auto" w:sz="4" w:space="0"/>
            </w:tcBorders>
          </w:tcPr>
          <w:p w14:paraId="75D5F2B6">
            <w:pPr>
              <w:jc w:val="right"/>
            </w:pPr>
            <w:r>
              <w:t>32,950,943.74</w:t>
            </w:r>
          </w:p>
        </w:tc>
      </w:tr>
      <w:tr w14:paraId="31FD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760376BA">
            <w:r>
              <w:rPr>
                <w:rFonts w:hint="eastAsia" w:ascii="宋体" w:hAnsi="宋体"/>
              </w:rPr>
              <w:t>其中：</w:t>
            </w:r>
            <w:r>
              <w:rPr>
                <w:rFonts w:hint="eastAsia" w:cs="Times New Roman"/>
              </w:rPr>
              <w:t>1</w:t>
            </w:r>
            <w:r>
              <w:rPr>
                <w:rFonts w:hint="eastAsia" w:ascii="宋体" w:hAnsi="宋体"/>
              </w:rPr>
              <w:t>年以内分项</w:t>
            </w:r>
          </w:p>
        </w:tc>
        <w:tc>
          <w:tcPr>
            <w:tcW w:w="1686" w:type="pct"/>
            <w:tcBorders>
              <w:top w:val="single" w:color="auto" w:sz="4" w:space="0"/>
              <w:left w:val="single" w:color="auto" w:sz="4" w:space="0"/>
              <w:bottom w:val="single" w:color="auto" w:sz="4" w:space="0"/>
              <w:right w:val="single" w:color="auto" w:sz="4" w:space="0"/>
            </w:tcBorders>
          </w:tcPr>
          <w:p w14:paraId="7DEEBFA4">
            <w:pPr>
              <w:jc w:val="right"/>
            </w:pPr>
          </w:p>
        </w:tc>
        <w:tc>
          <w:tcPr>
            <w:tcW w:w="1686" w:type="pct"/>
            <w:tcBorders>
              <w:top w:val="single" w:color="auto" w:sz="4" w:space="0"/>
              <w:left w:val="single" w:color="auto" w:sz="4" w:space="0"/>
              <w:bottom w:val="single" w:color="auto" w:sz="4" w:space="0"/>
              <w:right w:val="single" w:color="auto" w:sz="4" w:space="0"/>
            </w:tcBorders>
          </w:tcPr>
          <w:p w14:paraId="4B3B035E">
            <w:pPr>
              <w:jc w:val="right"/>
            </w:pPr>
          </w:p>
        </w:tc>
      </w:tr>
      <w:tr w14:paraId="5DDA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54C25568">
            <w:r>
              <w:rPr>
                <w:rFonts w:hint="eastAsia" w:cs="Times New Roman"/>
              </w:rPr>
              <w:t>1</w:t>
            </w:r>
            <w:r>
              <w:rPr>
                <w:rFonts w:hint="eastAsia" w:ascii="宋体" w:hAnsi="宋体"/>
              </w:rPr>
              <w:t>年以内</w:t>
            </w:r>
          </w:p>
        </w:tc>
        <w:tc>
          <w:tcPr>
            <w:tcW w:w="1686" w:type="pct"/>
            <w:tcBorders>
              <w:top w:val="single" w:color="auto" w:sz="4" w:space="0"/>
              <w:left w:val="single" w:color="auto" w:sz="4" w:space="0"/>
              <w:bottom w:val="single" w:color="auto" w:sz="4" w:space="0"/>
              <w:right w:val="single" w:color="auto" w:sz="4" w:space="0"/>
            </w:tcBorders>
          </w:tcPr>
          <w:p w14:paraId="3E535976">
            <w:pPr>
              <w:jc w:val="right"/>
            </w:pPr>
          </w:p>
        </w:tc>
        <w:tc>
          <w:tcPr>
            <w:tcW w:w="1686" w:type="pct"/>
            <w:tcBorders>
              <w:top w:val="single" w:color="auto" w:sz="4" w:space="0"/>
              <w:left w:val="single" w:color="auto" w:sz="4" w:space="0"/>
              <w:bottom w:val="single" w:color="auto" w:sz="4" w:space="0"/>
              <w:right w:val="single" w:color="auto" w:sz="4" w:space="0"/>
            </w:tcBorders>
          </w:tcPr>
          <w:p w14:paraId="1E9BE62D">
            <w:pPr>
              <w:jc w:val="right"/>
            </w:pPr>
          </w:p>
        </w:tc>
      </w:tr>
      <w:tr w14:paraId="45A2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1103FEA3">
            <w:pPr>
              <w:rPr>
                <w:color w:val="000000" w:themeColor="text1"/>
                <w14:textFill>
                  <w14:solidFill>
                    <w14:schemeClr w14:val="tx1"/>
                  </w14:solidFill>
                </w14:textFill>
              </w:rPr>
            </w:pPr>
            <w:r>
              <w:rPr>
                <w:rFonts w:hint="eastAsia" w:cs="Times New Roman"/>
              </w:rPr>
              <w:t>1</w:t>
            </w:r>
            <w:r>
              <w:rPr>
                <w:rFonts w:hint="eastAsia" w:ascii="宋体" w:hAnsi="宋体"/>
              </w:rPr>
              <w:t>年以内小计</w:t>
            </w:r>
          </w:p>
        </w:tc>
        <w:tc>
          <w:tcPr>
            <w:tcW w:w="1686" w:type="pct"/>
            <w:tcBorders>
              <w:top w:val="single" w:color="auto" w:sz="4" w:space="0"/>
              <w:left w:val="single" w:color="auto" w:sz="4" w:space="0"/>
              <w:bottom w:val="single" w:color="auto" w:sz="4" w:space="0"/>
              <w:right w:val="single" w:color="auto" w:sz="4" w:space="0"/>
            </w:tcBorders>
          </w:tcPr>
          <w:p w14:paraId="614C5F0C">
            <w:pPr>
              <w:jc w:val="right"/>
            </w:pPr>
            <w:r>
              <w:t>43,072,511.18</w:t>
            </w:r>
          </w:p>
        </w:tc>
        <w:tc>
          <w:tcPr>
            <w:tcW w:w="1686" w:type="pct"/>
            <w:tcBorders>
              <w:top w:val="single" w:color="auto" w:sz="4" w:space="0"/>
              <w:left w:val="single" w:color="auto" w:sz="4" w:space="0"/>
              <w:bottom w:val="single" w:color="auto" w:sz="4" w:space="0"/>
              <w:right w:val="single" w:color="auto" w:sz="4" w:space="0"/>
            </w:tcBorders>
          </w:tcPr>
          <w:p w14:paraId="49E7332A">
            <w:pPr>
              <w:jc w:val="right"/>
            </w:pPr>
            <w:r>
              <w:t>32,950,943.74</w:t>
            </w:r>
          </w:p>
        </w:tc>
      </w:tr>
      <w:tr w14:paraId="1B69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0C609061">
            <w:pPr>
              <w:rPr>
                <w:color w:val="000000" w:themeColor="text1"/>
                <w14:textFill>
                  <w14:solidFill>
                    <w14:schemeClr w14:val="tx1"/>
                  </w14:solidFill>
                </w14:textFill>
              </w:rPr>
            </w:pPr>
            <w:r>
              <w:rPr>
                <w:rFonts w:hint="eastAsia" w:cs="Times New Roman"/>
                <w:color w:val="000000"/>
              </w:rPr>
              <w:t>1</w:t>
            </w:r>
            <w:r>
              <w:rPr>
                <w:rFonts w:hint="eastAsia" w:ascii="宋体" w:hAnsi="宋体"/>
                <w:color w:val="000000"/>
              </w:rPr>
              <w:t>至</w:t>
            </w:r>
            <w:r>
              <w:rPr>
                <w:rFonts w:hint="eastAsia" w:cs="Times New Roman"/>
                <w:color w:val="000000"/>
              </w:rPr>
              <w:t>2</w:t>
            </w:r>
            <w:r>
              <w:rPr>
                <w:rFonts w:hint="eastAsia" w:ascii="宋体" w:hAnsi="宋体"/>
                <w:color w:val="000000"/>
              </w:rPr>
              <w:t>年</w:t>
            </w:r>
          </w:p>
        </w:tc>
        <w:tc>
          <w:tcPr>
            <w:tcW w:w="1686" w:type="pct"/>
            <w:tcBorders>
              <w:top w:val="single" w:color="auto" w:sz="4" w:space="0"/>
              <w:left w:val="single" w:color="auto" w:sz="4" w:space="0"/>
              <w:bottom w:val="single" w:color="auto" w:sz="4" w:space="0"/>
              <w:right w:val="single" w:color="auto" w:sz="4" w:space="0"/>
            </w:tcBorders>
          </w:tcPr>
          <w:p w14:paraId="6F8F8C90">
            <w:pPr>
              <w:jc w:val="right"/>
            </w:pPr>
            <w:r>
              <w:t>1,049,342.75</w:t>
            </w:r>
          </w:p>
        </w:tc>
        <w:tc>
          <w:tcPr>
            <w:tcW w:w="1686" w:type="pct"/>
            <w:tcBorders>
              <w:top w:val="single" w:color="auto" w:sz="4" w:space="0"/>
              <w:left w:val="single" w:color="auto" w:sz="4" w:space="0"/>
              <w:bottom w:val="single" w:color="auto" w:sz="4" w:space="0"/>
              <w:right w:val="single" w:color="auto" w:sz="4" w:space="0"/>
            </w:tcBorders>
          </w:tcPr>
          <w:p w14:paraId="71105A69">
            <w:pPr>
              <w:jc w:val="right"/>
            </w:pPr>
            <w:r>
              <w:t>832,157.97</w:t>
            </w:r>
          </w:p>
        </w:tc>
      </w:tr>
      <w:tr w14:paraId="2F62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322652D8">
            <w:pPr>
              <w:rPr>
                <w:color w:val="000000" w:themeColor="text1"/>
                <w14:textFill>
                  <w14:solidFill>
                    <w14:schemeClr w14:val="tx1"/>
                  </w14:solidFill>
                </w14:textFill>
              </w:rPr>
            </w:pPr>
            <w:r>
              <w:rPr>
                <w:rFonts w:hint="eastAsia" w:cs="Times New Roman"/>
                <w:color w:val="000000"/>
              </w:rPr>
              <w:t>2</w:t>
            </w:r>
            <w:r>
              <w:rPr>
                <w:rFonts w:hint="eastAsia" w:ascii="宋体" w:hAnsi="宋体"/>
                <w:color w:val="000000"/>
              </w:rPr>
              <w:t>至</w:t>
            </w:r>
            <w:r>
              <w:rPr>
                <w:rFonts w:hint="eastAsia" w:cs="Times New Roman"/>
                <w:color w:val="000000"/>
              </w:rPr>
              <w:t>3</w:t>
            </w:r>
            <w:r>
              <w:rPr>
                <w:rFonts w:hint="eastAsia" w:ascii="宋体" w:hAnsi="宋体"/>
                <w:color w:val="000000"/>
              </w:rPr>
              <w:t>年</w:t>
            </w:r>
          </w:p>
        </w:tc>
        <w:tc>
          <w:tcPr>
            <w:tcW w:w="1686" w:type="pct"/>
            <w:tcBorders>
              <w:top w:val="single" w:color="auto" w:sz="4" w:space="0"/>
              <w:left w:val="single" w:color="auto" w:sz="4" w:space="0"/>
              <w:bottom w:val="single" w:color="auto" w:sz="4" w:space="0"/>
              <w:right w:val="single" w:color="auto" w:sz="4" w:space="0"/>
            </w:tcBorders>
          </w:tcPr>
          <w:p w14:paraId="0345023D">
            <w:pPr>
              <w:jc w:val="right"/>
            </w:pPr>
            <w:r>
              <w:t>123,339.19</w:t>
            </w:r>
          </w:p>
        </w:tc>
        <w:tc>
          <w:tcPr>
            <w:tcW w:w="1686" w:type="pct"/>
            <w:tcBorders>
              <w:top w:val="single" w:color="auto" w:sz="4" w:space="0"/>
              <w:left w:val="single" w:color="auto" w:sz="4" w:space="0"/>
              <w:bottom w:val="single" w:color="auto" w:sz="4" w:space="0"/>
              <w:right w:val="single" w:color="auto" w:sz="4" w:space="0"/>
            </w:tcBorders>
          </w:tcPr>
          <w:p w14:paraId="09738281">
            <w:pPr>
              <w:jc w:val="right"/>
            </w:pPr>
            <w:r>
              <w:t>236,769.97</w:t>
            </w:r>
          </w:p>
        </w:tc>
      </w:tr>
      <w:tr w14:paraId="6D48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6824C5EF">
            <w:pPr>
              <w:rPr>
                <w:color w:val="000000" w:themeColor="text1"/>
                <w14:textFill>
                  <w14:solidFill>
                    <w14:schemeClr w14:val="tx1"/>
                  </w14:solidFill>
                </w14:textFill>
              </w:rPr>
            </w:pPr>
            <w:r>
              <w:rPr>
                <w:rFonts w:hint="eastAsia" w:cs="Times New Roman"/>
                <w:color w:val="000000"/>
              </w:rPr>
              <w:t>3</w:t>
            </w:r>
            <w:r>
              <w:rPr>
                <w:rFonts w:hint="eastAsia" w:ascii="宋体" w:hAnsi="宋体"/>
                <w:color w:val="000000"/>
              </w:rPr>
              <w:t>年以上</w:t>
            </w:r>
          </w:p>
        </w:tc>
        <w:tc>
          <w:tcPr>
            <w:tcW w:w="1686" w:type="pct"/>
            <w:tcBorders>
              <w:top w:val="single" w:color="auto" w:sz="4" w:space="0"/>
              <w:left w:val="single" w:color="auto" w:sz="4" w:space="0"/>
              <w:bottom w:val="single" w:color="auto" w:sz="4" w:space="0"/>
              <w:right w:val="single" w:color="auto" w:sz="4" w:space="0"/>
            </w:tcBorders>
          </w:tcPr>
          <w:p w14:paraId="65CA3F25">
            <w:pPr>
              <w:jc w:val="right"/>
            </w:pPr>
            <w:r>
              <w:t>802,357.98</w:t>
            </w:r>
          </w:p>
        </w:tc>
        <w:tc>
          <w:tcPr>
            <w:tcW w:w="1686" w:type="pct"/>
            <w:tcBorders>
              <w:top w:val="single" w:color="auto" w:sz="4" w:space="0"/>
              <w:left w:val="single" w:color="auto" w:sz="4" w:space="0"/>
              <w:bottom w:val="single" w:color="auto" w:sz="4" w:space="0"/>
              <w:right w:val="single" w:color="auto" w:sz="4" w:space="0"/>
            </w:tcBorders>
          </w:tcPr>
          <w:p w14:paraId="1AE56462">
            <w:pPr>
              <w:jc w:val="right"/>
            </w:pPr>
            <w:r>
              <w:t>1,627,640.87</w:t>
            </w:r>
          </w:p>
        </w:tc>
      </w:tr>
      <w:tr w14:paraId="1B70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19149268">
            <w:pPr>
              <w:rPr>
                <w:color w:val="000000" w:themeColor="text1"/>
                <w14:textFill>
                  <w14:solidFill>
                    <w14:schemeClr w14:val="tx1"/>
                  </w14:solidFill>
                </w14:textFill>
              </w:rPr>
            </w:pPr>
            <w:r>
              <w:rPr>
                <w:rFonts w:hint="eastAsia" w:cs="Times New Roman"/>
                <w:color w:val="000000"/>
              </w:rPr>
              <w:t>3</w:t>
            </w:r>
            <w:r>
              <w:rPr>
                <w:rFonts w:hint="eastAsia" w:ascii="宋体" w:hAnsi="宋体"/>
                <w:color w:val="000000"/>
              </w:rPr>
              <w:t>至</w:t>
            </w:r>
            <w:r>
              <w:rPr>
                <w:rFonts w:hint="eastAsia" w:cs="Times New Roman"/>
                <w:color w:val="000000"/>
              </w:rPr>
              <w:t>4</w:t>
            </w:r>
            <w:r>
              <w:rPr>
                <w:rFonts w:hint="eastAsia" w:ascii="宋体" w:hAnsi="宋体"/>
                <w:color w:val="000000"/>
              </w:rPr>
              <w:t>年</w:t>
            </w:r>
          </w:p>
        </w:tc>
        <w:tc>
          <w:tcPr>
            <w:tcW w:w="1686" w:type="pct"/>
            <w:tcBorders>
              <w:top w:val="single" w:color="auto" w:sz="4" w:space="0"/>
              <w:left w:val="single" w:color="auto" w:sz="4" w:space="0"/>
              <w:bottom w:val="single" w:color="auto" w:sz="4" w:space="0"/>
              <w:right w:val="single" w:color="auto" w:sz="4" w:space="0"/>
            </w:tcBorders>
          </w:tcPr>
          <w:p w14:paraId="4541610B">
            <w:pPr>
              <w:jc w:val="right"/>
            </w:pPr>
          </w:p>
        </w:tc>
        <w:tc>
          <w:tcPr>
            <w:tcW w:w="1686" w:type="pct"/>
            <w:tcBorders>
              <w:top w:val="single" w:color="auto" w:sz="4" w:space="0"/>
              <w:left w:val="single" w:color="auto" w:sz="4" w:space="0"/>
              <w:bottom w:val="single" w:color="auto" w:sz="4" w:space="0"/>
              <w:right w:val="single" w:color="auto" w:sz="4" w:space="0"/>
            </w:tcBorders>
          </w:tcPr>
          <w:p w14:paraId="7834C4D9">
            <w:pPr>
              <w:jc w:val="right"/>
            </w:pPr>
          </w:p>
        </w:tc>
      </w:tr>
      <w:tr w14:paraId="565A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4FBF1146">
            <w:pPr>
              <w:rPr>
                <w:color w:val="000000" w:themeColor="text1"/>
                <w14:textFill>
                  <w14:solidFill>
                    <w14:schemeClr w14:val="tx1"/>
                  </w14:solidFill>
                </w14:textFill>
              </w:rPr>
            </w:pPr>
            <w:r>
              <w:rPr>
                <w:rFonts w:hint="eastAsia" w:cs="Times New Roman"/>
                <w:color w:val="000000"/>
              </w:rPr>
              <w:t>4</w:t>
            </w:r>
            <w:r>
              <w:rPr>
                <w:rFonts w:hint="eastAsia" w:ascii="宋体" w:hAnsi="宋体"/>
                <w:color w:val="000000"/>
              </w:rPr>
              <w:t>至</w:t>
            </w:r>
            <w:r>
              <w:rPr>
                <w:rFonts w:hint="eastAsia" w:cs="Times New Roman"/>
                <w:color w:val="000000"/>
              </w:rPr>
              <w:t>5</w:t>
            </w:r>
            <w:r>
              <w:rPr>
                <w:rFonts w:hint="eastAsia" w:ascii="宋体" w:hAnsi="宋体"/>
                <w:color w:val="000000"/>
              </w:rPr>
              <w:t>年</w:t>
            </w:r>
          </w:p>
        </w:tc>
        <w:tc>
          <w:tcPr>
            <w:tcW w:w="1686" w:type="pct"/>
            <w:tcBorders>
              <w:top w:val="single" w:color="auto" w:sz="4" w:space="0"/>
              <w:left w:val="single" w:color="auto" w:sz="4" w:space="0"/>
              <w:bottom w:val="single" w:color="auto" w:sz="4" w:space="0"/>
              <w:right w:val="single" w:color="auto" w:sz="4" w:space="0"/>
            </w:tcBorders>
          </w:tcPr>
          <w:p w14:paraId="70068158">
            <w:pPr>
              <w:jc w:val="right"/>
            </w:pPr>
          </w:p>
        </w:tc>
        <w:tc>
          <w:tcPr>
            <w:tcW w:w="1686" w:type="pct"/>
            <w:tcBorders>
              <w:top w:val="single" w:color="auto" w:sz="4" w:space="0"/>
              <w:left w:val="single" w:color="auto" w:sz="4" w:space="0"/>
              <w:bottom w:val="single" w:color="auto" w:sz="4" w:space="0"/>
              <w:right w:val="single" w:color="auto" w:sz="4" w:space="0"/>
            </w:tcBorders>
          </w:tcPr>
          <w:p w14:paraId="449D01C8">
            <w:pPr>
              <w:jc w:val="right"/>
            </w:pPr>
          </w:p>
        </w:tc>
      </w:tr>
      <w:tr w14:paraId="623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5DE560E9">
            <w:pPr>
              <w:rPr>
                <w:color w:val="000000"/>
              </w:rPr>
            </w:pPr>
            <w:r>
              <w:rPr>
                <w:rFonts w:hint="eastAsia" w:cs="Times New Roman"/>
                <w:color w:val="000000"/>
              </w:rPr>
              <w:t>5</w:t>
            </w:r>
            <w:r>
              <w:rPr>
                <w:rFonts w:hint="eastAsia" w:ascii="宋体" w:hAnsi="宋体"/>
                <w:color w:val="000000"/>
              </w:rPr>
              <w:t>年以上</w:t>
            </w:r>
          </w:p>
        </w:tc>
        <w:tc>
          <w:tcPr>
            <w:tcW w:w="1686" w:type="pct"/>
            <w:tcBorders>
              <w:top w:val="single" w:color="auto" w:sz="4" w:space="0"/>
              <w:left w:val="single" w:color="auto" w:sz="4" w:space="0"/>
              <w:bottom w:val="single" w:color="auto" w:sz="4" w:space="0"/>
              <w:right w:val="single" w:color="auto" w:sz="4" w:space="0"/>
            </w:tcBorders>
          </w:tcPr>
          <w:p w14:paraId="43C3A888">
            <w:pPr>
              <w:jc w:val="right"/>
            </w:pPr>
          </w:p>
        </w:tc>
        <w:tc>
          <w:tcPr>
            <w:tcW w:w="1686" w:type="pct"/>
            <w:tcBorders>
              <w:top w:val="single" w:color="auto" w:sz="4" w:space="0"/>
              <w:left w:val="single" w:color="auto" w:sz="4" w:space="0"/>
              <w:bottom w:val="single" w:color="auto" w:sz="4" w:space="0"/>
              <w:right w:val="single" w:color="auto" w:sz="4" w:space="0"/>
            </w:tcBorders>
          </w:tcPr>
          <w:p w14:paraId="442533BC">
            <w:pPr>
              <w:jc w:val="right"/>
            </w:pPr>
          </w:p>
        </w:tc>
      </w:tr>
      <w:tr w14:paraId="4C05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vAlign w:val="center"/>
          </w:tcPr>
          <w:p w14:paraId="380D696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86" w:type="pct"/>
            <w:tcBorders>
              <w:top w:val="single" w:color="auto" w:sz="4" w:space="0"/>
              <w:left w:val="single" w:color="auto" w:sz="4" w:space="0"/>
              <w:bottom w:val="single" w:color="auto" w:sz="4" w:space="0"/>
              <w:right w:val="single" w:color="auto" w:sz="4" w:space="0"/>
            </w:tcBorders>
          </w:tcPr>
          <w:p w14:paraId="75924FA3">
            <w:pPr>
              <w:jc w:val="right"/>
            </w:pPr>
            <w:r>
              <w:t>45,047,551.10</w:t>
            </w:r>
          </w:p>
        </w:tc>
        <w:tc>
          <w:tcPr>
            <w:tcW w:w="1686" w:type="pct"/>
            <w:tcBorders>
              <w:top w:val="single" w:color="auto" w:sz="4" w:space="0"/>
              <w:left w:val="single" w:color="auto" w:sz="4" w:space="0"/>
              <w:bottom w:val="single" w:color="auto" w:sz="4" w:space="0"/>
              <w:right w:val="single" w:color="auto" w:sz="4" w:space="0"/>
            </w:tcBorders>
          </w:tcPr>
          <w:p w14:paraId="090626A4">
            <w:pPr>
              <w:jc w:val="right"/>
            </w:pPr>
            <w:r>
              <w:t>35,647,512.55</w:t>
            </w:r>
          </w:p>
        </w:tc>
      </w:tr>
    </w:tbl>
    <w:p w14:paraId="7942148C">
      <w:pPr>
        <w:rPr>
          <w:color w:val="000000" w:themeColor="text1"/>
          <w14:textFill>
            <w14:solidFill>
              <w14:schemeClr w14:val="tx1"/>
            </w14:solidFill>
          </w14:textFill>
        </w:rPr>
      </w:pPr>
    </w:p>
    <w:bookmarkEnd w:id="184"/>
    <w:p w14:paraId="771B4A4C">
      <w:pPr>
        <w:pStyle w:val="5"/>
        <w:numPr>
          <w:ilvl w:val="3"/>
          <w:numId w:val="55"/>
        </w:numPr>
        <w:tabs>
          <w:tab w:val="left" w:pos="574"/>
        </w:tabs>
        <w:ind w:left="425" w:hanging="425"/>
        <w:rPr>
          <w:rFonts w:hint="eastAsia" w:ascii="宋体" w:hAnsi="宋体"/>
          <w:color w:val="000000" w:themeColor="text1"/>
          <w14:textFill>
            <w14:solidFill>
              <w14:schemeClr w14:val="tx1"/>
            </w14:solidFill>
          </w14:textFill>
        </w:rPr>
      </w:pPr>
      <w:bookmarkStart w:id="185" w:name="_Hlk10467162"/>
      <w:r>
        <w:rPr>
          <w:rFonts w:hint="eastAsia" w:ascii="宋体" w:hAnsi="宋体" w:cstheme="minorBidi"/>
          <w:color w:val="000000" w:themeColor="text1"/>
          <w:kern w:val="0"/>
          <w:szCs w:val="22"/>
          <w14:textFill>
            <w14:solidFill>
              <w14:schemeClr w14:val="tx1"/>
            </w14:solidFill>
          </w14:textFill>
        </w:rPr>
        <w:t>按坏账计提方法分类披露</w:t>
      </w:r>
    </w:p>
    <w:sdt>
      <w:sdtPr>
        <w:rPr>
          <w:color w:val="000000" w:themeColor="text1"/>
          <w14:textFill>
            <w14:solidFill>
              <w14:schemeClr w14:val="tx1"/>
            </w14:solidFill>
          </w14:textFill>
        </w:rPr>
        <w:alias w:val="是否适用：应收账款分类披露[双击切换]"/>
        <w:tag w:val="_GBC_fc55e6778e08412caa3e7b9e7a1a0f85"/>
        <w:id w:val="-1711030355"/>
        <w:lock w:val="contentLocked"/>
        <w:placeholder>
          <w:docPart w:val="GBC22222222222222222222222222222"/>
        </w:placeholder>
      </w:sdtPr>
      <w:sdtEndPr>
        <w:rPr>
          <w:color w:val="000000" w:themeColor="text1"/>
          <w14:textFill>
            <w14:solidFill>
              <w14:schemeClr w14:val="tx1"/>
            </w14:solidFill>
          </w14:textFill>
        </w:rPr>
      </w:sdtEndPr>
      <w:sdtContent>
        <w:p w14:paraId="6CFE472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1FCCBFB">
      <w:pPr>
        <w:pStyle w:val="55"/>
        <w:autoSpaceDE w:val="0"/>
        <w:autoSpaceDN w:val="0"/>
        <w:adjustRightInd w:val="0"/>
        <w:ind w:left="425" w:right="105" w:firstLine="0" w:firstLineChars="0"/>
        <w:jc w:val="righ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w:t>
      </w:r>
      <w:sdt>
        <w:sdtPr>
          <w:rPr>
            <w:rFonts w:hint="eastAsia" w:ascii="宋体" w:hAnsi="宋体"/>
            <w:color w:val="000000" w:themeColor="text1"/>
            <w:szCs w:val="21"/>
            <w14:textFill>
              <w14:solidFill>
                <w14:schemeClr w14:val="tx1"/>
              </w14:solidFill>
            </w14:textFill>
          </w:rPr>
          <w:alias w:val="单位：财务附注：应收账款按种类披露"/>
          <w:tag w:val="_GBC_13874a7a2d5642bc9d06df2e53ad133f"/>
          <w:id w:val="-150141800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元</w:t>
          </w:r>
        </w:sdtContent>
      </w:sdt>
      <w:r>
        <w:rPr>
          <w:rFonts w:hint="eastAsia" w:ascii="宋体" w:hAnsi="宋体"/>
          <w:color w:val="000000" w:themeColor="text1"/>
          <w:szCs w:val="21"/>
          <w14:textFill>
            <w14:solidFill>
              <w14:schemeClr w14:val="tx1"/>
            </w14:solidFill>
          </w14:textFill>
        </w:rPr>
        <w:t xml:space="preserve">  币种：</w:t>
      </w:r>
      <w:sdt>
        <w:sdtPr>
          <w:rPr>
            <w:rFonts w:hint="eastAsia" w:ascii="宋体" w:hAnsi="宋体"/>
            <w:color w:val="000000" w:themeColor="text1"/>
            <w:szCs w:val="21"/>
            <w14:textFill>
              <w14:solidFill>
                <w14:schemeClr w14:val="tx1"/>
              </w14:solidFill>
            </w14:textFill>
          </w:rPr>
          <w:alias w:val="币种：财务附注：应收账款按种类披露"/>
          <w:tag w:val="_GBC_a7c9ba83409d4f5ebb3a7b0903842485"/>
          <w:id w:val="-67002280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人民币</w:t>
          </w:r>
        </w:sdtContent>
      </w:sdt>
    </w:p>
    <w:tbl>
      <w:tblPr>
        <w:tblStyle w:val="37"/>
        <w:tblW w:w="6025" w:type="pct"/>
        <w:tblInd w:w="-1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1" w:type="dxa"/>
          <w:bottom w:w="0" w:type="dxa"/>
          <w:right w:w="31" w:type="dxa"/>
        </w:tblCellMar>
      </w:tblPr>
      <w:tblGrid>
        <w:gridCol w:w="1276"/>
        <w:gridCol w:w="1133"/>
        <w:gridCol w:w="568"/>
        <w:gridCol w:w="1133"/>
        <w:gridCol w:w="568"/>
        <w:gridCol w:w="1276"/>
        <w:gridCol w:w="1276"/>
        <w:gridCol w:w="566"/>
        <w:gridCol w:w="1133"/>
        <w:gridCol w:w="570"/>
        <w:gridCol w:w="1133"/>
      </w:tblGrid>
      <w:tr w14:paraId="52CB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Height w:val="259" w:hRule="atLeast"/>
        </w:trPr>
        <w:sdt>
          <w:sdtPr>
            <w:tag w:val="_PLD_a2143754c0e847e9a8bbb40d4548066c"/>
            <w:id w:val="1185028518"/>
          </w:sdtPr>
          <w:sdtContent>
            <w:tc>
              <w:tcPr>
                <w:tcW w:w="600" w:type="pct"/>
                <w:vMerge w:val="restart"/>
                <w:tcBorders>
                  <w:top w:val="single" w:color="auto" w:sz="4" w:space="0"/>
                  <w:left w:val="single" w:color="auto" w:sz="4" w:space="0"/>
                  <w:right w:val="single" w:color="auto" w:sz="4" w:space="0"/>
                </w:tcBorders>
                <w:vAlign w:val="center"/>
              </w:tcPr>
              <w:p w14:paraId="0A2A3F2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类别</w:t>
                </w:r>
              </w:p>
            </w:tc>
          </w:sdtContent>
        </w:sdt>
        <w:sdt>
          <w:sdtPr>
            <w:tag w:val="_PLD_25d42b68a0be4b6c9079bb6f0b9688f1"/>
            <w:id w:val="1253234869"/>
          </w:sdtPr>
          <w:sdtContent>
            <w:tc>
              <w:tcPr>
                <w:tcW w:w="2200" w:type="pct"/>
                <w:gridSpan w:val="5"/>
                <w:tcBorders>
                  <w:top w:val="single" w:color="auto" w:sz="4" w:space="0"/>
                  <w:left w:val="single" w:color="auto" w:sz="4" w:space="0"/>
                  <w:right w:val="single" w:color="auto" w:sz="4" w:space="0"/>
                </w:tcBorders>
                <w:vAlign w:val="center"/>
              </w:tcPr>
              <w:p w14:paraId="11C60627">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7ebf4817a5864c42bb0897c8ddd0cd9c"/>
            <w:id w:val="192275427"/>
          </w:sdtPr>
          <w:sdtContent>
            <w:tc>
              <w:tcPr>
                <w:tcW w:w="2200" w:type="pct"/>
                <w:gridSpan w:val="5"/>
                <w:tcBorders>
                  <w:top w:val="single" w:color="auto" w:sz="4" w:space="0"/>
                  <w:left w:val="single" w:color="auto" w:sz="4" w:space="0"/>
                  <w:right w:val="single" w:color="auto" w:sz="4" w:space="0"/>
                </w:tcBorders>
                <w:vAlign w:val="center"/>
              </w:tcPr>
              <w:p w14:paraId="74E6BC1D">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0EC6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Height w:val="227" w:hRule="atLeast"/>
        </w:trPr>
        <w:tc>
          <w:tcPr>
            <w:tcW w:w="600" w:type="pct"/>
            <w:vMerge w:val="continue"/>
            <w:tcBorders>
              <w:left w:val="single" w:color="auto" w:sz="4" w:space="0"/>
              <w:right w:val="single" w:color="auto" w:sz="4" w:space="0"/>
            </w:tcBorders>
            <w:vAlign w:val="center"/>
          </w:tcPr>
          <w:p w14:paraId="6839C6E4">
            <w:pPr>
              <w:rPr>
                <w:color w:val="000000" w:themeColor="text1"/>
                <w14:textFill>
                  <w14:solidFill>
                    <w14:schemeClr w14:val="tx1"/>
                  </w14:solidFill>
                </w14:textFill>
              </w:rPr>
            </w:pPr>
          </w:p>
        </w:tc>
        <w:sdt>
          <w:sdtPr>
            <w:tag w:val="_PLD_fd64cffe158d4ef48a5ff569de778464"/>
            <w:id w:val="-313411858"/>
          </w:sdtPr>
          <w:sdtContent>
            <w:tc>
              <w:tcPr>
                <w:tcW w:w="800" w:type="pct"/>
                <w:gridSpan w:val="2"/>
                <w:tcBorders>
                  <w:top w:val="single" w:color="auto" w:sz="4" w:space="0"/>
                  <w:left w:val="single" w:color="auto" w:sz="4" w:space="0"/>
                  <w:bottom w:val="single" w:color="auto" w:sz="4" w:space="0"/>
                  <w:right w:val="single" w:color="auto" w:sz="4" w:space="0"/>
                </w:tcBorders>
                <w:vAlign w:val="center"/>
              </w:tcPr>
              <w:p w14:paraId="0B8FFA6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tc>
          </w:sdtContent>
        </w:sdt>
        <w:sdt>
          <w:sdtPr>
            <w:tag w:val="_PLD_f0f4adcb95c44cfa884ef7d853d6b134"/>
            <w:id w:val="989517337"/>
          </w:sdtPr>
          <w:sdtContent>
            <w:tc>
              <w:tcPr>
                <w:tcW w:w="800" w:type="pct"/>
                <w:gridSpan w:val="2"/>
                <w:tcBorders>
                  <w:top w:val="single" w:color="auto" w:sz="4" w:space="0"/>
                  <w:left w:val="single" w:color="auto" w:sz="4" w:space="0"/>
                  <w:bottom w:val="single" w:color="auto" w:sz="4" w:space="0"/>
                  <w:right w:val="single" w:color="auto" w:sz="4" w:space="0"/>
                </w:tcBorders>
                <w:vAlign w:val="center"/>
              </w:tcPr>
              <w:p w14:paraId="2D856E7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坏账准备</w:t>
                </w:r>
              </w:p>
            </w:tc>
          </w:sdtContent>
        </w:sdt>
        <w:sdt>
          <w:sdtPr>
            <w:tag w:val="_PLD_4c122527ed0743b8905d9f19514f4328"/>
            <w:id w:val="-684209779"/>
          </w:sdtPr>
          <w:sdtContent>
            <w:tc>
              <w:tcPr>
                <w:tcW w:w="600" w:type="pct"/>
                <w:vMerge w:val="restart"/>
                <w:tcBorders>
                  <w:top w:val="single" w:color="auto" w:sz="4" w:space="0"/>
                  <w:left w:val="single" w:color="auto" w:sz="4" w:space="0"/>
                  <w:right w:val="single" w:color="auto" w:sz="4" w:space="0"/>
                </w:tcBorders>
                <w:vAlign w:val="center"/>
              </w:tcPr>
              <w:p w14:paraId="72EBEED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w:t>
                </w:r>
              </w:p>
              <w:p w14:paraId="6037D5D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价值</w:t>
                </w:r>
              </w:p>
            </w:tc>
          </w:sdtContent>
        </w:sdt>
        <w:sdt>
          <w:sdtPr>
            <w:tag w:val="_PLD_fa758d9eb4ae426faef8e328262241b4"/>
            <w:id w:val="-1771149746"/>
          </w:sdtPr>
          <w:sdtContent>
            <w:tc>
              <w:tcPr>
                <w:tcW w:w="866" w:type="pct"/>
                <w:gridSpan w:val="2"/>
                <w:tcBorders>
                  <w:top w:val="single" w:color="auto" w:sz="4" w:space="0"/>
                  <w:left w:val="single" w:color="auto" w:sz="4" w:space="0"/>
                  <w:right w:val="single" w:color="auto" w:sz="4" w:space="0"/>
                </w:tcBorders>
                <w:vAlign w:val="center"/>
              </w:tcPr>
              <w:p w14:paraId="5912E06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tc>
          </w:sdtContent>
        </w:sdt>
        <w:sdt>
          <w:sdtPr>
            <w:tag w:val="_PLD_58080bac137d4831ab65bc2f8ca82429"/>
            <w:id w:val="517125844"/>
          </w:sdtPr>
          <w:sdtContent>
            <w:tc>
              <w:tcPr>
                <w:tcW w:w="801" w:type="pct"/>
                <w:gridSpan w:val="2"/>
                <w:tcBorders>
                  <w:top w:val="single" w:color="auto" w:sz="4" w:space="0"/>
                  <w:left w:val="single" w:color="auto" w:sz="4" w:space="0"/>
                  <w:right w:val="single" w:color="auto" w:sz="4" w:space="0"/>
                </w:tcBorders>
                <w:vAlign w:val="center"/>
              </w:tcPr>
              <w:p w14:paraId="4436FC8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坏账准备</w:t>
                </w:r>
              </w:p>
            </w:tc>
          </w:sdtContent>
        </w:sdt>
        <w:sdt>
          <w:sdtPr>
            <w:tag w:val="_PLD_c015e43e7b384b6ab9bf259155579fa4"/>
            <w:id w:val="1468480959"/>
          </w:sdtPr>
          <w:sdtContent>
            <w:tc>
              <w:tcPr>
                <w:tcW w:w="533" w:type="pct"/>
                <w:vMerge w:val="restart"/>
                <w:tcBorders>
                  <w:top w:val="single" w:color="auto" w:sz="4" w:space="0"/>
                  <w:left w:val="single" w:color="auto" w:sz="4" w:space="0"/>
                  <w:right w:val="single" w:color="auto" w:sz="4" w:space="0"/>
                </w:tcBorders>
                <w:vAlign w:val="center"/>
              </w:tcPr>
              <w:p w14:paraId="0C8364B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w:t>
                </w:r>
              </w:p>
              <w:p w14:paraId="27BCBDB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价值</w:t>
                </w:r>
              </w:p>
            </w:tc>
          </w:sdtContent>
        </w:sdt>
      </w:tr>
      <w:tr w14:paraId="769E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Height w:val="375" w:hRule="atLeast"/>
        </w:trPr>
        <w:tc>
          <w:tcPr>
            <w:tcW w:w="600" w:type="pct"/>
            <w:vMerge w:val="continue"/>
            <w:tcBorders>
              <w:left w:val="single" w:color="auto" w:sz="4" w:space="0"/>
              <w:bottom w:val="single" w:color="auto" w:sz="4" w:space="0"/>
              <w:right w:val="single" w:color="auto" w:sz="4" w:space="0"/>
            </w:tcBorders>
            <w:vAlign w:val="center"/>
          </w:tcPr>
          <w:p w14:paraId="01EBE20D">
            <w:pPr>
              <w:rPr>
                <w:color w:val="000000" w:themeColor="text1"/>
                <w14:textFill>
                  <w14:solidFill>
                    <w14:schemeClr w14:val="tx1"/>
                  </w14:solidFill>
                </w14:textFill>
              </w:rPr>
            </w:pPr>
          </w:p>
        </w:tc>
        <w:sdt>
          <w:sdtPr>
            <w:tag w:val="_PLD_2a622138bde346ccae812608989b472d"/>
            <w:id w:val="146414944"/>
          </w:sdtPr>
          <w:sdtContent>
            <w:tc>
              <w:tcPr>
                <w:tcW w:w="533" w:type="pct"/>
                <w:tcBorders>
                  <w:left w:val="single" w:color="auto" w:sz="4" w:space="0"/>
                  <w:bottom w:val="single" w:color="auto" w:sz="4" w:space="0"/>
                  <w:right w:val="single" w:color="auto" w:sz="4" w:space="0"/>
                </w:tcBorders>
                <w:vAlign w:val="center"/>
              </w:tcPr>
              <w:p w14:paraId="514BB3C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金额</w:t>
                </w:r>
              </w:p>
            </w:tc>
          </w:sdtContent>
        </w:sdt>
        <w:sdt>
          <w:sdtPr>
            <w:tag w:val="_PLD_abd0e3a320c240aeb85b1414af26aa00"/>
            <w:id w:val="1191490245"/>
          </w:sdtPr>
          <w:sdtContent>
            <w:tc>
              <w:tcPr>
                <w:tcW w:w="267" w:type="pct"/>
                <w:tcBorders>
                  <w:left w:val="single" w:color="auto" w:sz="4" w:space="0"/>
                  <w:bottom w:val="single" w:color="auto" w:sz="4" w:space="0"/>
                  <w:right w:val="single" w:color="auto" w:sz="4" w:space="0"/>
                </w:tcBorders>
                <w:vAlign w:val="center"/>
              </w:tcPr>
              <w:p w14:paraId="603C0BA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比例</w:t>
                </w:r>
                <w:r>
                  <w:rPr>
                    <w:color w:val="000000" w:themeColor="text1"/>
                    <w14:textFill>
                      <w14:solidFill>
                        <w14:schemeClr w14:val="tx1"/>
                      </w14:solidFill>
                    </w14:textFill>
                  </w:rPr>
                  <w:t>(%)</w:t>
                </w:r>
              </w:p>
            </w:tc>
          </w:sdtContent>
        </w:sdt>
        <w:sdt>
          <w:sdtPr>
            <w:tag w:val="_PLD_d60468b4e5934fb9af3ebf3b3ca06a6b"/>
            <w:id w:val="-2107486408"/>
          </w:sdtPr>
          <w:sdtContent>
            <w:tc>
              <w:tcPr>
                <w:tcW w:w="533" w:type="pct"/>
                <w:tcBorders>
                  <w:left w:val="single" w:color="auto" w:sz="4" w:space="0"/>
                  <w:bottom w:val="single" w:color="auto" w:sz="4" w:space="0"/>
                  <w:right w:val="single" w:color="auto" w:sz="4" w:space="0"/>
                </w:tcBorders>
                <w:vAlign w:val="center"/>
              </w:tcPr>
              <w:p w14:paraId="7A98891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金额</w:t>
                </w:r>
              </w:p>
            </w:tc>
          </w:sdtContent>
        </w:sdt>
        <w:sdt>
          <w:sdtPr>
            <w:tag w:val="_PLD_743ca215156149608b4d9149bc142cc3"/>
            <w:id w:val="2133588470"/>
          </w:sdtPr>
          <w:sdtContent>
            <w:tc>
              <w:tcPr>
                <w:tcW w:w="267" w:type="pct"/>
                <w:tcBorders>
                  <w:left w:val="single" w:color="auto" w:sz="4" w:space="0"/>
                  <w:bottom w:val="single" w:color="auto" w:sz="4" w:space="0"/>
                  <w:right w:val="single" w:color="auto" w:sz="4" w:space="0"/>
                </w:tcBorders>
                <w:vAlign w:val="center"/>
              </w:tcPr>
              <w:p w14:paraId="48CF4B3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计提比例</w:t>
                </w:r>
                <w:r>
                  <w:rPr>
                    <w:color w:val="000000" w:themeColor="text1"/>
                    <w14:textFill>
                      <w14:solidFill>
                        <w14:schemeClr w14:val="tx1"/>
                      </w14:solidFill>
                    </w14:textFill>
                  </w:rPr>
                  <w:t>(%)</w:t>
                </w:r>
              </w:p>
            </w:tc>
          </w:sdtContent>
        </w:sdt>
        <w:tc>
          <w:tcPr>
            <w:tcW w:w="600" w:type="pct"/>
            <w:vMerge w:val="continue"/>
            <w:tcBorders>
              <w:left w:val="single" w:color="auto" w:sz="4" w:space="0"/>
              <w:bottom w:val="single" w:color="auto" w:sz="4" w:space="0"/>
              <w:right w:val="single" w:color="auto" w:sz="4" w:space="0"/>
            </w:tcBorders>
            <w:vAlign w:val="center"/>
          </w:tcPr>
          <w:p w14:paraId="53861297">
            <w:pPr>
              <w:jc w:val="center"/>
              <w:rPr>
                <w:color w:val="000000" w:themeColor="text1"/>
                <w14:textFill>
                  <w14:solidFill>
                    <w14:schemeClr w14:val="tx1"/>
                  </w14:solidFill>
                </w14:textFill>
              </w:rPr>
            </w:pPr>
          </w:p>
        </w:tc>
        <w:sdt>
          <w:sdtPr>
            <w:tag w:val="_PLD_88061469e7574f3d93ff9dc8f7c03e2d"/>
            <w:id w:val="-1100566813"/>
          </w:sdtPr>
          <w:sdtContent>
            <w:tc>
              <w:tcPr>
                <w:tcW w:w="600" w:type="pct"/>
                <w:tcBorders>
                  <w:left w:val="single" w:color="auto" w:sz="4" w:space="0"/>
                  <w:bottom w:val="single" w:color="auto" w:sz="4" w:space="0"/>
                  <w:right w:val="single" w:color="auto" w:sz="4" w:space="0"/>
                </w:tcBorders>
                <w:vAlign w:val="center"/>
              </w:tcPr>
              <w:p w14:paraId="598403D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金额</w:t>
                </w:r>
              </w:p>
            </w:tc>
          </w:sdtContent>
        </w:sdt>
        <w:sdt>
          <w:sdtPr>
            <w:tag w:val="_PLD_c2b4bd19b5284f3481bdd6a3becafce0"/>
            <w:id w:val="-1597237229"/>
          </w:sdtPr>
          <w:sdtContent>
            <w:tc>
              <w:tcPr>
                <w:tcW w:w="266" w:type="pct"/>
                <w:tcBorders>
                  <w:left w:val="single" w:color="auto" w:sz="4" w:space="0"/>
                  <w:bottom w:val="single" w:color="auto" w:sz="4" w:space="0"/>
                  <w:right w:val="single" w:color="auto" w:sz="4" w:space="0"/>
                </w:tcBorders>
                <w:vAlign w:val="center"/>
              </w:tcPr>
              <w:p w14:paraId="389553C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比例</w:t>
                </w:r>
                <w:r>
                  <w:rPr>
                    <w:color w:val="000000" w:themeColor="text1"/>
                    <w14:textFill>
                      <w14:solidFill>
                        <w14:schemeClr w14:val="tx1"/>
                      </w14:solidFill>
                    </w14:textFill>
                  </w:rPr>
                  <w:t>(%)</w:t>
                </w:r>
              </w:p>
            </w:tc>
          </w:sdtContent>
        </w:sdt>
        <w:sdt>
          <w:sdtPr>
            <w:tag w:val="_PLD_c6874c65e4ac43019002d5903e4b46d6"/>
            <w:id w:val="-661395475"/>
          </w:sdtPr>
          <w:sdtContent>
            <w:tc>
              <w:tcPr>
                <w:tcW w:w="533" w:type="pct"/>
                <w:tcBorders>
                  <w:left w:val="single" w:color="auto" w:sz="4" w:space="0"/>
                  <w:bottom w:val="single" w:color="auto" w:sz="4" w:space="0"/>
                  <w:right w:val="single" w:color="auto" w:sz="4" w:space="0"/>
                </w:tcBorders>
                <w:vAlign w:val="center"/>
              </w:tcPr>
              <w:p w14:paraId="53BB19D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金额</w:t>
                </w:r>
              </w:p>
            </w:tc>
          </w:sdtContent>
        </w:sdt>
        <w:sdt>
          <w:sdtPr>
            <w:tag w:val="_PLD_0596fb5f4bb147b48d9ab2f32535e71f"/>
            <w:id w:val="-763845718"/>
          </w:sdtPr>
          <w:sdtContent>
            <w:tc>
              <w:tcPr>
                <w:tcW w:w="268" w:type="pct"/>
                <w:tcBorders>
                  <w:left w:val="single" w:color="auto" w:sz="4" w:space="0"/>
                  <w:bottom w:val="single" w:color="auto" w:sz="4" w:space="0"/>
                  <w:right w:val="single" w:color="auto" w:sz="4" w:space="0"/>
                </w:tcBorders>
                <w:vAlign w:val="center"/>
              </w:tcPr>
              <w:p w14:paraId="4BDAF0D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计提比例</w:t>
                </w:r>
                <w:r>
                  <w:rPr>
                    <w:color w:val="000000" w:themeColor="text1"/>
                    <w14:textFill>
                      <w14:solidFill>
                        <w14:schemeClr w14:val="tx1"/>
                      </w14:solidFill>
                    </w14:textFill>
                  </w:rPr>
                  <w:t>(%)</w:t>
                </w:r>
              </w:p>
            </w:tc>
          </w:sdtContent>
        </w:sdt>
        <w:tc>
          <w:tcPr>
            <w:tcW w:w="533" w:type="pct"/>
            <w:vMerge w:val="continue"/>
            <w:tcBorders>
              <w:left w:val="single" w:color="auto" w:sz="4" w:space="0"/>
              <w:bottom w:val="single" w:color="auto" w:sz="4" w:space="0"/>
              <w:right w:val="single" w:color="auto" w:sz="4" w:space="0"/>
            </w:tcBorders>
          </w:tcPr>
          <w:p w14:paraId="295680F6">
            <w:pPr>
              <w:jc w:val="center"/>
              <w:rPr>
                <w:color w:val="000000" w:themeColor="text1"/>
                <w14:textFill>
                  <w14:solidFill>
                    <w14:schemeClr w14:val="tx1"/>
                  </w14:solidFill>
                </w14:textFill>
              </w:rPr>
            </w:pPr>
          </w:p>
        </w:tc>
      </w:tr>
      <w:tr w14:paraId="6CE5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600" w:type="pct"/>
            <w:tcBorders>
              <w:top w:val="single" w:color="auto" w:sz="4" w:space="0"/>
              <w:left w:val="single" w:color="auto" w:sz="4" w:space="0"/>
              <w:bottom w:val="single" w:color="auto" w:sz="4" w:space="0"/>
              <w:right w:val="single" w:color="auto" w:sz="4" w:space="0"/>
            </w:tcBorders>
          </w:tcPr>
          <w:p w14:paraId="2C1DDBEE">
            <w:pPr>
              <w:jc w:val="both"/>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按单项计提坏账准备</w:t>
            </w:r>
          </w:p>
        </w:tc>
        <w:tc>
          <w:tcPr>
            <w:tcW w:w="533" w:type="pct"/>
            <w:tcBorders>
              <w:top w:val="single" w:color="auto" w:sz="4" w:space="0"/>
              <w:left w:val="single" w:color="auto" w:sz="4" w:space="0"/>
              <w:bottom w:val="single" w:color="auto" w:sz="4" w:space="0"/>
              <w:right w:val="single" w:color="auto" w:sz="4" w:space="0"/>
            </w:tcBorders>
          </w:tcPr>
          <w:p w14:paraId="108B1002">
            <w:pPr>
              <w:jc w:val="right"/>
              <w:rPr>
                <w:sz w:val="18"/>
                <w:szCs w:val="18"/>
              </w:rPr>
            </w:pPr>
            <w:r>
              <w:rPr>
                <w:sz w:val="18"/>
                <w:szCs w:val="18"/>
              </w:rPr>
              <w:t>1,145,217.42</w:t>
            </w:r>
          </w:p>
        </w:tc>
        <w:tc>
          <w:tcPr>
            <w:tcW w:w="267" w:type="pct"/>
            <w:tcBorders>
              <w:top w:val="single" w:color="auto" w:sz="4" w:space="0"/>
              <w:left w:val="single" w:color="auto" w:sz="4" w:space="0"/>
              <w:bottom w:val="single" w:color="auto" w:sz="4" w:space="0"/>
              <w:right w:val="single" w:color="auto" w:sz="4" w:space="0"/>
            </w:tcBorders>
          </w:tcPr>
          <w:p w14:paraId="41F1C856">
            <w:pPr>
              <w:jc w:val="right"/>
              <w:rPr>
                <w:sz w:val="18"/>
                <w:szCs w:val="18"/>
              </w:rPr>
            </w:pPr>
            <w:r>
              <w:rPr>
                <w:rFonts w:hint="eastAsia"/>
                <w:sz w:val="18"/>
                <w:szCs w:val="18"/>
              </w:rPr>
              <w:t>2.54</w:t>
            </w:r>
          </w:p>
        </w:tc>
        <w:tc>
          <w:tcPr>
            <w:tcW w:w="533" w:type="pct"/>
            <w:tcBorders>
              <w:top w:val="single" w:color="auto" w:sz="4" w:space="0"/>
              <w:left w:val="single" w:color="auto" w:sz="4" w:space="0"/>
              <w:bottom w:val="single" w:color="auto" w:sz="4" w:space="0"/>
              <w:right w:val="single" w:color="auto" w:sz="4" w:space="0"/>
            </w:tcBorders>
          </w:tcPr>
          <w:p w14:paraId="739F5A24">
            <w:pPr>
              <w:jc w:val="right"/>
              <w:rPr>
                <w:sz w:val="18"/>
                <w:szCs w:val="18"/>
              </w:rPr>
            </w:pPr>
            <w:r>
              <w:rPr>
                <w:sz w:val="18"/>
                <w:szCs w:val="18"/>
              </w:rPr>
              <w:t>1,145,217.42</w:t>
            </w:r>
          </w:p>
        </w:tc>
        <w:tc>
          <w:tcPr>
            <w:tcW w:w="267" w:type="pct"/>
            <w:tcBorders>
              <w:top w:val="single" w:color="auto" w:sz="4" w:space="0"/>
              <w:left w:val="single" w:color="auto" w:sz="4" w:space="0"/>
              <w:bottom w:val="single" w:color="auto" w:sz="4" w:space="0"/>
              <w:right w:val="single" w:color="auto" w:sz="4" w:space="0"/>
            </w:tcBorders>
          </w:tcPr>
          <w:p w14:paraId="4351FB2F">
            <w:pPr>
              <w:jc w:val="right"/>
              <w:rPr>
                <w:sz w:val="18"/>
                <w:szCs w:val="18"/>
              </w:rPr>
            </w:pPr>
            <w:r>
              <w:rPr>
                <w:rFonts w:hint="eastAsia"/>
                <w:sz w:val="18"/>
                <w:szCs w:val="18"/>
              </w:rPr>
              <w:t>100</w:t>
            </w:r>
          </w:p>
        </w:tc>
        <w:tc>
          <w:tcPr>
            <w:tcW w:w="600" w:type="pct"/>
            <w:tcBorders>
              <w:top w:val="single" w:color="auto" w:sz="4" w:space="0"/>
              <w:left w:val="single" w:color="auto" w:sz="4" w:space="0"/>
              <w:bottom w:val="single" w:color="auto" w:sz="4" w:space="0"/>
              <w:right w:val="single" w:color="auto" w:sz="4" w:space="0"/>
            </w:tcBorders>
          </w:tcPr>
          <w:p w14:paraId="3B1E0753">
            <w:pPr>
              <w:jc w:val="right"/>
              <w:rPr>
                <w:sz w:val="18"/>
                <w:szCs w:val="18"/>
              </w:rPr>
            </w:pPr>
          </w:p>
        </w:tc>
        <w:tc>
          <w:tcPr>
            <w:tcW w:w="600" w:type="pct"/>
            <w:tcBorders>
              <w:top w:val="single" w:color="auto" w:sz="4" w:space="0"/>
              <w:left w:val="single" w:color="auto" w:sz="4" w:space="0"/>
              <w:bottom w:val="single" w:color="auto" w:sz="4" w:space="0"/>
              <w:right w:val="single" w:color="auto" w:sz="4" w:space="0"/>
            </w:tcBorders>
          </w:tcPr>
          <w:p w14:paraId="0A0BDF69">
            <w:pPr>
              <w:jc w:val="right"/>
              <w:rPr>
                <w:sz w:val="18"/>
                <w:szCs w:val="18"/>
              </w:rPr>
            </w:pPr>
            <w:r>
              <w:rPr>
                <w:sz w:val="18"/>
                <w:szCs w:val="18"/>
              </w:rPr>
              <w:t>1,145,217.42</w:t>
            </w:r>
          </w:p>
        </w:tc>
        <w:tc>
          <w:tcPr>
            <w:tcW w:w="266" w:type="pct"/>
            <w:tcBorders>
              <w:top w:val="single" w:color="auto" w:sz="4" w:space="0"/>
              <w:left w:val="single" w:color="auto" w:sz="4" w:space="0"/>
              <w:bottom w:val="single" w:color="auto" w:sz="4" w:space="0"/>
              <w:right w:val="single" w:color="auto" w:sz="4" w:space="0"/>
            </w:tcBorders>
          </w:tcPr>
          <w:p w14:paraId="048673F9">
            <w:pPr>
              <w:jc w:val="right"/>
              <w:rPr>
                <w:sz w:val="18"/>
                <w:szCs w:val="18"/>
              </w:rPr>
            </w:pPr>
            <w:r>
              <w:rPr>
                <w:rFonts w:hint="eastAsia"/>
                <w:sz w:val="18"/>
                <w:szCs w:val="18"/>
              </w:rPr>
              <w:t>3.21</w:t>
            </w:r>
          </w:p>
        </w:tc>
        <w:tc>
          <w:tcPr>
            <w:tcW w:w="533" w:type="pct"/>
            <w:tcBorders>
              <w:top w:val="single" w:color="auto" w:sz="4" w:space="0"/>
              <w:left w:val="single" w:color="auto" w:sz="4" w:space="0"/>
              <w:bottom w:val="single" w:color="auto" w:sz="4" w:space="0"/>
              <w:right w:val="single" w:color="auto" w:sz="4" w:space="0"/>
            </w:tcBorders>
          </w:tcPr>
          <w:p w14:paraId="351BCD1B">
            <w:pPr>
              <w:jc w:val="right"/>
              <w:rPr>
                <w:sz w:val="18"/>
                <w:szCs w:val="18"/>
              </w:rPr>
            </w:pPr>
            <w:r>
              <w:rPr>
                <w:sz w:val="18"/>
                <w:szCs w:val="18"/>
              </w:rPr>
              <w:t>1,145,217.42</w:t>
            </w:r>
          </w:p>
        </w:tc>
        <w:tc>
          <w:tcPr>
            <w:tcW w:w="268" w:type="pct"/>
            <w:tcBorders>
              <w:top w:val="single" w:color="auto" w:sz="4" w:space="0"/>
              <w:left w:val="single" w:color="auto" w:sz="4" w:space="0"/>
              <w:bottom w:val="single" w:color="auto" w:sz="4" w:space="0"/>
              <w:right w:val="single" w:color="auto" w:sz="4" w:space="0"/>
            </w:tcBorders>
          </w:tcPr>
          <w:p w14:paraId="069860C0">
            <w:pPr>
              <w:jc w:val="right"/>
              <w:rPr>
                <w:sz w:val="18"/>
                <w:szCs w:val="18"/>
              </w:rPr>
            </w:pPr>
            <w:r>
              <w:rPr>
                <w:rFonts w:hint="eastAsia"/>
                <w:sz w:val="18"/>
                <w:szCs w:val="18"/>
              </w:rPr>
              <w:t>100</w:t>
            </w:r>
          </w:p>
        </w:tc>
        <w:tc>
          <w:tcPr>
            <w:tcW w:w="533" w:type="pct"/>
            <w:tcBorders>
              <w:top w:val="single" w:color="auto" w:sz="4" w:space="0"/>
              <w:left w:val="single" w:color="auto" w:sz="4" w:space="0"/>
              <w:bottom w:val="single" w:color="auto" w:sz="4" w:space="0"/>
              <w:right w:val="single" w:color="auto" w:sz="4" w:space="0"/>
            </w:tcBorders>
          </w:tcPr>
          <w:p w14:paraId="1EC4545C">
            <w:pPr>
              <w:jc w:val="right"/>
              <w:rPr>
                <w:sz w:val="18"/>
                <w:szCs w:val="18"/>
              </w:rPr>
            </w:pPr>
          </w:p>
        </w:tc>
      </w:tr>
      <w:tr w14:paraId="4225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rPr>
              <w:sz w:val="18"/>
              <w:szCs w:val="18"/>
            </w:rPr>
            <w:tag w:val="_PLD_a3793487a0154f9a85b0e94e01b6ddbe"/>
            <w:id w:val="137075937"/>
          </w:sdtPr>
          <w:sdtEndPr>
            <w:rPr>
              <w:sz w:val="18"/>
              <w:szCs w:val="18"/>
            </w:rPr>
          </w:sdtEndPr>
          <w:sdtContent>
            <w:tc>
              <w:tcPr>
                <w:tcW w:w="5000" w:type="pct"/>
                <w:gridSpan w:val="11"/>
                <w:tcBorders>
                  <w:top w:val="single" w:color="auto" w:sz="4" w:space="0"/>
                  <w:left w:val="single" w:color="auto" w:sz="4" w:space="0"/>
                  <w:bottom w:val="single" w:color="auto" w:sz="4" w:space="0"/>
                  <w:right w:val="single" w:color="auto" w:sz="4" w:space="0"/>
                </w:tcBorders>
              </w:tcPr>
              <w:p w14:paraId="28438A86">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其中：</w:t>
                </w:r>
              </w:p>
            </w:tc>
          </w:sdtContent>
        </w:sdt>
      </w:tr>
      <w:tr w14:paraId="2A3F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600" w:type="pct"/>
            <w:tcBorders>
              <w:top w:val="single" w:color="auto" w:sz="4" w:space="0"/>
              <w:left w:val="single" w:color="auto" w:sz="4" w:space="0"/>
              <w:bottom w:val="single" w:color="auto" w:sz="4" w:space="0"/>
              <w:right w:val="single" w:color="auto" w:sz="4" w:space="0"/>
            </w:tcBorders>
          </w:tcPr>
          <w:sdt>
            <w:sdtPr>
              <w:rPr>
                <w:rFonts w:cs="Times New Roman"/>
                <w:bCs w:val="0"/>
                <w:sz w:val="18"/>
                <w:szCs w:val="18"/>
              </w:rPr>
              <w:alias w:val="按单项计提坏账准备的应收账款明细-类别"/>
              <w:tag w:val="_GBC_3399611ce4724e1193aaefa4ea4bde46"/>
              <w:id w:val="-419020977"/>
            </w:sdtPr>
            <w:sdtEndPr>
              <w:rPr>
                <w:rFonts w:cs="Times New Roman"/>
                <w:bCs w:val="0"/>
                <w:sz w:val="18"/>
                <w:szCs w:val="18"/>
              </w:rPr>
            </w:sdtEndPr>
            <w:sdtContent>
              <w:p w14:paraId="43F0CE11">
                <w:pPr>
                  <w:jc w:val="both"/>
                  <w:rPr>
                    <w:color w:val="000000" w:themeColor="text1"/>
                    <w:sz w:val="18"/>
                    <w:szCs w:val="18"/>
                    <w14:textFill>
                      <w14:solidFill>
                        <w14:schemeClr w14:val="tx1"/>
                      </w14:solidFill>
                    </w14:textFill>
                  </w:rPr>
                </w:pPr>
                <w:r>
                  <w:rPr>
                    <w:rFonts w:hint="eastAsia" w:ascii="宋体" w:hAnsi="宋体"/>
                    <w:color w:val="000000"/>
                    <w:sz w:val="18"/>
                    <w:szCs w:val="18"/>
                  </w:rPr>
                  <w:t>单项评估风险</w:t>
                </w:r>
              </w:p>
            </w:sdtContent>
          </w:sdt>
        </w:tc>
        <w:tc>
          <w:tcPr>
            <w:tcW w:w="533" w:type="pct"/>
            <w:tcBorders>
              <w:top w:val="single" w:color="auto" w:sz="4" w:space="0"/>
              <w:left w:val="single" w:color="auto" w:sz="4" w:space="0"/>
              <w:bottom w:val="single" w:color="auto" w:sz="4" w:space="0"/>
              <w:right w:val="single" w:color="auto" w:sz="4" w:space="0"/>
            </w:tcBorders>
          </w:tcPr>
          <w:p w14:paraId="081E2AC9">
            <w:pPr>
              <w:jc w:val="right"/>
              <w:rPr>
                <w:sz w:val="18"/>
                <w:szCs w:val="18"/>
              </w:rPr>
            </w:pPr>
            <w:r>
              <w:rPr>
                <w:sz w:val="18"/>
                <w:szCs w:val="18"/>
              </w:rPr>
              <w:t>1,145,217.42</w:t>
            </w:r>
          </w:p>
        </w:tc>
        <w:tc>
          <w:tcPr>
            <w:tcW w:w="267" w:type="pct"/>
            <w:tcBorders>
              <w:top w:val="single" w:color="auto" w:sz="4" w:space="0"/>
              <w:left w:val="single" w:color="auto" w:sz="4" w:space="0"/>
              <w:bottom w:val="single" w:color="auto" w:sz="4" w:space="0"/>
              <w:right w:val="single" w:color="auto" w:sz="4" w:space="0"/>
            </w:tcBorders>
          </w:tcPr>
          <w:p w14:paraId="085C14E0">
            <w:pPr>
              <w:jc w:val="right"/>
              <w:rPr>
                <w:sz w:val="18"/>
                <w:szCs w:val="18"/>
              </w:rPr>
            </w:pPr>
            <w:r>
              <w:rPr>
                <w:rFonts w:hint="eastAsia"/>
                <w:sz w:val="18"/>
                <w:szCs w:val="18"/>
              </w:rPr>
              <w:t>2.54</w:t>
            </w:r>
          </w:p>
        </w:tc>
        <w:tc>
          <w:tcPr>
            <w:tcW w:w="533" w:type="pct"/>
            <w:tcBorders>
              <w:top w:val="single" w:color="auto" w:sz="4" w:space="0"/>
              <w:left w:val="single" w:color="auto" w:sz="4" w:space="0"/>
              <w:bottom w:val="single" w:color="auto" w:sz="4" w:space="0"/>
              <w:right w:val="single" w:color="auto" w:sz="4" w:space="0"/>
            </w:tcBorders>
          </w:tcPr>
          <w:p w14:paraId="4F997D29">
            <w:pPr>
              <w:jc w:val="right"/>
              <w:rPr>
                <w:sz w:val="18"/>
                <w:szCs w:val="18"/>
              </w:rPr>
            </w:pPr>
            <w:r>
              <w:rPr>
                <w:sz w:val="18"/>
                <w:szCs w:val="18"/>
              </w:rPr>
              <w:t>1,145,217.42</w:t>
            </w:r>
          </w:p>
        </w:tc>
        <w:tc>
          <w:tcPr>
            <w:tcW w:w="267" w:type="pct"/>
            <w:tcBorders>
              <w:top w:val="single" w:color="auto" w:sz="4" w:space="0"/>
              <w:left w:val="single" w:color="auto" w:sz="4" w:space="0"/>
              <w:bottom w:val="single" w:color="auto" w:sz="4" w:space="0"/>
              <w:right w:val="single" w:color="auto" w:sz="4" w:space="0"/>
            </w:tcBorders>
          </w:tcPr>
          <w:p w14:paraId="4E63790B">
            <w:pPr>
              <w:jc w:val="right"/>
              <w:rPr>
                <w:sz w:val="18"/>
                <w:szCs w:val="18"/>
              </w:rPr>
            </w:pPr>
            <w:r>
              <w:rPr>
                <w:rFonts w:hint="eastAsia"/>
                <w:sz w:val="18"/>
                <w:szCs w:val="18"/>
              </w:rPr>
              <w:t>100</w:t>
            </w:r>
          </w:p>
        </w:tc>
        <w:tc>
          <w:tcPr>
            <w:tcW w:w="600" w:type="pct"/>
            <w:tcBorders>
              <w:top w:val="single" w:color="auto" w:sz="4" w:space="0"/>
              <w:left w:val="single" w:color="auto" w:sz="4" w:space="0"/>
              <w:bottom w:val="single" w:color="auto" w:sz="4" w:space="0"/>
              <w:right w:val="single" w:color="auto" w:sz="4" w:space="0"/>
            </w:tcBorders>
          </w:tcPr>
          <w:p w14:paraId="59276B18">
            <w:pPr>
              <w:jc w:val="right"/>
              <w:rPr>
                <w:sz w:val="18"/>
                <w:szCs w:val="18"/>
              </w:rPr>
            </w:pPr>
          </w:p>
        </w:tc>
        <w:tc>
          <w:tcPr>
            <w:tcW w:w="600" w:type="pct"/>
            <w:tcBorders>
              <w:top w:val="single" w:color="auto" w:sz="4" w:space="0"/>
              <w:left w:val="single" w:color="auto" w:sz="4" w:space="0"/>
              <w:bottom w:val="single" w:color="auto" w:sz="4" w:space="0"/>
              <w:right w:val="single" w:color="auto" w:sz="4" w:space="0"/>
            </w:tcBorders>
          </w:tcPr>
          <w:p w14:paraId="5844583A">
            <w:pPr>
              <w:jc w:val="right"/>
              <w:rPr>
                <w:sz w:val="18"/>
                <w:szCs w:val="18"/>
              </w:rPr>
            </w:pPr>
            <w:r>
              <w:rPr>
                <w:sz w:val="18"/>
                <w:szCs w:val="18"/>
              </w:rPr>
              <w:t>1,145,217.42</w:t>
            </w:r>
          </w:p>
        </w:tc>
        <w:tc>
          <w:tcPr>
            <w:tcW w:w="266" w:type="pct"/>
            <w:tcBorders>
              <w:top w:val="single" w:color="auto" w:sz="4" w:space="0"/>
              <w:left w:val="single" w:color="auto" w:sz="4" w:space="0"/>
              <w:bottom w:val="single" w:color="auto" w:sz="4" w:space="0"/>
              <w:right w:val="single" w:color="auto" w:sz="4" w:space="0"/>
            </w:tcBorders>
          </w:tcPr>
          <w:p w14:paraId="50F9811C">
            <w:pPr>
              <w:jc w:val="right"/>
              <w:rPr>
                <w:sz w:val="18"/>
                <w:szCs w:val="18"/>
              </w:rPr>
            </w:pPr>
            <w:r>
              <w:rPr>
                <w:rFonts w:hint="eastAsia"/>
                <w:sz w:val="18"/>
                <w:szCs w:val="18"/>
              </w:rPr>
              <w:t>3.21</w:t>
            </w:r>
          </w:p>
        </w:tc>
        <w:tc>
          <w:tcPr>
            <w:tcW w:w="533" w:type="pct"/>
            <w:tcBorders>
              <w:top w:val="single" w:color="auto" w:sz="4" w:space="0"/>
              <w:left w:val="single" w:color="auto" w:sz="4" w:space="0"/>
              <w:bottom w:val="single" w:color="auto" w:sz="4" w:space="0"/>
              <w:right w:val="single" w:color="auto" w:sz="4" w:space="0"/>
            </w:tcBorders>
          </w:tcPr>
          <w:p w14:paraId="0EDAF96C">
            <w:pPr>
              <w:jc w:val="right"/>
              <w:rPr>
                <w:sz w:val="18"/>
                <w:szCs w:val="18"/>
              </w:rPr>
            </w:pPr>
            <w:r>
              <w:rPr>
                <w:sz w:val="18"/>
                <w:szCs w:val="18"/>
              </w:rPr>
              <w:t>1,145,217.42</w:t>
            </w:r>
          </w:p>
        </w:tc>
        <w:tc>
          <w:tcPr>
            <w:tcW w:w="268" w:type="pct"/>
            <w:tcBorders>
              <w:top w:val="single" w:color="auto" w:sz="4" w:space="0"/>
              <w:left w:val="single" w:color="auto" w:sz="4" w:space="0"/>
              <w:bottom w:val="single" w:color="auto" w:sz="4" w:space="0"/>
              <w:right w:val="single" w:color="auto" w:sz="4" w:space="0"/>
            </w:tcBorders>
          </w:tcPr>
          <w:p w14:paraId="019F6D72">
            <w:pPr>
              <w:jc w:val="right"/>
              <w:rPr>
                <w:sz w:val="18"/>
                <w:szCs w:val="18"/>
              </w:rPr>
            </w:pPr>
            <w:r>
              <w:rPr>
                <w:rFonts w:hint="eastAsia"/>
                <w:sz w:val="18"/>
                <w:szCs w:val="18"/>
              </w:rPr>
              <w:t>100</w:t>
            </w:r>
          </w:p>
        </w:tc>
        <w:tc>
          <w:tcPr>
            <w:tcW w:w="533" w:type="pct"/>
            <w:tcBorders>
              <w:top w:val="single" w:color="auto" w:sz="4" w:space="0"/>
              <w:left w:val="single" w:color="auto" w:sz="4" w:space="0"/>
              <w:bottom w:val="single" w:color="auto" w:sz="4" w:space="0"/>
              <w:right w:val="single" w:color="auto" w:sz="4" w:space="0"/>
            </w:tcBorders>
          </w:tcPr>
          <w:p w14:paraId="5C364D48">
            <w:pPr>
              <w:jc w:val="right"/>
              <w:rPr>
                <w:sz w:val="18"/>
                <w:szCs w:val="18"/>
              </w:rPr>
            </w:pPr>
          </w:p>
        </w:tc>
      </w:tr>
      <w:tr w14:paraId="5F9D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600" w:type="pct"/>
            <w:tcBorders>
              <w:top w:val="single" w:color="auto" w:sz="4" w:space="0"/>
              <w:left w:val="single" w:color="auto" w:sz="4" w:space="0"/>
              <w:bottom w:val="single" w:color="auto" w:sz="4" w:space="0"/>
              <w:right w:val="single" w:color="auto" w:sz="4" w:space="0"/>
            </w:tcBorders>
          </w:tcPr>
          <w:p w14:paraId="6A45086B">
            <w:pPr>
              <w:jc w:val="both"/>
              <w:rPr>
                <w:color w:val="000000" w:themeColor="text1"/>
                <w:sz w:val="18"/>
                <w:szCs w:val="18"/>
                <w14:textFill>
                  <w14:solidFill>
                    <w14:schemeClr w14:val="tx1"/>
                  </w14:solidFill>
                </w14:textFill>
              </w:rPr>
            </w:pPr>
            <w:r>
              <w:rPr>
                <w:rFonts w:hint="eastAsia" w:ascii="宋体" w:hAnsi="宋体"/>
                <w:color w:val="000000"/>
                <w:sz w:val="18"/>
                <w:szCs w:val="18"/>
              </w:rPr>
              <w:t>按组合计提坏账准备</w:t>
            </w:r>
          </w:p>
        </w:tc>
        <w:tc>
          <w:tcPr>
            <w:tcW w:w="533" w:type="pct"/>
            <w:tcBorders>
              <w:top w:val="single" w:color="auto" w:sz="4" w:space="0"/>
              <w:left w:val="single" w:color="auto" w:sz="4" w:space="0"/>
              <w:bottom w:val="single" w:color="auto" w:sz="4" w:space="0"/>
              <w:right w:val="single" w:color="auto" w:sz="4" w:space="0"/>
            </w:tcBorders>
          </w:tcPr>
          <w:p w14:paraId="7560E981">
            <w:pPr>
              <w:jc w:val="right"/>
              <w:rPr>
                <w:sz w:val="18"/>
                <w:szCs w:val="18"/>
              </w:rPr>
            </w:pPr>
            <w:r>
              <w:rPr>
                <w:sz w:val="18"/>
                <w:szCs w:val="18"/>
              </w:rPr>
              <w:t>43,902,333.68</w:t>
            </w:r>
          </w:p>
        </w:tc>
        <w:tc>
          <w:tcPr>
            <w:tcW w:w="267" w:type="pct"/>
            <w:tcBorders>
              <w:top w:val="single" w:color="auto" w:sz="4" w:space="0"/>
              <w:left w:val="single" w:color="auto" w:sz="4" w:space="0"/>
              <w:bottom w:val="single" w:color="auto" w:sz="4" w:space="0"/>
              <w:right w:val="single" w:color="auto" w:sz="4" w:space="0"/>
            </w:tcBorders>
          </w:tcPr>
          <w:p w14:paraId="21EAE4A3">
            <w:pPr>
              <w:jc w:val="right"/>
              <w:rPr>
                <w:sz w:val="18"/>
                <w:szCs w:val="18"/>
              </w:rPr>
            </w:pPr>
            <w:r>
              <w:rPr>
                <w:rFonts w:hint="eastAsia"/>
                <w:sz w:val="18"/>
                <w:szCs w:val="18"/>
              </w:rPr>
              <w:t>97.46</w:t>
            </w:r>
          </w:p>
        </w:tc>
        <w:tc>
          <w:tcPr>
            <w:tcW w:w="533" w:type="pct"/>
            <w:tcBorders>
              <w:top w:val="single" w:color="auto" w:sz="4" w:space="0"/>
              <w:left w:val="single" w:color="auto" w:sz="4" w:space="0"/>
              <w:bottom w:val="single" w:color="auto" w:sz="4" w:space="0"/>
              <w:right w:val="single" w:color="auto" w:sz="4" w:space="0"/>
            </w:tcBorders>
          </w:tcPr>
          <w:p w14:paraId="4B5214E9">
            <w:pPr>
              <w:jc w:val="right"/>
              <w:rPr>
                <w:sz w:val="18"/>
                <w:szCs w:val="18"/>
              </w:rPr>
            </w:pPr>
            <w:r>
              <w:rPr>
                <w:sz w:val="18"/>
                <w:szCs w:val="18"/>
              </w:rPr>
              <w:t>5,669,558.58</w:t>
            </w:r>
          </w:p>
        </w:tc>
        <w:tc>
          <w:tcPr>
            <w:tcW w:w="267" w:type="pct"/>
            <w:tcBorders>
              <w:top w:val="single" w:color="auto" w:sz="4" w:space="0"/>
              <w:left w:val="single" w:color="auto" w:sz="4" w:space="0"/>
              <w:bottom w:val="single" w:color="auto" w:sz="4" w:space="0"/>
              <w:right w:val="single" w:color="auto" w:sz="4" w:space="0"/>
            </w:tcBorders>
          </w:tcPr>
          <w:p w14:paraId="26F9045D">
            <w:pPr>
              <w:jc w:val="right"/>
              <w:rPr>
                <w:sz w:val="18"/>
                <w:szCs w:val="18"/>
              </w:rPr>
            </w:pPr>
            <w:r>
              <w:rPr>
                <w:rFonts w:hint="eastAsia"/>
                <w:sz w:val="18"/>
                <w:szCs w:val="18"/>
              </w:rPr>
              <w:t>12.91</w:t>
            </w:r>
          </w:p>
        </w:tc>
        <w:tc>
          <w:tcPr>
            <w:tcW w:w="600" w:type="pct"/>
            <w:tcBorders>
              <w:top w:val="single" w:color="auto" w:sz="4" w:space="0"/>
              <w:left w:val="single" w:color="auto" w:sz="4" w:space="0"/>
              <w:bottom w:val="single" w:color="auto" w:sz="4" w:space="0"/>
              <w:right w:val="single" w:color="auto" w:sz="4" w:space="0"/>
            </w:tcBorders>
          </w:tcPr>
          <w:p w14:paraId="3A2935D5">
            <w:pPr>
              <w:jc w:val="right"/>
              <w:rPr>
                <w:sz w:val="18"/>
                <w:szCs w:val="18"/>
              </w:rPr>
            </w:pPr>
            <w:r>
              <w:rPr>
                <w:sz w:val="18"/>
                <w:szCs w:val="18"/>
              </w:rPr>
              <w:t>38,232,775.10</w:t>
            </w:r>
          </w:p>
        </w:tc>
        <w:tc>
          <w:tcPr>
            <w:tcW w:w="600" w:type="pct"/>
            <w:tcBorders>
              <w:top w:val="single" w:color="auto" w:sz="4" w:space="0"/>
              <w:left w:val="single" w:color="auto" w:sz="4" w:space="0"/>
              <w:bottom w:val="single" w:color="auto" w:sz="4" w:space="0"/>
              <w:right w:val="single" w:color="auto" w:sz="4" w:space="0"/>
            </w:tcBorders>
          </w:tcPr>
          <w:p w14:paraId="5A03023F">
            <w:pPr>
              <w:jc w:val="right"/>
              <w:rPr>
                <w:sz w:val="18"/>
                <w:szCs w:val="18"/>
              </w:rPr>
            </w:pPr>
            <w:r>
              <w:rPr>
                <w:sz w:val="18"/>
                <w:szCs w:val="18"/>
              </w:rPr>
              <w:t>34,502,295.13</w:t>
            </w:r>
          </w:p>
        </w:tc>
        <w:tc>
          <w:tcPr>
            <w:tcW w:w="266" w:type="pct"/>
            <w:tcBorders>
              <w:top w:val="single" w:color="auto" w:sz="4" w:space="0"/>
              <w:left w:val="single" w:color="auto" w:sz="4" w:space="0"/>
              <w:bottom w:val="single" w:color="auto" w:sz="4" w:space="0"/>
              <w:right w:val="single" w:color="auto" w:sz="4" w:space="0"/>
            </w:tcBorders>
          </w:tcPr>
          <w:p w14:paraId="407A0ADF">
            <w:pPr>
              <w:jc w:val="right"/>
              <w:rPr>
                <w:sz w:val="18"/>
                <w:szCs w:val="18"/>
              </w:rPr>
            </w:pPr>
            <w:r>
              <w:rPr>
                <w:rFonts w:hint="eastAsia"/>
                <w:sz w:val="18"/>
                <w:szCs w:val="18"/>
              </w:rPr>
              <w:t>96.79</w:t>
            </w:r>
          </w:p>
        </w:tc>
        <w:tc>
          <w:tcPr>
            <w:tcW w:w="533" w:type="pct"/>
            <w:tcBorders>
              <w:top w:val="single" w:color="auto" w:sz="4" w:space="0"/>
              <w:left w:val="single" w:color="auto" w:sz="4" w:space="0"/>
              <w:bottom w:val="single" w:color="auto" w:sz="4" w:space="0"/>
              <w:right w:val="single" w:color="auto" w:sz="4" w:space="0"/>
            </w:tcBorders>
          </w:tcPr>
          <w:p w14:paraId="24FFDAA4">
            <w:pPr>
              <w:jc w:val="right"/>
              <w:rPr>
                <w:sz w:val="18"/>
                <w:szCs w:val="18"/>
              </w:rPr>
            </w:pPr>
            <w:r>
              <w:rPr>
                <w:sz w:val="18"/>
                <w:szCs w:val="18"/>
              </w:rPr>
              <w:t>2,019,328.72</w:t>
            </w:r>
          </w:p>
        </w:tc>
        <w:tc>
          <w:tcPr>
            <w:tcW w:w="268" w:type="pct"/>
            <w:tcBorders>
              <w:top w:val="single" w:color="auto" w:sz="4" w:space="0"/>
              <w:left w:val="single" w:color="auto" w:sz="4" w:space="0"/>
              <w:bottom w:val="single" w:color="auto" w:sz="4" w:space="0"/>
              <w:right w:val="single" w:color="auto" w:sz="4" w:space="0"/>
            </w:tcBorders>
          </w:tcPr>
          <w:p w14:paraId="06737FF3">
            <w:pPr>
              <w:jc w:val="right"/>
              <w:rPr>
                <w:sz w:val="18"/>
                <w:szCs w:val="18"/>
              </w:rPr>
            </w:pPr>
            <w:r>
              <w:rPr>
                <w:rFonts w:hint="eastAsia"/>
                <w:sz w:val="18"/>
                <w:szCs w:val="18"/>
              </w:rPr>
              <w:t>5.85</w:t>
            </w:r>
          </w:p>
        </w:tc>
        <w:tc>
          <w:tcPr>
            <w:tcW w:w="533" w:type="pct"/>
            <w:tcBorders>
              <w:top w:val="single" w:color="auto" w:sz="4" w:space="0"/>
              <w:left w:val="single" w:color="auto" w:sz="4" w:space="0"/>
              <w:bottom w:val="single" w:color="auto" w:sz="4" w:space="0"/>
              <w:right w:val="single" w:color="auto" w:sz="4" w:space="0"/>
            </w:tcBorders>
          </w:tcPr>
          <w:p w14:paraId="180053DD">
            <w:pPr>
              <w:jc w:val="right"/>
              <w:rPr>
                <w:sz w:val="18"/>
                <w:szCs w:val="18"/>
              </w:rPr>
            </w:pPr>
            <w:r>
              <w:rPr>
                <w:sz w:val="18"/>
                <w:szCs w:val="18"/>
              </w:rPr>
              <w:t>32,482,966.41</w:t>
            </w:r>
          </w:p>
        </w:tc>
      </w:tr>
      <w:tr w14:paraId="4C1E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rPr>
              <w:sz w:val="18"/>
              <w:szCs w:val="18"/>
            </w:rPr>
            <w:tag w:val="_PLD_55a01fc28b044e40bd4e4399252665c0"/>
            <w:id w:val="23682295"/>
          </w:sdtPr>
          <w:sdtEndPr>
            <w:rPr>
              <w:sz w:val="18"/>
              <w:szCs w:val="18"/>
            </w:rPr>
          </w:sdtEndPr>
          <w:sdtContent>
            <w:tc>
              <w:tcPr>
                <w:tcW w:w="5000" w:type="pct"/>
                <w:gridSpan w:val="11"/>
                <w:tcBorders>
                  <w:top w:val="single" w:color="auto" w:sz="4" w:space="0"/>
                  <w:left w:val="single" w:color="auto" w:sz="4" w:space="0"/>
                  <w:bottom w:val="single" w:color="auto" w:sz="4" w:space="0"/>
                  <w:right w:val="single" w:color="auto" w:sz="4" w:space="0"/>
                </w:tcBorders>
              </w:tcPr>
              <w:p w14:paraId="58FBBA11">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其中：</w:t>
                </w:r>
              </w:p>
            </w:tc>
          </w:sdtContent>
        </w:sdt>
      </w:tr>
      <w:tr w14:paraId="1378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rPr>
              <w:color w:val="000000" w:themeColor="text1"/>
              <w:sz w:val="18"/>
              <w:szCs w:val="18"/>
              <w14:textFill>
                <w14:solidFill>
                  <w14:schemeClr w14:val="tx1"/>
                </w14:solidFill>
              </w14:textFill>
            </w:rPr>
            <w:alias w:val="按组合计提坏账准备的应收账款明细-组合名称"/>
            <w:tag w:val="_GBC_c5f1817705f34c9782f585b3ed10e2db"/>
            <w:id w:val="-793821918"/>
          </w:sdtPr>
          <w:sdtEndPr>
            <w:rPr>
              <w:color w:val="000000" w:themeColor="text1"/>
              <w:sz w:val="18"/>
              <w:szCs w:val="18"/>
              <w14:textFill>
                <w14:solidFill>
                  <w14:schemeClr w14:val="tx1"/>
                </w14:solidFill>
              </w14:textFill>
            </w:rPr>
          </w:sdtEndPr>
          <w:sdtContent>
            <w:tc>
              <w:tcPr>
                <w:tcW w:w="600" w:type="pct"/>
                <w:tcBorders>
                  <w:top w:val="single" w:color="auto" w:sz="4" w:space="0"/>
                  <w:left w:val="single" w:color="auto" w:sz="4" w:space="0"/>
                  <w:bottom w:val="single" w:color="auto" w:sz="4" w:space="0"/>
                  <w:right w:val="single" w:color="auto" w:sz="4" w:space="0"/>
                </w:tcBorders>
              </w:tcPr>
              <w:p w14:paraId="364491AB">
                <w:pPr>
                  <w:jc w:val="both"/>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信用风险组合</w:t>
                </w:r>
              </w:p>
            </w:tc>
          </w:sdtContent>
        </w:sdt>
        <w:tc>
          <w:tcPr>
            <w:tcW w:w="533" w:type="pct"/>
            <w:tcBorders>
              <w:top w:val="single" w:color="auto" w:sz="4" w:space="0"/>
              <w:left w:val="single" w:color="auto" w:sz="4" w:space="0"/>
              <w:bottom w:val="single" w:color="auto" w:sz="4" w:space="0"/>
              <w:right w:val="single" w:color="auto" w:sz="4" w:space="0"/>
            </w:tcBorders>
          </w:tcPr>
          <w:p w14:paraId="7F951340">
            <w:pPr>
              <w:jc w:val="right"/>
              <w:rPr>
                <w:sz w:val="18"/>
                <w:szCs w:val="18"/>
              </w:rPr>
            </w:pPr>
            <w:r>
              <w:rPr>
                <w:sz w:val="18"/>
                <w:szCs w:val="18"/>
              </w:rPr>
              <w:t>43,902,333.68</w:t>
            </w:r>
          </w:p>
        </w:tc>
        <w:tc>
          <w:tcPr>
            <w:tcW w:w="267" w:type="pct"/>
            <w:tcBorders>
              <w:top w:val="single" w:color="auto" w:sz="4" w:space="0"/>
              <w:left w:val="single" w:color="auto" w:sz="4" w:space="0"/>
              <w:bottom w:val="single" w:color="auto" w:sz="4" w:space="0"/>
              <w:right w:val="single" w:color="auto" w:sz="4" w:space="0"/>
            </w:tcBorders>
          </w:tcPr>
          <w:p w14:paraId="15107F0E">
            <w:pPr>
              <w:jc w:val="right"/>
              <w:rPr>
                <w:sz w:val="18"/>
                <w:szCs w:val="18"/>
              </w:rPr>
            </w:pPr>
            <w:r>
              <w:rPr>
                <w:rFonts w:hint="eastAsia"/>
                <w:sz w:val="18"/>
                <w:szCs w:val="18"/>
              </w:rPr>
              <w:t>97.46</w:t>
            </w:r>
          </w:p>
        </w:tc>
        <w:tc>
          <w:tcPr>
            <w:tcW w:w="533" w:type="pct"/>
            <w:tcBorders>
              <w:top w:val="single" w:color="auto" w:sz="4" w:space="0"/>
              <w:left w:val="single" w:color="auto" w:sz="4" w:space="0"/>
              <w:bottom w:val="single" w:color="auto" w:sz="4" w:space="0"/>
              <w:right w:val="single" w:color="auto" w:sz="4" w:space="0"/>
            </w:tcBorders>
          </w:tcPr>
          <w:p w14:paraId="34E6F8DB">
            <w:pPr>
              <w:jc w:val="right"/>
              <w:rPr>
                <w:sz w:val="18"/>
                <w:szCs w:val="18"/>
              </w:rPr>
            </w:pPr>
            <w:r>
              <w:rPr>
                <w:sz w:val="18"/>
                <w:szCs w:val="18"/>
              </w:rPr>
              <w:t>5,669,558.58</w:t>
            </w:r>
          </w:p>
        </w:tc>
        <w:tc>
          <w:tcPr>
            <w:tcW w:w="267" w:type="pct"/>
            <w:tcBorders>
              <w:top w:val="single" w:color="auto" w:sz="4" w:space="0"/>
              <w:left w:val="single" w:color="auto" w:sz="4" w:space="0"/>
              <w:bottom w:val="single" w:color="auto" w:sz="4" w:space="0"/>
              <w:right w:val="single" w:color="auto" w:sz="4" w:space="0"/>
            </w:tcBorders>
          </w:tcPr>
          <w:p w14:paraId="1BE5A8F3">
            <w:pPr>
              <w:jc w:val="right"/>
              <w:rPr>
                <w:sz w:val="18"/>
                <w:szCs w:val="18"/>
              </w:rPr>
            </w:pPr>
            <w:r>
              <w:rPr>
                <w:rFonts w:hint="eastAsia"/>
                <w:sz w:val="18"/>
                <w:szCs w:val="18"/>
              </w:rPr>
              <w:t>12.91</w:t>
            </w:r>
          </w:p>
        </w:tc>
        <w:tc>
          <w:tcPr>
            <w:tcW w:w="600" w:type="pct"/>
            <w:tcBorders>
              <w:top w:val="single" w:color="auto" w:sz="4" w:space="0"/>
              <w:left w:val="single" w:color="auto" w:sz="4" w:space="0"/>
              <w:bottom w:val="single" w:color="auto" w:sz="4" w:space="0"/>
              <w:right w:val="single" w:color="auto" w:sz="4" w:space="0"/>
            </w:tcBorders>
          </w:tcPr>
          <w:p w14:paraId="548F3F61">
            <w:pPr>
              <w:jc w:val="right"/>
              <w:rPr>
                <w:sz w:val="18"/>
                <w:szCs w:val="18"/>
              </w:rPr>
            </w:pPr>
            <w:r>
              <w:rPr>
                <w:sz w:val="18"/>
                <w:szCs w:val="18"/>
              </w:rPr>
              <w:t>38,232,775.10</w:t>
            </w:r>
          </w:p>
        </w:tc>
        <w:tc>
          <w:tcPr>
            <w:tcW w:w="600" w:type="pct"/>
            <w:tcBorders>
              <w:top w:val="single" w:color="auto" w:sz="4" w:space="0"/>
              <w:left w:val="single" w:color="auto" w:sz="4" w:space="0"/>
              <w:bottom w:val="single" w:color="auto" w:sz="4" w:space="0"/>
              <w:right w:val="single" w:color="auto" w:sz="4" w:space="0"/>
            </w:tcBorders>
          </w:tcPr>
          <w:p w14:paraId="167F428F">
            <w:pPr>
              <w:jc w:val="right"/>
              <w:rPr>
                <w:sz w:val="18"/>
                <w:szCs w:val="18"/>
              </w:rPr>
            </w:pPr>
            <w:r>
              <w:rPr>
                <w:sz w:val="18"/>
                <w:szCs w:val="18"/>
              </w:rPr>
              <w:t>34,502,295.13</w:t>
            </w:r>
          </w:p>
        </w:tc>
        <w:tc>
          <w:tcPr>
            <w:tcW w:w="266" w:type="pct"/>
            <w:tcBorders>
              <w:top w:val="single" w:color="auto" w:sz="4" w:space="0"/>
              <w:left w:val="single" w:color="auto" w:sz="4" w:space="0"/>
              <w:bottom w:val="single" w:color="auto" w:sz="4" w:space="0"/>
              <w:right w:val="single" w:color="auto" w:sz="4" w:space="0"/>
            </w:tcBorders>
          </w:tcPr>
          <w:p w14:paraId="2B292504">
            <w:pPr>
              <w:jc w:val="right"/>
              <w:rPr>
                <w:sz w:val="18"/>
                <w:szCs w:val="18"/>
              </w:rPr>
            </w:pPr>
            <w:r>
              <w:rPr>
                <w:rFonts w:hint="eastAsia"/>
                <w:sz w:val="18"/>
                <w:szCs w:val="18"/>
              </w:rPr>
              <w:t>96.79</w:t>
            </w:r>
          </w:p>
        </w:tc>
        <w:tc>
          <w:tcPr>
            <w:tcW w:w="533" w:type="pct"/>
            <w:tcBorders>
              <w:top w:val="single" w:color="auto" w:sz="4" w:space="0"/>
              <w:left w:val="single" w:color="auto" w:sz="4" w:space="0"/>
              <w:bottom w:val="single" w:color="auto" w:sz="4" w:space="0"/>
              <w:right w:val="single" w:color="auto" w:sz="4" w:space="0"/>
            </w:tcBorders>
          </w:tcPr>
          <w:p w14:paraId="647DE5B7">
            <w:pPr>
              <w:jc w:val="right"/>
              <w:rPr>
                <w:sz w:val="18"/>
                <w:szCs w:val="18"/>
              </w:rPr>
            </w:pPr>
            <w:r>
              <w:rPr>
                <w:sz w:val="18"/>
                <w:szCs w:val="18"/>
              </w:rPr>
              <w:t>2,019,328.72</w:t>
            </w:r>
          </w:p>
        </w:tc>
        <w:tc>
          <w:tcPr>
            <w:tcW w:w="268" w:type="pct"/>
            <w:tcBorders>
              <w:top w:val="single" w:color="auto" w:sz="4" w:space="0"/>
              <w:left w:val="single" w:color="auto" w:sz="4" w:space="0"/>
              <w:bottom w:val="single" w:color="auto" w:sz="4" w:space="0"/>
              <w:right w:val="single" w:color="auto" w:sz="4" w:space="0"/>
            </w:tcBorders>
          </w:tcPr>
          <w:p w14:paraId="4CE28076">
            <w:pPr>
              <w:jc w:val="right"/>
              <w:rPr>
                <w:sz w:val="18"/>
                <w:szCs w:val="18"/>
              </w:rPr>
            </w:pPr>
            <w:r>
              <w:rPr>
                <w:rFonts w:hint="eastAsia"/>
                <w:sz w:val="18"/>
                <w:szCs w:val="18"/>
              </w:rPr>
              <w:t>5.85</w:t>
            </w:r>
          </w:p>
        </w:tc>
        <w:tc>
          <w:tcPr>
            <w:tcW w:w="533" w:type="pct"/>
            <w:tcBorders>
              <w:top w:val="single" w:color="auto" w:sz="4" w:space="0"/>
              <w:left w:val="single" w:color="auto" w:sz="4" w:space="0"/>
              <w:bottom w:val="single" w:color="auto" w:sz="4" w:space="0"/>
              <w:right w:val="single" w:color="auto" w:sz="4" w:space="0"/>
            </w:tcBorders>
          </w:tcPr>
          <w:p w14:paraId="286706AF">
            <w:pPr>
              <w:jc w:val="right"/>
              <w:rPr>
                <w:sz w:val="18"/>
                <w:szCs w:val="18"/>
              </w:rPr>
            </w:pPr>
            <w:r>
              <w:rPr>
                <w:sz w:val="18"/>
                <w:szCs w:val="18"/>
              </w:rPr>
              <w:t>32,482,966.41</w:t>
            </w:r>
          </w:p>
        </w:tc>
      </w:tr>
      <w:tr w14:paraId="0058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600" w:type="pct"/>
            <w:tcBorders>
              <w:top w:val="single" w:color="auto" w:sz="4" w:space="0"/>
              <w:left w:val="single" w:color="auto" w:sz="4" w:space="0"/>
              <w:bottom w:val="single" w:color="auto" w:sz="4" w:space="0"/>
              <w:right w:val="single" w:color="auto" w:sz="4" w:space="0"/>
            </w:tcBorders>
            <w:vAlign w:val="center"/>
          </w:tcPr>
          <w:p w14:paraId="4776571A">
            <w:pPr>
              <w:autoSpaceDE w:val="0"/>
              <w:autoSpaceDN w:val="0"/>
              <w:adjustRightIn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合计</w:t>
            </w:r>
          </w:p>
        </w:tc>
        <w:tc>
          <w:tcPr>
            <w:tcW w:w="533" w:type="pct"/>
            <w:tcBorders>
              <w:top w:val="single" w:color="auto" w:sz="4" w:space="0"/>
              <w:left w:val="single" w:color="auto" w:sz="4" w:space="0"/>
              <w:bottom w:val="single" w:color="auto" w:sz="4" w:space="0"/>
              <w:right w:val="single" w:color="auto" w:sz="4" w:space="0"/>
            </w:tcBorders>
          </w:tcPr>
          <w:p w14:paraId="21F84D66">
            <w:pPr>
              <w:jc w:val="right"/>
              <w:rPr>
                <w:sz w:val="18"/>
                <w:szCs w:val="18"/>
              </w:rPr>
            </w:pPr>
            <w:r>
              <w:rPr>
                <w:sz w:val="18"/>
                <w:szCs w:val="18"/>
              </w:rPr>
              <w:t>45,047,551.10</w:t>
            </w:r>
          </w:p>
        </w:tc>
        <w:tc>
          <w:tcPr>
            <w:tcW w:w="267" w:type="pct"/>
            <w:tcBorders>
              <w:top w:val="single" w:color="auto" w:sz="4" w:space="0"/>
              <w:left w:val="single" w:color="auto" w:sz="4" w:space="0"/>
              <w:bottom w:val="single" w:color="auto" w:sz="4" w:space="0"/>
              <w:right w:val="single" w:color="auto" w:sz="4" w:space="0"/>
            </w:tcBorders>
          </w:tcPr>
          <w:p w14:paraId="4DBE0A6F">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533" w:type="pct"/>
            <w:tcBorders>
              <w:top w:val="single" w:color="auto" w:sz="4" w:space="0"/>
              <w:left w:val="single" w:color="auto" w:sz="4" w:space="0"/>
              <w:bottom w:val="single" w:color="auto" w:sz="4" w:space="0"/>
              <w:right w:val="single" w:color="auto" w:sz="4" w:space="0"/>
            </w:tcBorders>
          </w:tcPr>
          <w:p w14:paraId="0EA33000">
            <w:pPr>
              <w:jc w:val="right"/>
              <w:rPr>
                <w:sz w:val="18"/>
                <w:szCs w:val="18"/>
              </w:rPr>
            </w:pPr>
            <w:r>
              <w:rPr>
                <w:sz w:val="18"/>
                <w:szCs w:val="18"/>
              </w:rPr>
              <w:t>6,814,776.00</w:t>
            </w:r>
          </w:p>
        </w:tc>
        <w:tc>
          <w:tcPr>
            <w:tcW w:w="267" w:type="pct"/>
            <w:tcBorders>
              <w:top w:val="single" w:color="auto" w:sz="4" w:space="0"/>
              <w:left w:val="single" w:color="auto" w:sz="4" w:space="0"/>
              <w:bottom w:val="single" w:color="auto" w:sz="4" w:space="0"/>
              <w:right w:val="single" w:color="auto" w:sz="4" w:space="0"/>
            </w:tcBorders>
          </w:tcPr>
          <w:p w14:paraId="25752427">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600" w:type="pct"/>
            <w:tcBorders>
              <w:top w:val="single" w:color="auto" w:sz="4" w:space="0"/>
              <w:left w:val="single" w:color="auto" w:sz="4" w:space="0"/>
              <w:bottom w:val="single" w:color="auto" w:sz="4" w:space="0"/>
              <w:right w:val="single" w:color="auto" w:sz="4" w:space="0"/>
            </w:tcBorders>
          </w:tcPr>
          <w:p w14:paraId="19F8AFD5">
            <w:pPr>
              <w:jc w:val="right"/>
              <w:rPr>
                <w:sz w:val="18"/>
                <w:szCs w:val="18"/>
              </w:rPr>
            </w:pPr>
            <w:r>
              <w:rPr>
                <w:sz w:val="18"/>
                <w:szCs w:val="18"/>
              </w:rPr>
              <w:t>38,232,775.10</w:t>
            </w:r>
          </w:p>
        </w:tc>
        <w:tc>
          <w:tcPr>
            <w:tcW w:w="600" w:type="pct"/>
            <w:tcBorders>
              <w:top w:val="single" w:color="auto" w:sz="4" w:space="0"/>
              <w:left w:val="single" w:color="auto" w:sz="4" w:space="0"/>
              <w:bottom w:val="single" w:color="auto" w:sz="4" w:space="0"/>
              <w:right w:val="single" w:color="auto" w:sz="4" w:space="0"/>
            </w:tcBorders>
          </w:tcPr>
          <w:p w14:paraId="747E32AD">
            <w:pPr>
              <w:jc w:val="right"/>
              <w:rPr>
                <w:sz w:val="18"/>
                <w:szCs w:val="18"/>
              </w:rPr>
            </w:pPr>
            <w:r>
              <w:rPr>
                <w:sz w:val="18"/>
                <w:szCs w:val="18"/>
              </w:rPr>
              <w:t>35,647,512.55</w:t>
            </w:r>
          </w:p>
        </w:tc>
        <w:tc>
          <w:tcPr>
            <w:tcW w:w="266" w:type="pct"/>
            <w:tcBorders>
              <w:top w:val="single" w:color="auto" w:sz="4" w:space="0"/>
              <w:left w:val="single" w:color="auto" w:sz="4" w:space="0"/>
              <w:bottom w:val="single" w:color="auto" w:sz="4" w:space="0"/>
              <w:right w:val="single" w:color="auto" w:sz="4" w:space="0"/>
            </w:tcBorders>
          </w:tcPr>
          <w:p w14:paraId="286B0ECF">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533" w:type="pct"/>
            <w:tcBorders>
              <w:top w:val="single" w:color="auto" w:sz="4" w:space="0"/>
              <w:left w:val="single" w:color="auto" w:sz="4" w:space="0"/>
              <w:bottom w:val="single" w:color="auto" w:sz="4" w:space="0"/>
              <w:right w:val="single" w:color="auto" w:sz="4" w:space="0"/>
            </w:tcBorders>
          </w:tcPr>
          <w:p w14:paraId="2E23EDB2">
            <w:pPr>
              <w:jc w:val="right"/>
              <w:rPr>
                <w:sz w:val="18"/>
                <w:szCs w:val="18"/>
              </w:rPr>
            </w:pPr>
            <w:r>
              <w:rPr>
                <w:sz w:val="18"/>
                <w:szCs w:val="18"/>
              </w:rPr>
              <w:t>3,164,546.14</w:t>
            </w:r>
          </w:p>
        </w:tc>
        <w:tc>
          <w:tcPr>
            <w:tcW w:w="268" w:type="pct"/>
            <w:tcBorders>
              <w:top w:val="single" w:color="auto" w:sz="4" w:space="0"/>
              <w:left w:val="single" w:color="auto" w:sz="4" w:space="0"/>
              <w:bottom w:val="single" w:color="auto" w:sz="4" w:space="0"/>
              <w:right w:val="single" w:color="auto" w:sz="4" w:space="0"/>
            </w:tcBorders>
          </w:tcPr>
          <w:p w14:paraId="33629EF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533" w:type="pct"/>
            <w:tcBorders>
              <w:top w:val="single" w:color="auto" w:sz="4" w:space="0"/>
              <w:left w:val="single" w:color="auto" w:sz="4" w:space="0"/>
              <w:bottom w:val="single" w:color="auto" w:sz="4" w:space="0"/>
              <w:right w:val="single" w:color="auto" w:sz="4" w:space="0"/>
            </w:tcBorders>
          </w:tcPr>
          <w:p w14:paraId="6979CA70">
            <w:pPr>
              <w:jc w:val="right"/>
              <w:rPr>
                <w:sz w:val="18"/>
                <w:szCs w:val="18"/>
              </w:rPr>
            </w:pPr>
            <w:r>
              <w:rPr>
                <w:sz w:val="18"/>
                <w:szCs w:val="18"/>
              </w:rPr>
              <w:t>32,482,966.41</w:t>
            </w:r>
          </w:p>
        </w:tc>
      </w:tr>
    </w:tbl>
    <w:p w14:paraId="4FF3EFB3">
      <w:pPr>
        <w:rPr>
          <w:color w:val="000000" w:themeColor="text1"/>
          <w14:textFill>
            <w14:solidFill>
              <w14:schemeClr w14:val="tx1"/>
            </w14:solidFill>
          </w14:textFill>
        </w:rPr>
      </w:pPr>
    </w:p>
    <w:bookmarkEnd w:id="185"/>
    <w:p w14:paraId="5C3F8A6E">
      <w:pPr>
        <w:rPr>
          <w:color w:val="000000" w:themeColor="text1"/>
          <w14:textFill>
            <w14:solidFill>
              <w14:schemeClr w14:val="tx1"/>
            </w14:solidFill>
          </w14:textFill>
        </w:rPr>
      </w:pPr>
      <w:bookmarkStart w:id="186" w:name="_Hlk10467187"/>
      <w:bookmarkStart w:id="187" w:name="_Hlk10467200"/>
      <w:r>
        <w:rPr>
          <w:rFonts w:hint="eastAsia"/>
          <w:color w:val="000000" w:themeColor="text1"/>
          <w14:textFill>
            <w14:solidFill>
              <w14:schemeClr w14:val="tx1"/>
            </w14:solidFill>
          </w14:textFill>
        </w:rPr>
        <w:t>按单项计提坏账准备：</w:t>
      </w:r>
      <w:bookmarkEnd w:id="186"/>
    </w:p>
    <w:sdt>
      <w:sdtPr>
        <w:rPr>
          <w:rFonts w:hint="eastAsia"/>
          <w:color w:val="000000" w:themeColor="text1"/>
          <w14:textFill>
            <w14:solidFill>
              <w14:schemeClr w14:val="tx1"/>
            </w14:solidFill>
          </w14:textFill>
        </w:rPr>
        <w:alias w:val="是否适用：按单项计提坏账准备的应收账款详细情况[双击切换]"/>
        <w:tag w:val="_GBC_e07c01cfb2fe4b05a2bb603b7f914946"/>
        <w:id w:val="368732649"/>
        <w:placeholder>
          <w:docPart w:val="GBC22222222222222222222222222222"/>
        </w:placeholder>
      </w:sdtPr>
      <w:sdtEndPr>
        <w:rPr>
          <w:rFonts w:hint="eastAsia"/>
          <w:color w:val="000000" w:themeColor="text1"/>
          <w14:textFill>
            <w14:solidFill>
              <w14:schemeClr w14:val="tx1"/>
            </w14:solidFill>
          </w14:textFill>
        </w:rPr>
      </w:sdtEndPr>
      <w:sdtContent>
        <w:p w14:paraId="0CAE957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0A911EF">
      <w:pPr>
        <w:autoSpaceDE w:val="0"/>
        <w:autoSpaceDN w:val="0"/>
        <w:adjustRightInd w:val="0"/>
        <w:ind w:left="5880" w:right="105"/>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按单项计提坏账准备的应收账款详细情况"/>
          <w:tag w:val="_GBC_5737c621553040588c35a299b21bda52"/>
          <w:id w:val="189499917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按单项计提坏账准备的应收账款详细情况"/>
          <w:tag w:val="_GBC_b6cb9fb35a4a4033912355f7cb997afb"/>
          <w:id w:val="9824288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7"/>
        <w:gridCol w:w="1657"/>
        <w:gridCol w:w="1659"/>
        <w:gridCol w:w="1657"/>
        <w:gridCol w:w="1803"/>
      </w:tblGrid>
      <w:tr w14:paraId="05E4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886503527dee421ca2c31b493a41ab31"/>
            <w:id w:val="983902520"/>
          </w:sdtPr>
          <w:sdtContent>
            <w:tc>
              <w:tcPr>
                <w:tcW w:w="1160" w:type="pct"/>
                <w:vMerge w:val="restart"/>
                <w:vAlign w:val="center"/>
              </w:tcPr>
              <w:p w14:paraId="1121C28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sdtContent>
        </w:sdt>
        <w:sdt>
          <w:sdtPr>
            <w:tag w:val="_PLD_e08f6e696f224538a07af6226cb97b93"/>
            <w:id w:val="-1611964233"/>
          </w:sdtPr>
          <w:sdtContent>
            <w:tc>
              <w:tcPr>
                <w:tcW w:w="3840" w:type="pct"/>
                <w:gridSpan w:val="4"/>
                <w:vAlign w:val="center"/>
              </w:tcPr>
              <w:p w14:paraId="5730CAE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tr>
      <w:tr w14:paraId="7C0F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vMerge w:val="continue"/>
          </w:tcPr>
          <w:p w14:paraId="3360E8BE">
            <w:pPr>
              <w:jc w:val="center"/>
              <w:rPr>
                <w:color w:val="000000" w:themeColor="text1"/>
                <w14:textFill>
                  <w14:solidFill>
                    <w14:schemeClr w14:val="tx1"/>
                  </w14:solidFill>
                </w14:textFill>
              </w:rPr>
            </w:pPr>
          </w:p>
        </w:tc>
        <w:sdt>
          <w:sdtPr>
            <w:tag w:val="_PLD_464a1be46d05424da4883a8442e8eecd"/>
            <w:id w:val="-1714036196"/>
          </w:sdtPr>
          <w:sdtContent>
            <w:tc>
              <w:tcPr>
                <w:tcW w:w="939" w:type="pct"/>
                <w:vAlign w:val="center"/>
              </w:tcPr>
              <w:p w14:paraId="27CD886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tc>
          </w:sdtContent>
        </w:sdt>
        <w:sdt>
          <w:sdtPr>
            <w:tag w:val="_PLD_3d0d70541d9a48beb1c29f819592f107"/>
            <w:id w:val="-1215727205"/>
          </w:sdtPr>
          <w:sdtContent>
            <w:tc>
              <w:tcPr>
                <w:tcW w:w="940" w:type="pct"/>
                <w:vAlign w:val="center"/>
              </w:tcPr>
              <w:p w14:paraId="12F7C1C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坏账准备</w:t>
                </w:r>
              </w:p>
            </w:tc>
          </w:sdtContent>
        </w:sdt>
        <w:sdt>
          <w:sdtPr>
            <w:tag w:val="_PLD_76393245336e41aa891aec8c50271105"/>
            <w:id w:val="-1874684824"/>
          </w:sdtPr>
          <w:sdtContent>
            <w:tc>
              <w:tcPr>
                <w:tcW w:w="939" w:type="pct"/>
                <w:vAlign w:val="center"/>
              </w:tcPr>
              <w:p w14:paraId="45D18C4A">
                <w:pPr>
                  <w:jc w:val="center"/>
                  <w:rPr>
                    <w:color w:val="000000" w:themeColor="text1"/>
                    <w14:textFill>
                      <w14:solidFill>
                        <w14:schemeClr w14:val="tx1"/>
                      </w14:solidFill>
                    </w14:textFill>
                  </w:rPr>
                </w:pPr>
                <w:r>
                  <w:rPr>
                    <w:color w:val="000000" w:themeColor="text1"/>
                    <w14:textFill>
                      <w14:solidFill>
                        <w14:schemeClr w14:val="tx1"/>
                      </w14:solidFill>
                    </w14:textFill>
                  </w:rPr>
                  <w:t>计提比例</w:t>
                </w:r>
                <w:r>
                  <w:rPr>
                    <w:rFonts w:hint="eastAsia"/>
                    <w:color w:val="000000" w:themeColor="text1"/>
                    <w14:textFill>
                      <w14:solidFill>
                        <w14:schemeClr w14:val="tx1"/>
                      </w14:solidFill>
                    </w14:textFill>
                  </w:rPr>
                  <w:t>（%）</w:t>
                </w:r>
              </w:p>
            </w:tc>
          </w:sdtContent>
        </w:sdt>
        <w:sdt>
          <w:sdtPr>
            <w:tag w:val="_PLD_950e8014be3245d1a45783884c32208d"/>
            <w:id w:val="-1154677327"/>
          </w:sdtPr>
          <w:sdtContent>
            <w:tc>
              <w:tcPr>
                <w:tcW w:w="1022" w:type="pct"/>
                <w:vAlign w:val="center"/>
              </w:tcPr>
              <w:p w14:paraId="12FFD80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计提理由</w:t>
                </w:r>
              </w:p>
            </w:tc>
          </w:sdtContent>
        </w:sdt>
      </w:tr>
      <w:tr w14:paraId="04ED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vAlign w:val="center"/>
          </w:tcPr>
          <w:p w14:paraId="0160549F">
            <w:r>
              <w:rPr>
                <w:rFonts w:hint="eastAsia" w:ascii="宋体" w:hAnsi="宋体"/>
                <w:color w:val="000000"/>
                <w:sz w:val="18"/>
                <w:szCs w:val="18"/>
              </w:rPr>
              <w:t>韩国绿色农产公司</w:t>
            </w:r>
          </w:p>
        </w:tc>
        <w:tc>
          <w:tcPr>
            <w:tcW w:w="939" w:type="pct"/>
            <w:vAlign w:val="center"/>
          </w:tcPr>
          <w:p w14:paraId="679B11D4">
            <w:pPr>
              <w:jc w:val="right"/>
            </w:pPr>
            <w:r>
              <w:rPr>
                <w:rFonts w:hint="eastAsia" w:ascii="宋体" w:hAnsi="宋体"/>
                <w:color w:val="000000"/>
                <w:sz w:val="18"/>
                <w:szCs w:val="18"/>
              </w:rPr>
              <w:t xml:space="preserve"> 433,817.54 </w:t>
            </w:r>
          </w:p>
        </w:tc>
        <w:tc>
          <w:tcPr>
            <w:tcW w:w="940" w:type="pct"/>
            <w:vAlign w:val="center"/>
          </w:tcPr>
          <w:p w14:paraId="4307E974">
            <w:pPr>
              <w:jc w:val="right"/>
            </w:pPr>
            <w:r>
              <w:rPr>
                <w:rFonts w:hint="eastAsia" w:ascii="宋体" w:hAnsi="宋体"/>
                <w:color w:val="000000"/>
                <w:sz w:val="18"/>
                <w:szCs w:val="18"/>
              </w:rPr>
              <w:t xml:space="preserve"> 433,817.54 </w:t>
            </w:r>
          </w:p>
        </w:tc>
        <w:tc>
          <w:tcPr>
            <w:tcW w:w="939" w:type="pct"/>
            <w:vAlign w:val="center"/>
          </w:tcPr>
          <w:p w14:paraId="2193DA9D">
            <w:pPr>
              <w:jc w:val="right"/>
            </w:pPr>
            <w:r>
              <w:rPr>
                <w:rFonts w:hint="eastAsia" w:ascii="宋体" w:hAnsi="宋体"/>
                <w:color w:val="000000"/>
                <w:sz w:val="18"/>
                <w:szCs w:val="18"/>
              </w:rPr>
              <w:t>100.00</w:t>
            </w:r>
          </w:p>
        </w:tc>
        <w:tc>
          <w:tcPr>
            <w:tcW w:w="1022" w:type="pct"/>
            <w:vAlign w:val="center"/>
          </w:tcPr>
          <w:p w14:paraId="403679D9">
            <w:r>
              <w:rPr>
                <w:rFonts w:hint="eastAsia" w:ascii="宋体" w:hAnsi="宋体"/>
                <w:color w:val="000000"/>
                <w:sz w:val="18"/>
                <w:szCs w:val="18"/>
              </w:rPr>
              <w:t>预计无法收回</w:t>
            </w:r>
          </w:p>
        </w:tc>
      </w:tr>
      <w:tr w14:paraId="4590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vAlign w:val="center"/>
          </w:tcPr>
          <w:p w14:paraId="205F1745">
            <w:r>
              <w:rPr>
                <w:rFonts w:hint="eastAsia" w:ascii="宋体" w:hAnsi="宋体"/>
                <w:color w:val="000000"/>
                <w:sz w:val="18"/>
                <w:szCs w:val="18"/>
              </w:rPr>
              <w:t>北京易初莲花</w:t>
            </w:r>
          </w:p>
        </w:tc>
        <w:tc>
          <w:tcPr>
            <w:tcW w:w="939" w:type="pct"/>
            <w:vAlign w:val="center"/>
          </w:tcPr>
          <w:p w14:paraId="7B0C763F">
            <w:pPr>
              <w:jc w:val="right"/>
            </w:pPr>
            <w:r>
              <w:rPr>
                <w:rFonts w:hint="eastAsia" w:ascii="宋体" w:hAnsi="宋体"/>
                <w:color w:val="000000"/>
                <w:sz w:val="18"/>
                <w:szCs w:val="18"/>
              </w:rPr>
              <w:t xml:space="preserve"> 153,625.14 </w:t>
            </w:r>
          </w:p>
        </w:tc>
        <w:tc>
          <w:tcPr>
            <w:tcW w:w="940" w:type="pct"/>
            <w:vAlign w:val="center"/>
          </w:tcPr>
          <w:p w14:paraId="28215A54">
            <w:pPr>
              <w:jc w:val="right"/>
            </w:pPr>
            <w:r>
              <w:rPr>
                <w:rFonts w:hint="eastAsia" w:ascii="宋体" w:hAnsi="宋体"/>
                <w:color w:val="000000"/>
                <w:sz w:val="18"/>
                <w:szCs w:val="18"/>
              </w:rPr>
              <w:t xml:space="preserve"> 153,625.14 </w:t>
            </w:r>
          </w:p>
        </w:tc>
        <w:tc>
          <w:tcPr>
            <w:tcW w:w="939" w:type="pct"/>
            <w:vAlign w:val="center"/>
          </w:tcPr>
          <w:p w14:paraId="229323B5">
            <w:pPr>
              <w:jc w:val="right"/>
            </w:pPr>
            <w:r>
              <w:rPr>
                <w:rFonts w:hint="eastAsia" w:ascii="宋体" w:hAnsi="宋体"/>
                <w:color w:val="000000"/>
                <w:sz w:val="18"/>
                <w:szCs w:val="18"/>
              </w:rPr>
              <w:t>100.00</w:t>
            </w:r>
          </w:p>
        </w:tc>
        <w:tc>
          <w:tcPr>
            <w:tcW w:w="1022" w:type="pct"/>
            <w:vAlign w:val="center"/>
          </w:tcPr>
          <w:p w14:paraId="01CD8C68">
            <w:r>
              <w:rPr>
                <w:rFonts w:hint="eastAsia" w:ascii="宋体" w:hAnsi="宋体"/>
                <w:color w:val="000000"/>
                <w:sz w:val="18"/>
                <w:szCs w:val="18"/>
              </w:rPr>
              <w:t>预计无法收回</w:t>
            </w:r>
          </w:p>
        </w:tc>
      </w:tr>
      <w:tr w14:paraId="11EF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vAlign w:val="center"/>
          </w:tcPr>
          <w:p w14:paraId="3C3C728A">
            <w:r>
              <w:rPr>
                <w:rFonts w:hint="eastAsia" w:ascii="宋体" w:hAnsi="宋体"/>
                <w:color w:val="000000"/>
                <w:sz w:val="18"/>
                <w:szCs w:val="18"/>
              </w:rPr>
              <w:t>其他客户</w:t>
            </w:r>
          </w:p>
        </w:tc>
        <w:tc>
          <w:tcPr>
            <w:tcW w:w="939" w:type="pct"/>
            <w:vAlign w:val="center"/>
          </w:tcPr>
          <w:p w14:paraId="7602DF16">
            <w:pPr>
              <w:jc w:val="right"/>
            </w:pPr>
            <w:r>
              <w:rPr>
                <w:rFonts w:hint="eastAsia" w:ascii="宋体" w:hAnsi="宋体"/>
                <w:color w:val="000000"/>
                <w:sz w:val="18"/>
                <w:szCs w:val="18"/>
              </w:rPr>
              <w:t xml:space="preserve"> 557,774.74 </w:t>
            </w:r>
          </w:p>
        </w:tc>
        <w:tc>
          <w:tcPr>
            <w:tcW w:w="940" w:type="pct"/>
            <w:vAlign w:val="center"/>
          </w:tcPr>
          <w:p w14:paraId="67354FB8">
            <w:pPr>
              <w:jc w:val="right"/>
            </w:pPr>
            <w:r>
              <w:rPr>
                <w:rFonts w:hint="eastAsia" w:ascii="宋体" w:hAnsi="宋体"/>
                <w:color w:val="000000"/>
                <w:sz w:val="18"/>
                <w:szCs w:val="18"/>
              </w:rPr>
              <w:t xml:space="preserve"> 557,774.74 </w:t>
            </w:r>
          </w:p>
        </w:tc>
        <w:tc>
          <w:tcPr>
            <w:tcW w:w="939" w:type="pct"/>
            <w:vAlign w:val="center"/>
          </w:tcPr>
          <w:p w14:paraId="03402216">
            <w:pPr>
              <w:jc w:val="right"/>
            </w:pPr>
            <w:r>
              <w:rPr>
                <w:rFonts w:hint="eastAsia" w:ascii="宋体" w:hAnsi="宋体"/>
                <w:color w:val="000000"/>
                <w:sz w:val="18"/>
                <w:szCs w:val="18"/>
              </w:rPr>
              <w:t>100.00</w:t>
            </w:r>
          </w:p>
        </w:tc>
        <w:tc>
          <w:tcPr>
            <w:tcW w:w="1022" w:type="pct"/>
            <w:vAlign w:val="center"/>
          </w:tcPr>
          <w:p w14:paraId="4E684A1B">
            <w:r>
              <w:rPr>
                <w:rFonts w:hint="eastAsia" w:ascii="宋体" w:hAnsi="宋体"/>
                <w:color w:val="000000"/>
                <w:sz w:val="18"/>
                <w:szCs w:val="18"/>
              </w:rPr>
              <w:t>预计无法收回</w:t>
            </w:r>
          </w:p>
        </w:tc>
      </w:tr>
      <w:tr w14:paraId="71A3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vAlign w:val="center"/>
          </w:tcPr>
          <w:p w14:paraId="4642A308">
            <w:pPr>
              <w:jc w:val="center"/>
              <w:rPr>
                <w:color w:val="000000" w:themeColor="text1"/>
                <w14:textFill>
                  <w14:solidFill>
                    <w14:schemeClr w14:val="tx1"/>
                  </w14:solidFill>
                </w14:textFill>
              </w:rPr>
            </w:pPr>
            <w:r>
              <w:rPr>
                <w:rFonts w:hint="eastAsia" w:ascii="宋体" w:hAnsi="宋体"/>
                <w:b/>
                <w:sz w:val="18"/>
                <w:szCs w:val="18"/>
              </w:rPr>
              <w:t>合    计</w:t>
            </w:r>
          </w:p>
        </w:tc>
        <w:tc>
          <w:tcPr>
            <w:tcW w:w="939" w:type="pct"/>
            <w:vAlign w:val="center"/>
          </w:tcPr>
          <w:p w14:paraId="057533A4">
            <w:pPr>
              <w:jc w:val="right"/>
            </w:pPr>
            <w:r>
              <w:rPr>
                <w:rFonts w:hint="eastAsia" w:ascii="宋体" w:hAnsi="宋体"/>
                <w:b/>
                <w:color w:val="000000"/>
                <w:sz w:val="18"/>
                <w:szCs w:val="18"/>
              </w:rPr>
              <w:t>1,145,217.42</w:t>
            </w:r>
          </w:p>
        </w:tc>
        <w:tc>
          <w:tcPr>
            <w:tcW w:w="940" w:type="pct"/>
            <w:vAlign w:val="center"/>
          </w:tcPr>
          <w:p w14:paraId="7C4AC3DC">
            <w:pPr>
              <w:jc w:val="right"/>
            </w:pPr>
            <w:r>
              <w:rPr>
                <w:rFonts w:hint="eastAsia" w:ascii="宋体" w:hAnsi="宋体"/>
                <w:b/>
                <w:color w:val="000000"/>
                <w:sz w:val="18"/>
                <w:szCs w:val="18"/>
              </w:rPr>
              <w:t>1,145,217.42</w:t>
            </w:r>
          </w:p>
        </w:tc>
        <w:tc>
          <w:tcPr>
            <w:tcW w:w="939" w:type="pct"/>
            <w:vAlign w:val="center"/>
          </w:tcPr>
          <w:p w14:paraId="5B48D258">
            <w:pPr>
              <w:jc w:val="right"/>
            </w:pPr>
            <w:r>
              <w:rPr>
                <w:rFonts w:hint="eastAsia" w:ascii="宋体" w:hAnsi="宋体"/>
                <w:b/>
                <w:color w:val="000000"/>
                <w:sz w:val="18"/>
                <w:szCs w:val="18"/>
              </w:rPr>
              <w:t>100.00</w:t>
            </w:r>
          </w:p>
        </w:tc>
        <w:tc>
          <w:tcPr>
            <w:tcW w:w="1022" w:type="pct"/>
            <w:vAlign w:val="center"/>
          </w:tcPr>
          <w:p w14:paraId="13BA6AE4">
            <w:pPr>
              <w:jc w:val="center"/>
              <w:rPr>
                <w:color w:val="000000" w:themeColor="text1"/>
                <w14:textFill>
                  <w14:solidFill>
                    <w14:schemeClr w14:val="tx1"/>
                  </w14:solidFill>
                </w14:textFill>
              </w:rPr>
            </w:pPr>
            <w:r>
              <w:t>/</w:t>
            </w:r>
          </w:p>
        </w:tc>
      </w:tr>
    </w:tbl>
    <w:p w14:paraId="222893BA">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按单项计提坏账准备的说明：</w:t>
      </w:r>
    </w:p>
    <w:sdt>
      <w:sdtPr>
        <w:rPr>
          <w:color w:val="000000" w:themeColor="text1"/>
          <w14:textFill>
            <w14:solidFill>
              <w14:schemeClr w14:val="tx1"/>
            </w14:solidFill>
          </w14:textFill>
        </w:rPr>
        <w:alias w:val="是否适用：按单项计提坏账准备的应收账款说明[双击切换]"/>
        <w:tag w:val="_GBC_5058bdcf98524a1ba98e4618d094237d"/>
        <w:id w:val="-1775238523"/>
        <w:placeholder>
          <w:docPart w:val="GBC22222222222222222222222222222"/>
        </w:placeholder>
      </w:sdtPr>
      <w:sdtEndPr>
        <w:rPr>
          <w:color w:val="000000" w:themeColor="text1"/>
          <w14:textFill>
            <w14:solidFill>
              <w14:schemeClr w14:val="tx1"/>
            </w14:solidFill>
          </w14:textFill>
        </w:rPr>
      </w:sdtEndPr>
      <w:sdtContent>
        <w:p w14:paraId="7611013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56878B8">
      <w:pPr>
        <w:rPr>
          <w:color w:val="000000" w:themeColor="text1"/>
          <w14:textFill>
            <w14:solidFill>
              <w14:schemeClr w14:val="tx1"/>
            </w14:solidFill>
          </w14:textFill>
        </w:rPr>
      </w:pPr>
    </w:p>
    <w:bookmarkEnd w:id="187"/>
    <w:p w14:paraId="13EBE750">
      <w:pPr>
        <w:rPr>
          <w:color w:val="000000" w:themeColor="text1"/>
          <w14:textFill>
            <w14:solidFill>
              <w14:schemeClr w14:val="tx1"/>
            </w14:solidFill>
          </w14:textFill>
        </w:rPr>
      </w:pPr>
      <w:bookmarkStart w:id="188" w:name="_Hlk10467225"/>
      <w:r>
        <w:rPr>
          <w:rFonts w:hint="eastAsia"/>
          <w:color w:val="000000" w:themeColor="text1"/>
          <w14:textFill>
            <w14:solidFill>
              <w14:schemeClr w14:val="tx1"/>
            </w14:solidFill>
          </w14:textFill>
        </w:rPr>
        <w:t>按组合计提坏账准备：</w:t>
      </w:r>
    </w:p>
    <w:sdt>
      <w:sdtPr>
        <w:rPr>
          <w:rFonts w:hint="eastAsia"/>
          <w:color w:val="000000" w:themeColor="text1"/>
          <w14:textFill>
            <w14:solidFill>
              <w14:schemeClr w14:val="tx1"/>
            </w14:solidFill>
          </w14:textFill>
        </w:rPr>
        <w:alias w:val="是否适用：按组合计提坏账准备的应收账款详细情况[双击切换]"/>
        <w:tag w:val="_GBC_47a07baa9a4f4c5ea6de193ae7b87e74"/>
        <w:id w:val="-981615713"/>
        <w:placeholder>
          <w:docPart w:val="GBC22222222222222222222222222222"/>
        </w:placeholder>
      </w:sdtPr>
      <w:sdtEndPr>
        <w:rPr>
          <w:rFonts w:hint="eastAsia"/>
          <w:color w:val="000000" w:themeColor="text1"/>
          <w14:textFill>
            <w14:solidFill>
              <w14:schemeClr w14:val="tx1"/>
            </w14:solidFill>
          </w14:textFill>
        </w:rPr>
      </w:sdtEndPr>
      <w:sdtContent>
        <w:p w14:paraId="5C15B1F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6D3094E">
      <w:pPr>
        <w:rPr>
          <w:color w:val="000000" w:themeColor="text1"/>
          <w14:textFill>
            <w14:solidFill>
              <w14:schemeClr w14:val="tx1"/>
            </w14:solidFill>
          </w14:textFill>
        </w:rPr>
      </w:pPr>
      <w:bookmarkStart w:id="189" w:name="_Hlk533607573"/>
    </w:p>
    <w:p w14:paraId="3918AE6F">
      <w:pPr>
        <w:rPr>
          <w:color w:val="000000" w:themeColor="text1"/>
          <w14:textFill>
            <w14:solidFill>
              <w14:schemeClr w14:val="tx1"/>
            </w14:solidFill>
          </w14:textFill>
        </w:rPr>
      </w:pPr>
    </w:p>
    <w:bookmarkEnd w:id="188"/>
    <w:bookmarkEnd w:id="189"/>
    <w:p w14:paraId="02E89B8A">
      <w:pPr>
        <w:rPr>
          <w:rFonts w:cstheme="minorBidi"/>
          <w:bCs w:val="0"/>
          <w:color w:val="000000" w:themeColor="text1"/>
          <w:szCs w:val="22"/>
          <w14:textFill>
            <w14:solidFill>
              <w14:schemeClr w14:val="tx1"/>
            </w14:solidFill>
          </w14:textFill>
        </w:rPr>
      </w:pPr>
      <w:bookmarkStart w:id="190" w:name="_Hlk154134618"/>
      <w:bookmarkStart w:id="191" w:name="_Hlk153357523"/>
      <w:bookmarkStart w:id="192" w:name="_Hlk167885281"/>
      <w:r>
        <w:rPr>
          <w:rFonts w:hint="eastAsia" w:cstheme="minorBidi"/>
          <w:color w:val="000000" w:themeColor="text1"/>
          <w:szCs w:val="22"/>
          <w14:textFill>
            <w14:solidFill>
              <w14:schemeClr w14:val="tx1"/>
            </w14:solidFill>
          </w14:textFill>
        </w:rPr>
        <w:t>按预期信用损失一般模型计提坏账准备</w:t>
      </w:r>
    </w:p>
    <w:sdt>
      <w:sdtPr>
        <w:rPr>
          <w:rFonts w:cstheme="minorBidi"/>
          <w:bCs w:val="0"/>
          <w:color w:val="000000" w:themeColor="text1"/>
          <w:szCs w:val="22"/>
          <w14:textFill>
            <w14:solidFill>
              <w14:schemeClr w14:val="tx1"/>
            </w14:solidFill>
          </w14:textFill>
        </w:rPr>
        <w:alias w:val="是否适用：按预期信用损失一般模型计提坏账准备[双击切换]"/>
        <w:tag w:val="_GBC_1d19b1b69e8344f18b14e15d329edea7"/>
        <w:id w:val="-1667011143"/>
        <w:placeholder>
          <w:docPart w:val="GBC22222222222222222222222222222"/>
        </w:placeholder>
      </w:sdtPr>
      <w:sdtEndPr>
        <w:rPr>
          <w:rFonts w:cstheme="minorBidi"/>
          <w:bCs w:val="0"/>
          <w:color w:val="000000" w:themeColor="text1"/>
          <w:szCs w:val="22"/>
          <w14:textFill>
            <w14:solidFill>
              <w14:schemeClr w14:val="tx1"/>
            </w14:solidFill>
          </w14:textFill>
        </w:rPr>
      </w:sdtEndPr>
      <w:sdtContent>
        <w:p w14:paraId="4A81B67E">
          <w:pPr>
            <w:rPr>
              <w:rFonts w:cstheme="minorBidi"/>
              <w:bCs w:val="0"/>
              <w:color w:val="000000" w:themeColor="text1"/>
              <w:szCs w:val="22"/>
              <w14:textFill>
                <w14:solidFill>
                  <w14:schemeClr w14:val="tx1"/>
                </w14:solidFill>
              </w14:textFill>
            </w:rPr>
          </w:pPr>
          <w:r>
            <w:rPr>
              <w:rFonts w:ascii="宋体" w:hAnsi="宋体" w:cstheme="minorBidi"/>
              <w:bCs w:val="0"/>
              <w:color w:val="000000" w:themeColor="text1"/>
              <w:szCs w:val="22"/>
              <w14:textFill>
                <w14:solidFill>
                  <w14:schemeClr w14:val="tx1"/>
                </w14:solidFill>
              </w14:textFill>
            </w:rPr>
            <w:fldChar w:fldCharType="begin"/>
          </w:r>
          <w:r>
            <w:rPr>
              <w:rFonts w:hint="eastAsia" w:ascii="宋体" w:hAnsi="宋体" w:cstheme="minorBidi"/>
              <w:color w:val="000000" w:themeColor="text1"/>
              <w:szCs w:val="22"/>
              <w14:textFill>
                <w14:solidFill>
                  <w14:schemeClr w14:val="tx1"/>
                </w14:solidFill>
              </w14:textFill>
            </w:rPr>
            <w:instrText xml:space="preserve"> MACROBUTTON  SnrToggleCheckbox □适用 </w:instrText>
          </w:r>
          <w:r>
            <w:rPr>
              <w:rFonts w:ascii="宋体" w:hAnsi="宋体" w:cstheme="minorBidi"/>
              <w:bCs w:val="0"/>
              <w:color w:val="000000" w:themeColor="text1"/>
              <w:szCs w:val="22"/>
              <w14:textFill>
                <w14:solidFill>
                  <w14:schemeClr w14:val="tx1"/>
                </w14:solidFill>
              </w14:textFill>
            </w:rPr>
            <w:fldChar w:fldCharType="end"/>
          </w:r>
          <w:r>
            <w:rPr>
              <w:rFonts w:ascii="宋体" w:hAnsi="宋体" w:cstheme="minorBidi"/>
              <w:bCs w:val="0"/>
              <w:color w:val="000000" w:themeColor="text1"/>
              <w:szCs w:val="22"/>
              <w14:textFill>
                <w14:solidFill>
                  <w14:schemeClr w14:val="tx1"/>
                </w14:solidFill>
              </w14:textFill>
            </w:rPr>
            <w:fldChar w:fldCharType="begin"/>
          </w:r>
          <w:r>
            <w:rPr>
              <w:rFonts w:hint="eastAsia" w:ascii="宋体" w:hAnsi="宋体" w:cstheme="minorBidi"/>
              <w:color w:val="000000" w:themeColor="text1"/>
              <w:szCs w:val="22"/>
              <w14:textFill>
                <w14:solidFill>
                  <w14:schemeClr w14:val="tx1"/>
                </w14:solidFill>
              </w14:textFill>
            </w:rPr>
            <w:instrText xml:space="preserve"> MACROBUTTON  SnrToggleCheckbox √不适用 </w:instrText>
          </w:r>
          <w:r>
            <w:rPr>
              <w:rFonts w:ascii="宋体" w:hAnsi="宋体" w:cstheme="minorBidi"/>
              <w:bCs w:val="0"/>
              <w:color w:val="000000" w:themeColor="text1"/>
              <w:szCs w:val="22"/>
              <w14:textFill>
                <w14:solidFill>
                  <w14:schemeClr w14:val="tx1"/>
                </w14:solidFill>
              </w14:textFill>
            </w:rPr>
            <w:fldChar w:fldCharType="end"/>
          </w:r>
        </w:p>
      </w:sdtContent>
    </w:sdt>
    <w:p w14:paraId="3A476544">
      <w:pPr>
        <w:rPr>
          <w:color w:val="000000" w:themeColor="text1"/>
          <w14:textFill>
            <w14:solidFill>
              <w14:schemeClr w14:val="tx1"/>
            </w14:solidFill>
          </w14:textFill>
        </w:rPr>
      </w:pPr>
    </w:p>
    <w:p w14:paraId="6D42D437">
      <w:pPr>
        <w:autoSpaceDE w:val="0"/>
        <w:autoSpaceDN w:val="0"/>
        <w:adjustRightInd w:val="0"/>
        <w:ind w:right="105" w:rightChars="50"/>
        <w:rPr>
          <w:color w:val="000000" w:themeColor="text1"/>
          <w14:textFill>
            <w14:solidFill>
              <w14:schemeClr w14:val="tx1"/>
            </w14:solidFill>
          </w14:textFill>
        </w:rPr>
      </w:pPr>
      <w:r>
        <w:rPr>
          <w:rFonts w:hint="eastAsia"/>
          <w:color w:val="000000" w:themeColor="text1"/>
          <w14:textFill>
            <w14:solidFill>
              <w14:schemeClr w14:val="tx1"/>
            </w14:solidFill>
          </w14:textFill>
        </w:rPr>
        <w:t>各阶段划分依据和坏账准备计提比例</w:t>
      </w:r>
    </w:p>
    <w:sdt>
      <w:sdtPr>
        <w:rPr>
          <w:rFonts w:cs="Times New Roman"/>
          <w:bCs w:val="0"/>
          <w:color w:val="000000" w:themeColor="text1"/>
          <w:szCs w:val="22"/>
          <w14:textFill>
            <w14:solidFill>
              <w14:schemeClr w14:val="tx1"/>
            </w14:solidFill>
          </w14:textFill>
        </w:rPr>
        <w:alias w:val="各阶段划分依据和坏账准备计提比例"/>
        <w:tag w:val="_GBC_d8e8411c0a8c4c56aa732db88b5aee2e"/>
        <w:id w:val="-811789209"/>
        <w:placeholder>
          <w:docPart w:val="GBC22222222222222222222222222222"/>
        </w:placeholder>
      </w:sdtPr>
      <w:sdtEndPr>
        <w:rPr>
          <w:rFonts w:cs="Times New Roman"/>
          <w:bCs w:val="0"/>
          <w:color w:val="000000" w:themeColor="text1"/>
          <w:szCs w:val="22"/>
          <w14:textFill>
            <w14:solidFill>
              <w14:schemeClr w14:val="tx1"/>
            </w14:solidFill>
          </w14:textFill>
        </w:rPr>
      </w:sdtEndPr>
      <w:sdtContent>
        <w:p w14:paraId="37D43705">
          <w:pPr>
            <w:rPr>
              <w:rFonts w:cs="Times New Roman"/>
              <w:bCs w:val="0"/>
              <w:color w:val="000000" w:themeColor="text1"/>
              <w:szCs w:val="22"/>
              <w14:textFill>
                <w14:solidFill>
                  <w14:schemeClr w14:val="tx1"/>
                </w14:solidFill>
              </w14:textFill>
            </w:rPr>
          </w:pPr>
          <w:r>
            <w:rPr>
              <w:rFonts w:hint="eastAsia" w:cs="Times New Roman"/>
              <w:bCs w:val="0"/>
              <w:color w:val="000000" w:themeColor="text1"/>
              <w:szCs w:val="22"/>
              <w14:textFill>
                <w14:solidFill>
                  <w14:schemeClr w14:val="tx1"/>
                </w14:solidFill>
              </w14:textFill>
            </w:rPr>
            <w:t>无</w:t>
          </w:r>
        </w:p>
      </w:sdtContent>
    </w:sdt>
    <w:p w14:paraId="634F8A2A">
      <w:pPr>
        <w:rPr>
          <w:rFonts w:asciiTheme="minorHAnsi" w:hAnsiTheme="minorHAnsi" w:cstheme="minorBidi"/>
          <w:b/>
          <w:bCs w:val="0"/>
          <w:color w:val="000000" w:themeColor="text1"/>
          <w:szCs w:val="22"/>
          <w14:textFill>
            <w14:solidFill>
              <w14:schemeClr w14:val="tx1"/>
            </w14:solidFill>
          </w14:textFill>
        </w:rPr>
      </w:pPr>
    </w:p>
    <w:p w14:paraId="7D7454CE">
      <w:pPr>
        <w:pStyle w:val="72"/>
        <w:rPr>
          <w:color w:val="000000" w:themeColor="text1"/>
          <w14:textFill>
            <w14:solidFill>
              <w14:schemeClr w14:val="tx1"/>
            </w14:solidFill>
          </w14:textFill>
        </w:rPr>
      </w:pPr>
      <w:r>
        <w:rPr>
          <w:rFonts w:hint="eastAsia"/>
          <w:color w:val="000000" w:themeColor="text1"/>
          <w14:textFill>
            <w14:solidFill>
              <w14:schemeClr w14:val="tx1"/>
            </w14:solidFill>
          </w14:textFill>
        </w:rPr>
        <w:t>对本期发生损失准备变动的应收账款账面余额显著变动的情况说明：</w:t>
      </w:r>
    </w:p>
    <w:sdt>
      <w:sdtPr>
        <w:rPr>
          <w:color w:val="000000" w:themeColor="text1"/>
          <w14:textFill>
            <w14:solidFill>
              <w14:schemeClr w14:val="tx1"/>
            </w14:solidFill>
          </w14:textFill>
        </w:rPr>
        <w:alias w:val="是否适用：对本期发生损失准备变动的账面余额显著变动的情况说明[双击切换]"/>
        <w:tag w:val="_GBC_69f0a67a74b04da0bfa388cc3243da42"/>
        <w:id w:val="-230700974"/>
        <w:placeholder>
          <w:docPart w:val="GBC22222222222222222222222222222"/>
        </w:placeholder>
      </w:sdtPr>
      <w:sdtEndPr>
        <w:rPr>
          <w:color w:val="000000" w:themeColor="text1"/>
          <w14:textFill>
            <w14:solidFill>
              <w14:schemeClr w14:val="tx1"/>
            </w14:solidFill>
          </w14:textFill>
        </w:rPr>
      </w:sdtEndPr>
      <w:sdtContent>
        <w:p w14:paraId="0B9A8693">
          <w:pPr>
            <w:autoSpaceDE w:val="0"/>
            <w:autoSpaceDN w:val="0"/>
            <w:adjustRightInd w:val="0"/>
            <w:ind w:right="105" w:rightChars="5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2295C24">
      <w:pPr>
        <w:rPr>
          <w:rFonts w:asciiTheme="minorHAnsi" w:hAnsiTheme="minorHAnsi" w:cstheme="minorBidi"/>
          <w:b/>
          <w:bCs w:val="0"/>
          <w:color w:val="000000" w:themeColor="text1"/>
          <w:szCs w:val="22"/>
          <w14:textFill>
            <w14:solidFill>
              <w14:schemeClr w14:val="tx1"/>
            </w14:solidFill>
          </w14:textFill>
        </w:rPr>
      </w:pPr>
    </w:p>
    <w:bookmarkEnd w:id="190"/>
    <w:bookmarkEnd w:id="191"/>
    <w:bookmarkEnd w:id="192"/>
    <w:p w14:paraId="47C0A765">
      <w:pPr>
        <w:pStyle w:val="5"/>
        <w:numPr>
          <w:ilvl w:val="3"/>
          <w:numId w:val="55"/>
        </w:numPr>
        <w:tabs>
          <w:tab w:val="left" w:pos="574"/>
        </w:tabs>
        <w:ind w:left="425" w:hanging="425"/>
        <w:rPr>
          <w:rFonts w:hint="eastAsia" w:ascii="宋体" w:hAnsi="宋体"/>
          <w:color w:val="000000" w:themeColor="text1"/>
          <w:szCs w:val="21"/>
          <w14:textFill>
            <w14:solidFill>
              <w14:schemeClr w14:val="tx1"/>
            </w14:solidFill>
          </w14:textFill>
        </w:rPr>
      </w:pPr>
      <w:bookmarkStart w:id="193" w:name="_Hlk10467433"/>
      <w:r>
        <w:rPr>
          <w:rFonts w:hint="eastAsia" w:ascii="宋体" w:hAnsi="宋体"/>
          <w:color w:val="000000" w:themeColor="text1"/>
          <w:szCs w:val="21"/>
          <w14:textFill>
            <w14:solidFill>
              <w14:schemeClr w14:val="tx1"/>
            </w14:solidFill>
          </w14:textFill>
        </w:rPr>
        <w:t>坏账准备的情况</w:t>
      </w:r>
    </w:p>
    <w:sdt>
      <w:sdtPr>
        <w:rPr>
          <w:color w:val="000000" w:themeColor="text1"/>
          <w14:textFill>
            <w14:solidFill>
              <w14:schemeClr w14:val="tx1"/>
            </w14:solidFill>
          </w14:textFill>
        </w:rPr>
        <w:alias w:val="是否适用：应收账款坏账准备[双击切换]"/>
        <w:tag w:val="_GBC_fb482eb90dbc45c4a6420c45e8a46012"/>
        <w:id w:val="532622792"/>
        <w:placeholder>
          <w:docPart w:val="GBC22222222222222222222222222222"/>
        </w:placeholder>
      </w:sdtPr>
      <w:sdtEndPr>
        <w:rPr>
          <w:color w:val="000000" w:themeColor="text1"/>
          <w14:textFill>
            <w14:solidFill>
              <w14:schemeClr w14:val="tx1"/>
            </w14:solidFill>
          </w14:textFill>
        </w:rPr>
      </w:sdtEndPr>
      <w:sdtContent>
        <w:p w14:paraId="04C2FD3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AF27BA0">
      <w:pPr>
        <w:rPr>
          <w:color w:val="000000" w:themeColor="text1"/>
          <w14:textFill>
            <w14:solidFill>
              <w14:schemeClr w14:val="tx1"/>
            </w14:solidFill>
          </w14:textFill>
        </w:rPr>
      </w:pPr>
    </w:p>
    <w:bookmarkEnd w:id="193"/>
    <w:p w14:paraId="477940BC">
      <w:pPr>
        <w:rPr>
          <w:color w:val="000000" w:themeColor="text1"/>
          <w14:textFill>
            <w14:solidFill>
              <w14:schemeClr w14:val="tx1"/>
            </w14:solidFill>
          </w14:textFill>
        </w:rPr>
      </w:pPr>
      <w:bookmarkStart w:id="194" w:name="_Hlk167885446"/>
      <w:r>
        <w:rPr>
          <w:rFonts w:hint="eastAsia"/>
          <w:color w:val="000000" w:themeColor="text1"/>
          <w14:textFill>
            <w14:solidFill>
              <w14:schemeClr w14:val="tx1"/>
            </w14:solidFill>
          </w14:textFill>
        </w:rPr>
        <w:t>其中本期坏账准备收回或转回金额重要的：</w:t>
      </w:r>
    </w:p>
    <w:sdt>
      <w:sdtPr>
        <w:rPr>
          <w:color w:val="000000" w:themeColor="text1"/>
          <w14:textFill>
            <w14:solidFill>
              <w14:schemeClr w14:val="tx1"/>
            </w14:solidFill>
          </w14:textFill>
        </w:rPr>
        <w:alias w:val="是否适用：其中本期坏账准备收回或转回金额重要的[双击切换]"/>
        <w:tag w:val="_GBC_782db13fff094d37b8b99f81224cac44"/>
        <w:id w:val="-1117294134"/>
        <w:placeholder>
          <w:docPart w:val="GBC22222222222222222222222222222"/>
        </w:placeholder>
      </w:sdtPr>
      <w:sdtEndPr>
        <w:rPr>
          <w:color w:val="000000" w:themeColor="text1"/>
          <w14:textFill>
            <w14:solidFill>
              <w14:schemeClr w14:val="tx1"/>
            </w14:solidFill>
          </w14:textFill>
        </w:rPr>
      </w:sdtEndPr>
      <w:sdtContent>
        <w:p w14:paraId="06FF7F4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713B617">
      <w:pPr>
        <w:rPr>
          <w:color w:val="000000" w:themeColor="text1"/>
          <w14:textFill>
            <w14:solidFill>
              <w14:schemeClr w14:val="tx1"/>
            </w14:solidFill>
          </w14:textFill>
        </w:rPr>
      </w:pPr>
    </w:p>
    <w:p w14:paraId="072CB580">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应收账款坏账准备情况的说明"/>
        <w:tag w:val="_GBC_112ac8bd16914f4682cf1367c6702f93"/>
        <w:id w:val="-1185517787"/>
        <w:placeholder>
          <w:docPart w:val="GBC22222222222222222222222222222"/>
        </w:placeholder>
      </w:sdtPr>
      <w:sdtEndPr>
        <w:rPr>
          <w:color w:val="000000" w:themeColor="text1"/>
          <w14:textFill>
            <w14:solidFill>
              <w14:schemeClr w14:val="tx1"/>
            </w14:solidFill>
          </w14:textFill>
        </w:rPr>
      </w:sdtEndPr>
      <w:sdtContent>
        <w:p w14:paraId="593B9DF4">
          <w:pPr>
            <w:ind w:right="42" w:rightChars="20"/>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5F278B28">
      <w:pPr>
        <w:ind w:right="-1594" w:rightChars="-759"/>
        <w:rPr>
          <w:rFonts w:cs="Times New Roman"/>
          <w:color w:val="000000" w:themeColor="text1"/>
          <w:kern w:val="2"/>
          <w14:textFill>
            <w14:solidFill>
              <w14:schemeClr w14:val="tx1"/>
            </w14:solidFill>
          </w14:textFill>
        </w:rPr>
      </w:pPr>
    </w:p>
    <w:bookmarkEnd w:id="194"/>
    <w:p w14:paraId="0B125E7E">
      <w:pPr>
        <w:pStyle w:val="5"/>
        <w:numPr>
          <w:ilvl w:val="3"/>
          <w:numId w:val="55"/>
        </w:numPr>
        <w:tabs>
          <w:tab w:val="left" w:pos="574"/>
        </w:tabs>
        <w:ind w:left="425" w:hanging="425"/>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本期实际核销的应收</w:t>
      </w:r>
      <w:r>
        <w:rPr>
          <w:rFonts w:hint="eastAsia" w:ascii="宋体" w:hAnsi="宋体"/>
          <w:color w:val="000000" w:themeColor="text1"/>
          <w14:textFill>
            <w14:solidFill>
              <w14:schemeClr w14:val="tx1"/>
            </w14:solidFill>
          </w14:textFill>
        </w:rPr>
        <w:t>账款</w:t>
      </w:r>
      <w:r>
        <w:rPr>
          <w:rFonts w:ascii="宋体" w:hAnsi="宋体"/>
          <w:color w:val="000000" w:themeColor="text1"/>
          <w14:textFill>
            <w14:solidFill>
              <w14:schemeClr w14:val="tx1"/>
            </w14:solidFill>
          </w14:textFill>
        </w:rPr>
        <w:t>情况</w:t>
      </w:r>
    </w:p>
    <w:sdt>
      <w:sdtPr>
        <w:rPr>
          <w:color w:val="000000" w:themeColor="text1"/>
          <w14:textFill>
            <w14:solidFill>
              <w14:schemeClr w14:val="tx1"/>
            </w14:solidFill>
          </w14:textFill>
        </w:rPr>
        <w:alias w:val="是否适用：本期实际核销的应收账款情况[双击切换]"/>
        <w:tag w:val="_GBC_240341a3455747bb87ecabf420d94ec5"/>
        <w:id w:val="930549464"/>
        <w:placeholder>
          <w:docPart w:val="GBC22222222222222222222222222222"/>
        </w:placeholder>
      </w:sdtPr>
      <w:sdtEndPr>
        <w:rPr>
          <w:color w:val="000000" w:themeColor="text1"/>
          <w14:textFill>
            <w14:solidFill>
              <w14:schemeClr w14:val="tx1"/>
            </w14:solidFill>
          </w14:textFill>
        </w:rPr>
      </w:sdtEndPr>
      <w:sdtContent>
        <w:p w14:paraId="37DC271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18284E2">
      <w:pPr>
        <w:rPr>
          <w:color w:val="000000" w:themeColor="text1"/>
          <w14:textFill>
            <w14:solidFill>
              <w14:schemeClr w14:val="tx1"/>
            </w14:solidFill>
          </w14:textFill>
        </w:rPr>
      </w:pPr>
    </w:p>
    <w:p w14:paraId="13D4BF47">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其中重要的应收账款核销情况</w:t>
      </w:r>
    </w:p>
    <w:sdt>
      <w:sdtPr>
        <w:rPr>
          <w:color w:val="000000" w:themeColor="text1"/>
          <w14:textFill>
            <w14:solidFill>
              <w14:schemeClr w14:val="tx1"/>
            </w14:solidFill>
          </w14:textFill>
        </w:rPr>
        <w:alias w:val="是否适用：其中重要的应收账款核销情况[双击切换]"/>
        <w:tag w:val="_GBC_8a44f02ff52343a08b5e1e48c8b2cb3d"/>
        <w:id w:val="1589584673"/>
        <w:placeholder>
          <w:docPart w:val="GBC22222222222222222222222222222"/>
        </w:placeholder>
      </w:sdtPr>
      <w:sdtEndPr>
        <w:rPr>
          <w:color w:val="000000" w:themeColor="text1"/>
          <w14:textFill>
            <w14:solidFill>
              <w14:schemeClr w14:val="tx1"/>
            </w14:solidFill>
          </w14:textFill>
        </w:rPr>
      </w:sdtEndPr>
      <w:sdtContent>
        <w:p w14:paraId="658C01F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482A2DC">
      <w:pPr>
        <w:rPr>
          <w:color w:val="000000" w:themeColor="text1"/>
          <w14:textFill>
            <w14:solidFill>
              <w14:schemeClr w14:val="tx1"/>
            </w14:solidFill>
          </w14:textFill>
        </w:rPr>
      </w:pPr>
    </w:p>
    <w:p w14:paraId="47356323">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应收账款核销说明：</w:t>
      </w:r>
    </w:p>
    <w:sdt>
      <w:sdtPr>
        <w:rPr>
          <w:color w:val="000000" w:themeColor="text1"/>
          <w14:textFill>
            <w14:solidFill>
              <w14:schemeClr w14:val="tx1"/>
            </w14:solidFill>
          </w14:textFill>
        </w:rPr>
        <w:alias w:val="是否适用：应收账款核销说明[双击切换]"/>
        <w:tag w:val="_GBC_69824b683b7348d5abc31b2f2e813757"/>
        <w:id w:val="-1524466792"/>
        <w:placeholder>
          <w:docPart w:val="GBC22222222222222222222222222222"/>
        </w:placeholder>
      </w:sdtPr>
      <w:sdtEndPr>
        <w:rPr>
          <w:color w:val="000000" w:themeColor="text1"/>
          <w14:textFill>
            <w14:solidFill>
              <w14:schemeClr w14:val="tx1"/>
            </w14:solidFill>
          </w14:textFill>
        </w:rPr>
      </w:sdtEndPr>
      <w:sdtContent>
        <w:p w14:paraId="4EAB7EC0">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42A7301">
      <w:pPr>
        <w:rPr>
          <w:color w:val="000000" w:themeColor="text1"/>
          <w14:textFill>
            <w14:solidFill>
              <w14:schemeClr w14:val="tx1"/>
            </w14:solidFill>
          </w14:textFill>
        </w:rPr>
      </w:pPr>
    </w:p>
    <w:p w14:paraId="0B8AAC62">
      <w:pPr>
        <w:pStyle w:val="5"/>
        <w:numPr>
          <w:ilvl w:val="3"/>
          <w:numId w:val="55"/>
        </w:numPr>
        <w:ind w:left="426" w:hanging="426"/>
        <w:rPr>
          <w:color w:val="000000" w:themeColor="text1"/>
          <w14:textFill>
            <w14:solidFill>
              <w14:schemeClr w14:val="tx1"/>
            </w14:solidFill>
          </w14:textFill>
        </w:rPr>
      </w:pPr>
      <w:bookmarkStart w:id="195" w:name="_Hlk167885578"/>
      <w:r>
        <w:rPr>
          <w:rFonts w:hint="eastAsia"/>
          <w:color w:val="000000" w:themeColor="text1"/>
          <w14:textFill>
            <w14:solidFill>
              <w14:schemeClr w14:val="tx1"/>
            </w14:solidFill>
          </w14:textFill>
        </w:rPr>
        <w:t>按欠款方归集的期末余额前五名的应收账款和合同资产情况</w:t>
      </w:r>
    </w:p>
    <w:sdt>
      <w:sdtPr>
        <w:rPr>
          <w:rFonts w:hint="eastAsia"/>
          <w:color w:val="000000" w:themeColor="text1"/>
          <w14:textFill>
            <w14:solidFill>
              <w14:schemeClr w14:val="tx1"/>
            </w14:solidFill>
          </w14:textFill>
        </w:rPr>
        <w:alias w:val="是否适用：按欠款方归集的期末余额前五名的应收账款情况[双击切换]"/>
        <w:tag w:val="_GBC_23de179fe67e4dae836713363b228dc1"/>
        <w:id w:val="1519966471"/>
        <w:placeholder>
          <w:docPart w:val="GBC22222222222222222222222222222"/>
        </w:placeholder>
      </w:sdtPr>
      <w:sdtEndPr>
        <w:rPr>
          <w:rFonts w:hint="eastAsia"/>
          <w:color w:val="000000" w:themeColor="text1"/>
          <w14:textFill>
            <w14:solidFill>
              <w14:schemeClr w14:val="tx1"/>
            </w14:solidFill>
          </w14:textFill>
        </w:rPr>
      </w:sdtEndPr>
      <w:sdtContent>
        <w:p w14:paraId="6203D5DC">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83043D8">
      <w:pPr>
        <w:snapToGrid w:val="0"/>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color w:val="000000" w:themeColor="text1"/>
            <w14:textFill>
              <w14:solidFill>
                <w14:schemeClr w14:val="tx1"/>
              </w14:solidFill>
            </w14:textFill>
          </w:rPr>
          <w:alias w:val="单位：财务附注：应收账款前五名欠款情况"/>
          <w:tag w:val="_GBC_7b83c21a9ac04b3f9556af0eefbf91af"/>
          <w:id w:val="118062223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应收账款前五名欠款情况"/>
          <w:tag w:val="_GBC_aeac0acd27084bbe8582a2bdb9097b96"/>
          <w:id w:val="-15024233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6"/>
        <w:gridCol w:w="1497"/>
        <w:gridCol w:w="1467"/>
        <w:gridCol w:w="1465"/>
        <w:gridCol w:w="1465"/>
        <w:gridCol w:w="1463"/>
      </w:tblGrid>
      <w:tr w14:paraId="25F1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f9c6798381a549c8be592d88dde64345"/>
            <w:id w:val="931555448"/>
          </w:sdtPr>
          <w:sdtContent>
            <w:tc>
              <w:tcPr>
                <w:tcW w:w="834" w:type="pct"/>
                <w:vAlign w:val="center"/>
              </w:tcPr>
              <w:p w14:paraId="7EA79706">
                <w:pPr>
                  <w:ind w:right="10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单位名称</w:t>
                </w:r>
              </w:p>
            </w:tc>
          </w:sdtContent>
        </w:sdt>
        <w:sdt>
          <w:sdtPr>
            <w:tag w:val="_PLD_cb3675ff5adc4fc5a9134c43edda944a"/>
            <w:id w:val="443198903"/>
          </w:sdtPr>
          <w:sdtContent>
            <w:tc>
              <w:tcPr>
                <w:tcW w:w="834" w:type="pct"/>
                <w:vAlign w:val="center"/>
              </w:tcPr>
              <w:p w14:paraId="7E59AE0C">
                <w:pPr>
                  <w:ind w:right="7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应收账款期末余额</w:t>
                </w:r>
              </w:p>
            </w:tc>
          </w:sdtContent>
        </w:sdt>
        <w:sdt>
          <w:sdtPr>
            <w:tag w:val="_PLD_ef22e7c0e8d749caad8859816f6d3d6d"/>
            <w:id w:val="-1604173527"/>
          </w:sdtPr>
          <w:sdtContent>
            <w:tc>
              <w:tcPr>
                <w:tcW w:w="834" w:type="pct"/>
                <w:vAlign w:val="center"/>
              </w:tcPr>
              <w:p w14:paraId="5176FFB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合同资产期末余额</w:t>
                </w:r>
              </w:p>
            </w:tc>
          </w:sdtContent>
        </w:sdt>
        <w:sdt>
          <w:sdtPr>
            <w:tag w:val="_PLD_d4247a30e2224be4b066f9eb3e8b3980"/>
            <w:id w:val="315461969"/>
          </w:sdtPr>
          <w:sdtContent>
            <w:tc>
              <w:tcPr>
                <w:tcW w:w="833" w:type="pct"/>
                <w:vAlign w:val="center"/>
              </w:tcPr>
              <w:p w14:paraId="5D3CE4F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应收账款和合同资产期末余额</w:t>
                </w:r>
              </w:p>
            </w:tc>
          </w:sdtContent>
        </w:sdt>
        <w:sdt>
          <w:sdtPr>
            <w:tag w:val="_PLD_973a396aab204cf2abdf2f7f405b9071"/>
            <w:id w:val="484516873"/>
          </w:sdtPr>
          <w:sdtContent>
            <w:tc>
              <w:tcPr>
                <w:tcW w:w="833" w:type="pct"/>
                <w:vAlign w:val="center"/>
              </w:tcPr>
              <w:p w14:paraId="042907F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占应收账款和合同资产期末余额合计数的比例（%）</w:t>
                </w:r>
              </w:p>
            </w:tc>
          </w:sdtContent>
        </w:sdt>
        <w:sdt>
          <w:sdtPr>
            <w:tag w:val="_PLD_839fe6b484114addbcaeef57270c8a21"/>
            <w:id w:val="-1314724303"/>
          </w:sdtPr>
          <w:sdtContent>
            <w:tc>
              <w:tcPr>
                <w:tcW w:w="832" w:type="pct"/>
                <w:vAlign w:val="center"/>
              </w:tcPr>
              <w:p w14:paraId="35234A9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坏账准备期末余额</w:t>
                </w:r>
              </w:p>
            </w:tc>
          </w:sdtContent>
        </w:sdt>
      </w:tr>
      <w:tr w14:paraId="0DB2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pct"/>
          </w:tcPr>
          <w:p w14:paraId="43BDFD3E">
            <w:pPr>
              <w:ind w:right="105"/>
            </w:pPr>
            <w:r>
              <w:rPr>
                <w:rFonts w:hint="eastAsia"/>
              </w:rPr>
              <w:t>第一名</w:t>
            </w:r>
          </w:p>
        </w:tc>
        <w:tc>
          <w:tcPr>
            <w:tcW w:w="834" w:type="pct"/>
          </w:tcPr>
          <w:p w14:paraId="6AA90558">
            <w:pPr>
              <w:ind w:right="73"/>
              <w:jc w:val="right"/>
            </w:pPr>
            <w:r>
              <w:t>7,146,354.60</w:t>
            </w:r>
          </w:p>
        </w:tc>
        <w:tc>
          <w:tcPr>
            <w:tcW w:w="834" w:type="pct"/>
          </w:tcPr>
          <w:p w14:paraId="713EE84B">
            <w:pPr>
              <w:jc w:val="right"/>
            </w:pPr>
          </w:p>
        </w:tc>
        <w:tc>
          <w:tcPr>
            <w:tcW w:w="833" w:type="pct"/>
          </w:tcPr>
          <w:p w14:paraId="15627198">
            <w:pPr>
              <w:jc w:val="right"/>
            </w:pPr>
            <w:r>
              <w:t>7,146,354.60</w:t>
            </w:r>
          </w:p>
        </w:tc>
        <w:tc>
          <w:tcPr>
            <w:tcW w:w="833" w:type="pct"/>
          </w:tcPr>
          <w:p w14:paraId="7CACA0DE">
            <w:pPr>
              <w:jc w:val="right"/>
            </w:pPr>
            <w:r>
              <w:rPr>
                <w:rFonts w:hint="eastAsia"/>
              </w:rPr>
              <w:t>18.69</w:t>
            </w:r>
          </w:p>
        </w:tc>
        <w:tc>
          <w:tcPr>
            <w:tcW w:w="832" w:type="pct"/>
          </w:tcPr>
          <w:p w14:paraId="05A45DE3">
            <w:pPr>
              <w:jc w:val="right"/>
            </w:pPr>
            <w:r>
              <w:t>357,317.73</w:t>
            </w:r>
          </w:p>
        </w:tc>
      </w:tr>
      <w:tr w14:paraId="4FF9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pct"/>
          </w:tcPr>
          <w:p w14:paraId="1373F5F3">
            <w:pPr>
              <w:ind w:right="105"/>
            </w:pPr>
            <w:r>
              <w:rPr>
                <w:rFonts w:hint="eastAsia"/>
              </w:rPr>
              <w:t>第二名</w:t>
            </w:r>
          </w:p>
        </w:tc>
        <w:tc>
          <w:tcPr>
            <w:tcW w:w="834" w:type="pct"/>
          </w:tcPr>
          <w:p w14:paraId="62AF34C8">
            <w:pPr>
              <w:ind w:right="73"/>
              <w:jc w:val="right"/>
            </w:pPr>
            <w:r>
              <w:t>3,600,000.00</w:t>
            </w:r>
          </w:p>
        </w:tc>
        <w:tc>
          <w:tcPr>
            <w:tcW w:w="834" w:type="pct"/>
          </w:tcPr>
          <w:p w14:paraId="7688BDC3">
            <w:pPr>
              <w:jc w:val="right"/>
            </w:pPr>
          </w:p>
        </w:tc>
        <w:tc>
          <w:tcPr>
            <w:tcW w:w="833" w:type="pct"/>
          </w:tcPr>
          <w:p w14:paraId="76E4CB43">
            <w:pPr>
              <w:jc w:val="right"/>
            </w:pPr>
            <w:r>
              <w:t>3,600,000.00</w:t>
            </w:r>
          </w:p>
        </w:tc>
        <w:tc>
          <w:tcPr>
            <w:tcW w:w="833" w:type="pct"/>
          </w:tcPr>
          <w:p w14:paraId="4256B90F">
            <w:pPr>
              <w:jc w:val="right"/>
            </w:pPr>
            <w:r>
              <w:rPr>
                <w:rFonts w:hint="eastAsia"/>
              </w:rPr>
              <w:t>9.42</w:t>
            </w:r>
          </w:p>
        </w:tc>
        <w:tc>
          <w:tcPr>
            <w:tcW w:w="832" w:type="pct"/>
          </w:tcPr>
          <w:p w14:paraId="140647B3">
            <w:pPr>
              <w:jc w:val="right"/>
            </w:pPr>
            <w:r>
              <w:t>180,000.00</w:t>
            </w:r>
          </w:p>
        </w:tc>
      </w:tr>
      <w:tr w14:paraId="6756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pct"/>
          </w:tcPr>
          <w:p w14:paraId="57C6959B">
            <w:pPr>
              <w:ind w:right="105"/>
            </w:pPr>
            <w:r>
              <w:rPr>
                <w:rFonts w:hint="eastAsia"/>
              </w:rPr>
              <w:t>第三名</w:t>
            </w:r>
          </w:p>
        </w:tc>
        <w:tc>
          <w:tcPr>
            <w:tcW w:w="834" w:type="pct"/>
          </w:tcPr>
          <w:p w14:paraId="786645A1">
            <w:pPr>
              <w:ind w:right="73"/>
              <w:jc w:val="right"/>
            </w:pPr>
            <w:r>
              <w:t>2,745,588.95</w:t>
            </w:r>
          </w:p>
        </w:tc>
        <w:tc>
          <w:tcPr>
            <w:tcW w:w="834" w:type="pct"/>
          </w:tcPr>
          <w:p w14:paraId="068A2807">
            <w:pPr>
              <w:jc w:val="right"/>
            </w:pPr>
          </w:p>
        </w:tc>
        <w:tc>
          <w:tcPr>
            <w:tcW w:w="833" w:type="pct"/>
          </w:tcPr>
          <w:p w14:paraId="7D2E55CD">
            <w:pPr>
              <w:jc w:val="right"/>
            </w:pPr>
            <w:r>
              <w:t>2,745,588.95</w:t>
            </w:r>
          </w:p>
        </w:tc>
        <w:tc>
          <w:tcPr>
            <w:tcW w:w="833" w:type="pct"/>
          </w:tcPr>
          <w:p w14:paraId="759EA1B0">
            <w:pPr>
              <w:jc w:val="right"/>
            </w:pPr>
            <w:r>
              <w:rPr>
                <w:rFonts w:hint="eastAsia"/>
              </w:rPr>
              <w:t>7.18</w:t>
            </w:r>
          </w:p>
        </w:tc>
        <w:tc>
          <w:tcPr>
            <w:tcW w:w="832" w:type="pct"/>
          </w:tcPr>
          <w:p w14:paraId="61ADE5D4">
            <w:pPr>
              <w:jc w:val="right"/>
            </w:pPr>
            <w:r>
              <w:t>137,279.45</w:t>
            </w:r>
          </w:p>
        </w:tc>
      </w:tr>
      <w:tr w14:paraId="6A52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pct"/>
          </w:tcPr>
          <w:p w14:paraId="50AB4E7D">
            <w:pPr>
              <w:ind w:right="105"/>
            </w:pPr>
            <w:r>
              <w:rPr>
                <w:rFonts w:hint="eastAsia"/>
              </w:rPr>
              <w:t>第四名</w:t>
            </w:r>
          </w:p>
        </w:tc>
        <w:tc>
          <w:tcPr>
            <w:tcW w:w="834" w:type="pct"/>
          </w:tcPr>
          <w:p w14:paraId="56EEF729">
            <w:pPr>
              <w:ind w:right="73"/>
              <w:jc w:val="right"/>
            </w:pPr>
            <w:r>
              <w:t>2,688,930.00</w:t>
            </w:r>
          </w:p>
        </w:tc>
        <w:tc>
          <w:tcPr>
            <w:tcW w:w="834" w:type="pct"/>
          </w:tcPr>
          <w:p w14:paraId="288CD35C">
            <w:pPr>
              <w:jc w:val="right"/>
            </w:pPr>
          </w:p>
        </w:tc>
        <w:tc>
          <w:tcPr>
            <w:tcW w:w="833" w:type="pct"/>
          </w:tcPr>
          <w:p w14:paraId="3D9546BD">
            <w:pPr>
              <w:jc w:val="right"/>
            </w:pPr>
            <w:r>
              <w:t>2,688,930.00</w:t>
            </w:r>
          </w:p>
        </w:tc>
        <w:tc>
          <w:tcPr>
            <w:tcW w:w="833" w:type="pct"/>
          </w:tcPr>
          <w:p w14:paraId="22C7A418">
            <w:pPr>
              <w:jc w:val="right"/>
            </w:pPr>
            <w:r>
              <w:rPr>
                <w:rFonts w:hint="eastAsia"/>
              </w:rPr>
              <w:t>7.03</w:t>
            </w:r>
          </w:p>
        </w:tc>
        <w:tc>
          <w:tcPr>
            <w:tcW w:w="832" w:type="pct"/>
          </w:tcPr>
          <w:p w14:paraId="5FEEE19E">
            <w:pPr>
              <w:jc w:val="right"/>
            </w:pPr>
            <w:r>
              <w:t>134,446.50</w:t>
            </w:r>
          </w:p>
        </w:tc>
      </w:tr>
      <w:tr w14:paraId="7C16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pct"/>
          </w:tcPr>
          <w:p w14:paraId="0A728A38">
            <w:pPr>
              <w:ind w:right="105"/>
            </w:pPr>
            <w:r>
              <w:rPr>
                <w:rFonts w:hint="eastAsia"/>
              </w:rPr>
              <w:t>第五名</w:t>
            </w:r>
          </w:p>
        </w:tc>
        <w:tc>
          <w:tcPr>
            <w:tcW w:w="834" w:type="pct"/>
          </w:tcPr>
          <w:p w14:paraId="672D4CB3">
            <w:pPr>
              <w:ind w:right="73"/>
              <w:jc w:val="right"/>
            </w:pPr>
            <w:r>
              <w:t>2,250,000.00</w:t>
            </w:r>
          </w:p>
        </w:tc>
        <w:tc>
          <w:tcPr>
            <w:tcW w:w="834" w:type="pct"/>
          </w:tcPr>
          <w:p w14:paraId="4FE45E5F">
            <w:pPr>
              <w:jc w:val="right"/>
            </w:pPr>
          </w:p>
        </w:tc>
        <w:tc>
          <w:tcPr>
            <w:tcW w:w="833" w:type="pct"/>
          </w:tcPr>
          <w:p w14:paraId="07053935">
            <w:pPr>
              <w:jc w:val="right"/>
            </w:pPr>
            <w:r>
              <w:t>2,250,000.00</w:t>
            </w:r>
          </w:p>
        </w:tc>
        <w:tc>
          <w:tcPr>
            <w:tcW w:w="833" w:type="pct"/>
          </w:tcPr>
          <w:p w14:paraId="6E705FCC">
            <w:pPr>
              <w:jc w:val="right"/>
            </w:pPr>
            <w:r>
              <w:rPr>
                <w:rFonts w:hint="eastAsia"/>
              </w:rPr>
              <w:t>5.89</w:t>
            </w:r>
          </w:p>
        </w:tc>
        <w:tc>
          <w:tcPr>
            <w:tcW w:w="832" w:type="pct"/>
          </w:tcPr>
          <w:p w14:paraId="68180221">
            <w:pPr>
              <w:jc w:val="right"/>
            </w:pPr>
            <w:r>
              <w:t>112,500.00</w:t>
            </w:r>
          </w:p>
        </w:tc>
      </w:tr>
      <w:tr w14:paraId="25DB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pct"/>
          </w:tcPr>
          <w:p w14:paraId="29964099">
            <w:pPr>
              <w:ind w:right="10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834" w:type="pct"/>
          </w:tcPr>
          <w:p w14:paraId="04390135">
            <w:pPr>
              <w:ind w:right="73"/>
              <w:jc w:val="right"/>
            </w:pPr>
            <w:r>
              <w:t>18,430,873.55</w:t>
            </w:r>
          </w:p>
        </w:tc>
        <w:tc>
          <w:tcPr>
            <w:tcW w:w="834" w:type="pct"/>
          </w:tcPr>
          <w:p w14:paraId="19EFF6A5">
            <w:pPr>
              <w:jc w:val="right"/>
            </w:pPr>
          </w:p>
        </w:tc>
        <w:tc>
          <w:tcPr>
            <w:tcW w:w="833" w:type="pct"/>
          </w:tcPr>
          <w:p w14:paraId="25D5C7BF">
            <w:pPr>
              <w:jc w:val="right"/>
            </w:pPr>
            <w:r>
              <w:t>18,430,873.55</w:t>
            </w:r>
          </w:p>
        </w:tc>
        <w:tc>
          <w:tcPr>
            <w:tcW w:w="833" w:type="pct"/>
          </w:tcPr>
          <w:p w14:paraId="155CBFE2">
            <w:pPr>
              <w:jc w:val="right"/>
            </w:pPr>
          </w:p>
        </w:tc>
        <w:tc>
          <w:tcPr>
            <w:tcW w:w="832" w:type="pct"/>
          </w:tcPr>
          <w:p w14:paraId="2239FE3F">
            <w:pPr>
              <w:jc w:val="right"/>
            </w:pPr>
            <w:r>
              <w:t>921,543.68</w:t>
            </w:r>
          </w:p>
        </w:tc>
      </w:tr>
    </w:tbl>
    <w:p w14:paraId="6ECE34F8">
      <w:pPr>
        <w:rPr>
          <w:color w:val="000000" w:themeColor="text1"/>
          <w14:textFill>
            <w14:solidFill>
              <w14:schemeClr w14:val="tx1"/>
            </w14:solidFill>
          </w14:textFill>
        </w:rPr>
      </w:pPr>
    </w:p>
    <w:p w14:paraId="77D30CA5">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按欠款方归集的期末余额前五名的应收账款情况的说明"/>
        <w:tag w:val="_GBC_5c27d22f220747b1ae5c245364a28655"/>
        <w:id w:val="1495449663"/>
        <w:placeholder>
          <w:docPart w:val="GBC22222222222222222222222222222"/>
        </w:placeholder>
      </w:sdtPr>
      <w:sdtEndPr>
        <w:rPr>
          <w:color w:val="000000" w:themeColor="text1"/>
          <w14:textFill>
            <w14:solidFill>
              <w14:schemeClr w14:val="tx1"/>
            </w14:solidFill>
          </w14:textFill>
        </w:rPr>
      </w:sdtEndPr>
      <w:sdtContent>
        <w:p w14:paraId="76990E33">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68C2A8E5">
      <w:pPr>
        <w:snapToGrid w:val="0"/>
        <w:spacing w:line="240" w:lineRule="atLeast"/>
        <w:rPr>
          <w:color w:val="000000" w:themeColor="text1"/>
          <w14:textFill>
            <w14:solidFill>
              <w14:schemeClr w14:val="tx1"/>
            </w14:solidFill>
          </w14:textFill>
        </w:rPr>
      </w:pPr>
    </w:p>
    <w:bookmarkEnd w:id="195"/>
    <w:p w14:paraId="0ED64877">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r>
        <w:rPr>
          <w:color w:val="000000" w:themeColor="text1"/>
          <w14:textFill>
            <w14:solidFill>
              <w14:schemeClr w14:val="tx1"/>
            </w14:solidFill>
          </w14:textFill>
        </w:rPr>
        <w:t>说明：</w:t>
      </w:r>
    </w:p>
    <w:sdt>
      <w:sdtPr>
        <w:rPr>
          <w:rFonts w:hint="eastAsia"/>
          <w:color w:val="000000" w:themeColor="text1"/>
          <w14:textFill>
            <w14:solidFill>
              <w14:schemeClr w14:val="tx1"/>
            </w14:solidFill>
          </w14:textFill>
        </w:rPr>
        <w:alias w:val="是否适用：应收账款其他说明[双击切换]"/>
        <w:tag w:val="_GBC_c06434ba43c5400a80d620a65b730fd9"/>
        <w:id w:val="-1470740810"/>
        <w:placeholder>
          <w:docPart w:val="GBC22222222222222222222222222222"/>
        </w:placeholder>
      </w:sdtPr>
      <w:sdtEndPr>
        <w:rPr>
          <w:rFonts w:hint="eastAsia"/>
          <w:color w:val="000000" w:themeColor="text1"/>
          <w14:textFill>
            <w14:solidFill>
              <w14:schemeClr w14:val="tx1"/>
            </w14:solidFill>
          </w14:textFill>
        </w:rPr>
      </w:sdtEndPr>
      <w:sdtContent>
        <w:p w14:paraId="4DA6A697">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应收账款其他说明"/>
        <w:tag w:val="_GBC_fdef34fb2bb94049983408541014eaa4"/>
        <w:id w:val="32860230"/>
        <w:placeholder>
          <w:docPart w:val="GBC22222222222222222222222222222"/>
        </w:placeholder>
      </w:sdtPr>
      <w:sdtEndPr>
        <w:rPr>
          <w:color w:val="000000" w:themeColor="text1"/>
          <w14:textFill>
            <w14:solidFill>
              <w14:schemeClr w14:val="tx1"/>
            </w14:solidFill>
          </w14:textFill>
        </w:rPr>
      </w:sdtEndPr>
      <w:sdtContent>
        <w:p w14:paraId="0D51D2E3">
          <w:pPr>
            <w:snapToGrid w:val="0"/>
            <w:spacing w:line="360" w:lineRule="auto"/>
            <w:ind w:firstLine="420" w:firstLineChars="200"/>
            <w:rPr>
              <w:color w:val="000000" w:themeColor="text1"/>
              <w14:textFill>
                <w14:solidFill>
                  <w14:schemeClr w14:val="tx1"/>
                </w14:solidFill>
              </w14:textFill>
            </w:rPr>
          </w:pPr>
          <w:sdt>
            <w:sdtPr>
              <w:rPr>
                <w:color w:val="000000" w:themeColor="text1"/>
                <w14:textFill>
                  <w14:solidFill>
                    <w14:schemeClr w14:val="tx1"/>
                  </w14:solidFill>
                </w14:textFill>
              </w:rPr>
              <w:alias w:val="应收账款其他说明"/>
              <w:tag w:val="_GBC_fdef34fb2bb94049983408541014eaa4"/>
              <w:id w:val="-1320721780"/>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公司报告期内无终止确认应收账款情况、无以应收账款为标的进行证券化交易情况。公司报告期末应收账款中应收关联方的款项见应收、应付关联方等未结算项目情况。</w:t>
              </w:r>
            </w:sdtContent>
          </w:sdt>
        </w:p>
      </w:sdtContent>
    </w:sdt>
    <w:p w14:paraId="171414C0">
      <w:pPr>
        <w:rPr>
          <w:color w:val="000000" w:themeColor="text1"/>
          <w14:textFill>
            <w14:solidFill>
              <w14:schemeClr w14:val="tx1"/>
            </w14:solidFill>
          </w14:textFill>
        </w:rPr>
      </w:pPr>
    </w:p>
    <w:p w14:paraId="786CCBC2">
      <w:pPr>
        <w:pStyle w:val="4"/>
        <w:numPr>
          <w:ilvl w:val="0"/>
          <w:numId w:val="53"/>
        </w:numPr>
        <w:tabs>
          <w:tab w:val="left" w:pos="504"/>
        </w:tabs>
        <w:ind w:left="450" w:hanging="450"/>
        <w:rPr>
          <w:rFonts w:hint="eastAsia" w:ascii="宋体" w:hAnsi="宋体"/>
          <w:color w:val="000000" w:themeColor="text1"/>
          <w14:textFill>
            <w14:solidFill>
              <w14:schemeClr w14:val="tx1"/>
            </w14:solidFill>
          </w14:textFill>
        </w:rPr>
      </w:pPr>
      <w:bookmarkStart w:id="196" w:name="_Hlk10470760"/>
      <w:r>
        <w:rPr>
          <w:rFonts w:hint="eastAsia" w:ascii="宋体" w:hAnsi="宋体"/>
          <w:color w:val="000000" w:themeColor="text1"/>
          <w14:textFill>
            <w14:solidFill>
              <w14:schemeClr w14:val="tx1"/>
            </w14:solidFill>
          </w14:textFill>
        </w:rPr>
        <w:t>合同资产</w:t>
      </w:r>
    </w:p>
    <w:p w14:paraId="00D1D2A8">
      <w:pPr>
        <w:pStyle w:val="5"/>
        <w:numPr>
          <w:ilvl w:val="3"/>
          <w:numId w:val="56"/>
        </w:numPr>
        <w:ind w:left="426" w:hanging="42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合同资产情况</w:t>
      </w:r>
    </w:p>
    <w:sdt>
      <w:sdtPr>
        <w:rPr>
          <w:color w:val="000000" w:themeColor="text1"/>
          <w14:textFill>
            <w14:solidFill>
              <w14:schemeClr w14:val="tx1"/>
            </w14:solidFill>
          </w14:textFill>
        </w:rPr>
        <w:alias w:val="是否适用：合同资产情况[双击切换]"/>
        <w:tag w:val="_GBC_d77156d135184e21a21238cac863494c"/>
        <w:id w:val="-1743094550"/>
        <w:placeholder>
          <w:docPart w:val="GBC22222222222222222222222222222"/>
        </w:placeholder>
      </w:sdtPr>
      <w:sdtEndPr>
        <w:rPr>
          <w:color w:val="000000" w:themeColor="text1"/>
          <w14:textFill>
            <w14:solidFill>
              <w14:schemeClr w14:val="tx1"/>
            </w14:solidFill>
          </w14:textFill>
        </w:rPr>
      </w:sdtEndPr>
      <w:sdtContent>
        <w:p w14:paraId="1F3472F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40B56E6">
      <w:pPr>
        <w:rPr>
          <w:color w:val="000000" w:themeColor="text1"/>
          <w14:textFill>
            <w14:solidFill>
              <w14:schemeClr w14:val="tx1"/>
            </w14:solidFill>
          </w14:textFill>
        </w:rPr>
      </w:pPr>
    </w:p>
    <w:bookmarkEnd w:id="196"/>
    <w:p w14:paraId="3A2A4BA9">
      <w:pPr>
        <w:pStyle w:val="5"/>
        <w:numPr>
          <w:ilvl w:val="3"/>
          <w:numId w:val="56"/>
        </w:numPr>
        <w:ind w:left="426" w:hanging="426"/>
        <w:rPr>
          <w:rFonts w:hint="eastAsia" w:ascii="宋体" w:hAnsi="宋体"/>
          <w:color w:val="000000" w:themeColor="text1"/>
          <w14:textFill>
            <w14:solidFill>
              <w14:schemeClr w14:val="tx1"/>
            </w14:solidFill>
          </w14:textFill>
        </w:rPr>
      </w:pPr>
      <w:bookmarkStart w:id="197" w:name="_Hlk10470932"/>
      <w:bookmarkStart w:id="198" w:name="_Hlk10470942"/>
      <w:r>
        <w:rPr>
          <w:rFonts w:hint="eastAsia" w:ascii="宋体" w:hAnsi="宋体"/>
          <w:color w:val="000000" w:themeColor="text1"/>
          <w14:textFill>
            <w14:solidFill>
              <w14:schemeClr w14:val="tx1"/>
            </w14:solidFill>
          </w14:textFill>
        </w:rPr>
        <w:t>报告期内账面价值发生重大变动的金额和原因</w:t>
      </w:r>
      <w:bookmarkEnd w:id="197"/>
    </w:p>
    <w:sdt>
      <w:sdtPr>
        <w:rPr>
          <w:color w:val="000000" w:themeColor="text1"/>
          <w14:textFill>
            <w14:solidFill>
              <w14:schemeClr w14:val="tx1"/>
            </w14:solidFill>
          </w14:textFill>
        </w:rPr>
        <w:alias w:val="是否适用：合同资产账面价值发生重大变动[双击切换]"/>
        <w:tag w:val="_GBC_4cdeacc1c4f24682b8d7fe35b510e9c1"/>
        <w:id w:val="2019041752"/>
        <w:placeholder>
          <w:docPart w:val="GBC22222222222222222222222222222"/>
        </w:placeholder>
      </w:sdtPr>
      <w:sdtEndPr>
        <w:rPr>
          <w:color w:val="000000" w:themeColor="text1"/>
          <w14:textFill>
            <w14:solidFill>
              <w14:schemeClr w14:val="tx1"/>
            </w14:solidFill>
          </w14:textFill>
        </w:rPr>
      </w:sdtEndPr>
      <w:sdtContent>
        <w:p w14:paraId="6FAAC78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A5EA260">
      <w:pPr>
        <w:rPr>
          <w:color w:val="000000" w:themeColor="text1"/>
          <w14:textFill>
            <w14:solidFill>
              <w14:schemeClr w14:val="tx1"/>
            </w14:solidFill>
          </w14:textFill>
        </w:rPr>
      </w:pPr>
    </w:p>
    <w:bookmarkEnd w:id="198"/>
    <w:p w14:paraId="05B67472">
      <w:pPr>
        <w:pStyle w:val="5"/>
        <w:numPr>
          <w:ilvl w:val="3"/>
          <w:numId w:val="56"/>
        </w:numPr>
        <w:ind w:left="426" w:hanging="426"/>
        <w:rPr>
          <w:rFonts w:hint="eastAsia" w:ascii="宋体" w:hAnsi="宋体" w:cs="宋体"/>
          <w:color w:val="000000" w:themeColor="text1"/>
          <w:kern w:val="0"/>
          <w:szCs w:val="24"/>
          <w14:textFill>
            <w14:solidFill>
              <w14:schemeClr w14:val="tx1"/>
            </w14:solidFill>
          </w14:textFill>
        </w:rPr>
      </w:pPr>
      <w:bookmarkStart w:id="199" w:name="_Hlk153378989"/>
      <w:bookmarkStart w:id="200" w:name="_Hlk167887721"/>
      <w:r>
        <w:rPr>
          <w:rFonts w:hint="eastAsia" w:ascii="宋体" w:hAnsi="宋体" w:cs="宋体"/>
          <w:color w:val="000000" w:themeColor="text1"/>
          <w:kern w:val="0"/>
          <w:szCs w:val="24"/>
          <w14:textFill>
            <w14:solidFill>
              <w14:schemeClr w14:val="tx1"/>
            </w14:solidFill>
          </w14:textFill>
        </w:rPr>
        <w:t>按</w:t>
      </w:r>
      <w:r>
        <w:rPr>
          <w:rFonts w:ascii="宋体" w:hAnsi="宋体" w:cs="宋体"/>
          <w:color w:val="000000" w:themeColor="text1"/>
          <w:kern w:val="0"/>
          <w:szCs w:val="24"/>
          <w14:textFill>
            <w14:solidFill>
              <w14:schemeClr w14:val="tx1"/>
            </w14:solidFill>
          </w14:textFill>
        </w:rPr>
        <w:t>坏账计提方法分类披露</w:t>
      </w:r>
    </w:p>
    <w:sdt>
      <w:sdtPr>
        <w:rPr>
          <w:color w:val="000000" w:themeColor="text1"/>
          <w14:textFill>
            <w14:solidFill>
              <w14:schemeClr w14:val="tx1"/>
            </w14:solidFill>
          </w14:textFill>
        </w:rPr>
        <w:alias w:val="是否适用：按坏账计提方法分类披露[双击切换]"/>
        <w:tag w:val="_GBC_2da6ba8f38a7432c80d6aa0ccacbb195"/>
        <w:id w:val="1509642964"/>
        <w:placeholder>
          <w:docPart w:val="GBC22222222222222222222222222222"/>
        </w:placeholder>
      </w:sdtPr>
      <w:sdtEndPr>
        <w:rPr>
          <w:color w:val="000000" w:themeColor="text1"/>
          <w14:textFill>
            <w14:solidFill>
              <w14:schemeClr w14:val="tx1"/>
            </w14:solidFill>
          </w14:textFill>
        </w:rPr>
      </w:sdtEndPr>
      <w:sdtContent>
        <w:p w14:paraId="59B33CE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1521285">
      <w:pPr>
        <w:rPr>
          <w:color w:val="000000" w:themeColor="text1"/>
          <w14:textFill>
            <w14:solidFill>
              <w14:schemeClr w14:val="tx1"/>
            </w14:solidFill>
          </w14:textFill>
        </w:rPr>
      </w:pPr>
    </w:p>
    <w:p w14:paraId="4C357D8E">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w:t>
      </w:r>
    </w:p>
    <w:sdt>
      <w:sdtPr>
        <w:rPr>
          <w:color w:val="000000" w:themeColor="text1"/>
          <w14:textFill>
            <w14:solidFill>
              <w14:schemeClr w14:val="tx1"/>
            </w14:solidFill>
          </w14:textFill>
        </w:rPr>
        <w:alias w:val="是否适用：按单项计提坏账准备的详细情况[双击切换]"/>
        <w:tag w:val="_GBC_c0b8b61f599949688a3e43c3f6163421"/>
        <w:id w:val="-474299470"/>
        <w:placeholder>
          <w:docPart w:val="GBC22222222222222222222222222222"/>
        </w:placeholder>
      </w:sdtPr>
      <w:sdtEndPr>
        <w:rPr>
          <w:color w:val="000000" w:themeColor="text1"/>
          <w14:textFill>
            <w14:solidFill>
              <w14:schemeClr w14:val="tx1"/>
            </w14:solidFill>
          </w14:textFill>
        </w:rPr>
      </w:sdtEndPr>
      <w:sdtContent>
        <w:p w14:paraId="2D5C003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604663A">
      <w:pPr>
        <w:rPr>
          <w:color w:val="000000" w:themeColor="text1"/>
          <w14:textFill>
            <w14:solidFill>
              <w14:schemeClr w14:val="tx1"/>
            </w14:solidFill>
          </w14:textFill>
        </w:rPr>
      </w:pPr>
    </w:p>
    <w:p w14:paraId="5A65EC05">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按单项计提坏账准备的说明：</w:t>
      </w:r>
    </w:p>
    <w:sdt>
      <w:sdtPr>
        <w:rPr>
          <w:color w:val="000000" w:themeColor="text1"/>
          <w14:textFill>
            <w14:solidFill>
              <w14:schemeClr w14:val="tx1"/>
            </w14:solidFill>
          </w14:textFill>
        </w:rPr>
        <w:alias w:val="是否适用：按单项计提坏账准备的说明[双击切换]"/>
        <w:tag w:val="_GBC_027a4c6e526b4492855a75bfb12d58be"/>
        <w:id w:val="456456421"/>
        <w:placeholder>
          <w:docPart w:val="GBC22222222222222222222222222222"/>
        </w:placeholder>
      </w:sdtPr>
      <w:sdtEndPr>
        <w:rPr>
          <w:color w:val="000000" w:themeColor="text1"/>
          <w14:textFill>
            <w14:solidFill>
              <w14:schemeClr w14:val="tx1"/>
            </w14:solidFill>
          </w14:textFill>
        </w:rPr>
      </w:sdtEndPr>
      <w:sdtContent>
        <w:p w14:paraId="45A68AC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1280310">
      <w:pPr>
        <w:rPr>
          <w:color w:val="000000" w:themeColor="text1"/>
          <w14:textFill>
            <w14:solidFill>
              <w14:schemeClr w14:val="tx1"/>
            </w14:solidFill>
          </w14:textFill>
        </w:rPr>
      </w:pPr>
    </w:p>
    <w:p w14:paraId="170A4AD1">
      <w:pPr>
        <w:rPr>
          <w:rFonts w:ascii="Calibri" w:hAnsi="Calibri" w:cs="Times New Roman"/>
          <w:bCs w:val="0"/>
          <w:color w:val="000000" w:themeColor="text1"/>
          <w:szCs w:val="22"/>
          <w14:textFill>
            <w14:solidFill>
              <w14:schemeClr w14:val="tx1"/>
            </w14:solidFill>
          </w14:textFill>
        </w:rPr>
      </w:pPr>
      <w:r>
        <w:rPr>
          <w:rFonts w:hint="eastAsia" w:ascii="Calibri" w:hAnsi="Calibri" w:cs="Times New Roman"/>
          <w:color w:val="000000" w:themeColor="text1"/>
          <w:szCs w:val="22"/>
          <w14:textFill>
            <w14:solidFill>
              <w14:schemeClr w14:val="tx1"/>
            </w14:solidFill>
          </w14:textFill>
        </w:rPr>
        <w:t>按组合计提坏账准备：</w:t>
      </w:r>
    </w:p>
    <w:sdt>
      <w:sdtPr>
        <w:rPr>
          <w:rFonts w:ascii="Calibri" w:hAnsi="Calibri" w:cs="Times New Roman"/>
          <w:bCs w:val="0"/>
          <w:color w:val="000000" w:themeColor="text1"/>
          <w:szCs w:val="22"/>
          <w14:textFill>
            <w14:solidFill>
              <w14:schemeClr w14:val="tx1"/>
            </w14:solidFill>
          </w14:textFill>
        </w:rPr>
        <w:alias w:val="是否适用：按组合计提坏账准备的详细情况[双击切换]"/>
        <w:tag w:val="_GBC_059f7dfd74cd41d4b2b8918cfc3d067f"/>
        <w:id w:val="-2090766166"/>
        <w:placeholder>
          <w:docPart w:val="GBC22222222222222222222222222222"/>
        </w:placeholder>
      </w:sdtPr>
      <w:sdtEndPr>
        <w:rPr>
          <w:rFonts w:ascii="Calibri" w:hAnsi="Calibri" w:cs="Times New Roman"/>
          <w:bCs w:val="0"/>
          <w:color w:val="000000" w:themeColor="text1"/>
          <w:szCs w:val="22"/>
          <w14:textFill>
            <w14:solidFill>
              <w14:schemeClr w14:val="tx1"/>
            </w14:solidFill>
          </w14:textFill>
        </w:rPr>
      </w:sdtEndPr>
      <w:sdtContent>
        <w:p w14:paraId="00E4EAC7">
          <w:pPr>
            <w:rPr>
              <w:color w:val="000000" w:themeColor="text1"/>
              <w14:textFill>
                <w14:solidFill>
                  <w14:schemeClr w14:val="tx1"/>
                </w14:solidFill>
              </w14:textFill>
            </w:rPr>
          </w:pPr>
          <w:r>
            <w:rPr>
              <w:rFonts w:ascii="宋体" w:hAnsi="宋体" w:cs="Times New Roman"/>
              <w:bCs w:val="0"/>
              <w:color w:val="000000" w:themeColor="text1"/>
              <w:szCs w:val="22"/>
              <w14:textFill>
                <w14:solidFill>
                  <w14:schemeClr w14:val="tx1"/>
                </w14:solidFill>
              </w14:textFill>
            </w:rPr>
            <w:fldChar w:fldCharType="begin"/>
          </w:r>
          <w:r>
            <w:rPr>
              <w:rFonts w:hint="eastAsia" w:ascii="宋体" w:hAnsi="宋体" w:cs="Times New Roman"/>
              <w:color w:val="000000" w:themeColor="text1"/>
              <w:szCs w:val="22"/>
              <w14:textFill>
                <w14:solidFill>
                  <w14:schemeClr w14:val="tx1"/>
                </w14:solidFill>
              </w14:textFill>
            </w:rPr>
            <w:instrText xml:space="preserve"> MACROBUTTON  SnrToggleCheckbox □适用 </w:instrText>
          </w:r>
          <w:r>
            <w:rPr>
              <w:rFonts w:ascii="宋体" w:hAnsi="宋体" w:cs="Times New Roman"/>
              <w:bCs w:val="0"/>
              <w:color w:val="000000" w:themeColor="text1"/>
              <w:szCs w:val="22"/>
              <w14:textFill>
                <w14:solidFill>
                  <w14:schemeClr w14:val="tx1"/>
                </w14:solidFill>
              </w14:textFill>
            </w:rPr>
            <w:fldChar w:fldCharType="end"/>
          </w:r>
          <w:r>
            <w:rPr>
              <w:rFonts w:ascii="宋体" w:hAnsi="宋体" w:cs="Times New Roman"/>
              <w:bCs w:val="0"/>
              <w:color w:val="000000" w:themeColor="text1"/>
              <w:szCs w:val="22"/>
              <w14:textFill>
                <w14:solidFill>
                  <w14:schemeClr w14:val="tx1"/>
                </w14:solidFill>
              </w14:textFill>
            </w:rPr>
            <w:fldChar w:fldCharType="begin"/>
          </w:r>
          <w:r>
            <w:rPr>
              <w:rFonts w:hint="eastAsia" w:ascii="宋体" w:hAnsi="宋体" w:cs="Times New Roman"/>
              <w:color w:val="000000" w:themeColor="text1"/>
              <w:szCs w:val="22"/>
              <w14:textFill>
                <w14:solidFill>
                  <w14:schemeClr w14:val="tx1"/>
                </w14:solidFill>
              </w14:textFill>
            </w:rPr>
            <w:instrText xml:space="preserve"> MACROBUTTON  SnrToggleCheckbox √不适用 </w:instrText>
          </w:r>
          <w:r>
            <w:rPr>
              <w:rFonts w:ascii="宋体" w:hAnsi="宋体" w:cs="Times New Roman"/>
              <w:bCs w:val="0"/>
              <w:color w:val="000000" w:themeColor="text1"/>
              <w:szCs w:val="22"/>
              <w14:textFill>
                <w14:solidFill>
                  <w14:schemeClr w14:val="tx1"/>
                </w14:solidFill>
              </w14:textFill>
            </w:rPr>
            <w:fldChar w:fldCharType="end"/>
          </w:r>
        </w:p>
      </w:sdtContent>
    </w:sdt>
    <w:p w14:paraId="001A5EFF">
      <w:pPr>
        <w:rPr>
          <w:color w:val="000000" w:themeColor="text1"/>
          <w14:textFill>
            <w14:solidFill>
              <w14:schemeClr w14:val="tx1"/>
            </w14:solidFill>
          </w14:textFill>
        </w:rPr>
      </w:pPr>
    </w:p>
    <w:p w14:paraId="0EBB12BD">
      <w:pPr>
        <w:rPr>
          <w:rFonts w:ascii="Calibri" w:hAnsi="Calibri" w:cs="Times New Roman"/>
          <w:b/>
          <w:bCs w:val="0"/>
          <w:color w:val="000000" w:themeColor="text1"/>
          <w:szCs w:val="22"/>
          <w14:textFill>
            <w14:solidFill>
              <w14:schemeClr w14:val="tx1"/>
            </w14:solidFill>
          </w14:textFill>
        </w:rPr>
      </w:pPr>
    </w:p>
    <w:bookmarkEnd w:id="199"/>
    <w:p w14:paraId="39CA95AF">
      <w:pPr>
        <w:rPr>
          <w:rFonts w:cstheme="minorBidi"/>
          <w:bCs w:val="0"/>
          <w:color w:val="000000" w:themeColor="text1"/>
          <w:szCs w:val="22"/>
          <w14:textFill>
            <w14:solidFill>
              <w14:schemeClr w14:val="tx1"/>
            </w14:solidFill>
          </w14:textFill>
        </w:rPr>
      </w:pPr>
      <w:bookmarkStart w:id="201" w:name="_Hlk153379126"/>
      <w:bookmarkStart w:id="202" w:name="_Hlk154135145"/>
      <w:r>
        <w:rPr>
          <w:rFonts w:hint="eastAsia" w:cstheme="minorBidi"/>
          <w:color w:val="000000" w:themeColor="text1"/>
          <w:szCs w:val="22"/>
          <w14:textFill>
            <w14:solidFill>
              <w14:schemeClr w14:val="tx1"/>
            </w14:solidFill>
          </w14:textFill>
        </w:rPr>
        <w:t>按预期信用损失一般模型计提坏账准备</w:t>
      </w:r>
    </w:p>
    <w:sdt>
      <w:sdtPr>
        <w:rPr>
          <w:rFonts w:cstheme="minorBidi"/>
          <w:bCs w:val="0"/>
          <w:color w:val="000000" w:themeColor="text1"/>
          <w:szCs w:val="22"/>
          <w14:textFill>
            <w14:solidFill>
              <w14:schemeClr w14:val="tx1"/>
            </w14:solidFill>
          </w14:textFill>
        </w:rPr>
        <w:alias w:val="是否适用：按预期信用损失一般模型计提坏账准备[双击切换]"/>
        <w:tag w:val="_GBC_9ccc97f60d514bd1ad20e654db46063f"/>
        <w:id w:val="1949808141"/>
        <w:placeholder>
          <w:docPart w:val="GBC22222222222222222222222222222"/>
        </w:placeholder>
      </w:sdtPr>
      <w:sdtEndPr>
        <w:rPr>
          <w:rFonts w:cstheme="minorBidi"/>
          <w:bCs w:val="0"/>
          <w:color w:val="000000" w:themeColor="text1"/>
          <w:szCs w:val="22"/>
          <w14:textFill>
            <w14:solidFill>
              <w14:schemeClr w14:val="tx1"/>
            </w14:solidFill>
          </w14:textFill>
        </w:rPr>
      </w:sdtEndPr>
      <w:sdtContent>
        <w:p w14:paraId="378D6353">
          <w:pPr>
            <w:rPr>
              <w:rFonts w:cstheme="minorBidi"/>
              <w:bCs w:val="0"/>
              <w:color w:val="000000" w:themeColor="text1"/>
              <w:szCs w:val="22"/>
              <w14:textFill>
                <w14:solidFill>
                  <w14:schemeClr w14:val="tx1"/>
                </w14:solidFill>
              </w14:textFill>
            </w:rPr>
          </w:pPr>
          <w:r>
            <w:rPr>
              <w:rFonts w:ascii="宋体" w:hAnsi="宋体" w:cstheme="minorBidi"/>
              <w:bCs w:val="0"/>
              <w:color w:val="000000" w:themeColor="text1"/>
              <w:szCs w:val="22"/>
              <w14:textFill>
                <w14:solidFill>
                  <w14:schemeClr w14:val="tx1"/>
                </w14:solidFill>
              </w14:textFill>
            </w:rPr>
            <w:fldChar w:fldCharType="begin"/>
          </w:r>
          <w:r>
            <w:rPr>
              <w:rFonts w:hint="eastAsia" w:ascii="宋体" w:hAnsi="宋体" w:cstheme="minorBidi"/>
              <w:color w:val="000000" w:themeColor="text1"/>
              <w:szCs w:val="22"/>
              <w14:textFill>
                <w14:solidFill>
                  <w14:schemeClr w14:val="tx1"/>
                </w14:solidFill>
              </w14:textFill>
            </w:rPr>
            <w:instrText xml:space="preserve"> MACROBUTTON  SnrToggleCheckbox □适用 </w:instrText>
          </w:r>
          <w:r>
            <w:rPr>
              <w:rFonts w:ascii="宋体" w:hAnsi="宋体" w:cstheme="minorBidi"/>
              <w:bCs w:val="0"/>
              <w:color w:val="000000" w:themeColor="text1"/>
              <w:szCs w:val="22"/>
              <w14:textFill>
                <w14:solidFill>
                  <w14:schemeClr w14:val="tx1"/>
                </w14:solidFill>
              </w14:textFill>
            </w:rPr>
            <w:fldChar w:fldCharType="end"/>
          </w:r>
          <w:r>
            <w:rPr>
              <w:rFonts w:ascii="宋体" w:hAnsi="宋体" w:cstheme="minorBidi"/>
              <w:bCs w:val="0"/>
              <w:color w:val="000000" w:themeColor="text1"/>
              <w:szCs w:val="22"/>
              <w14:textFill>
                <w14:solidFill>
                  <w14:schemeClr w14:val="tx1"/>
                </w14:solidFill>
              </w14:textFill>
            </w:rPr>
            <w:fldChar w:fldCharType="begin"/>
          </w:r>
          <w:r>
            <w:rPr>
              <w:rFonts w:hint="eastAsia" w:ascii="宋体" w:hAnsi="宋体" w:cstheme="minorBidi"/>
              <w:color w:val="000000" w:themeColor="text1"/>
              <w:szCs w:val="22"/>
              <w14:textFill>
                <w14:solidFill>
                  <w14:schemeClr w14:val="tx1"/>
                </w14:solidFill>
              </w14:textFill>
            </w:rPr>
            <w:instrText xml:space="preserve"> MACROBUTTON  SnrToggleCheckbox √不适用 </w:instrText>
          </w:r>
          <w:r>
            <w:rPr>
              <w:rFonts w:ascii="宋体" w:hAnsi="宋体" w:cstheme="minorBidi"/>
              <w:bCs w:val="0"/>
              <w:color w:val="000000" w:themeColor="text1"/>
              <w:szCs w:val="22"/>
              <w14:textFill>
                <w14:solidFill>
                  <w14:schemeClr w14:val="tx1"/>
                </w14:solidFill>
              </w14:textFill>
            </w:rPr>
            <w:fldChar w:fldCharType="end"/>
          </w:r>
        </w:p>
      </w:sdtContent>
    </w:sdt>
    <w:p w14:paraId="529C15B2">
      <w:pPr>
        <w:rPr>
          <w:color w:val="000000" w:themeColor="text1"/>
          <w14:textFill>
            <w14:solidFill>
              <w14:schemeClr w14:val="tx1"/>
            </w14:solidFill>
          </w14:textFill>
        </w:rPr>
      </w:pPr>
    </w:p>
    <w:p w14:paraId="46283826">
      <w:pPr>
        <w:autoSpaceDE w:val="0"/>
        <w:autoSpaceDN w:val="0"/>
        <w:adjustRightInd w:val="0"/>
        <w:ind w:right="105" w:rightChars="50"/>
        <w:rPr>
          <w:color w:val="000000" w:themeColor="text1"/>
          <w14:textFill>
            <w14:solidFill>
              <w14:schemeClr w14:val="tx1"/>
            </w14:solidFill>
          </w14:textFill>
        </w:rPr>
      </w:pPr>
      <w:r>
        <w:rPr>
          <w:rFonts w:hint="eastAsia"/>
          <w:color w:val="000000" w:themeColor="text1"/>
          <w14:textFill>
            <w14:solidFill>
              <w14:schemeClr w14:val="tx1"/>
            </w14:solidFill>
          </w14:textFill>
        </w:rPr>
        <w:t>各阶段划分依据和坏账准备计提比例</w:t>
      </w:r>
    </w:p>
    <w:sdt>
      <w:sdtPr>
        <w:rPr>
          <w:rFonts w:cs="Times New Roman"/>
          <w:bCs w:val="0"/>
          <w:color w:val="000000" w:themeColor="text1"/>
          <w:szCs w:val="22"/>
          <w14:textFill>
            <w14:solidFill>
              <w14:schemeClr w14:val="tx1"/>
            </w14:solidFill>
          </w14:textFill>
        </w:rPr>
        <w:alias w:val="各阶段划分依据和坏账准备计提比例"/>
        <w:tag w:val="_GBC_27f65e0b0d264d76ba6ef36044133df3"/>
        <w:id w:val="-359435487"/>
        <w:placeholder>
          <w:docPart w:val="GBC22222222222222222222222222222"/>
        </w:placeholder>
      </w:sdtPr>
      <w:sdtEndPr>
        <w:rPr>
          <w:rFonts w:cs="Times New Roman"/>
          <w:bCs w:val="0"/>
          <w:color w:val="000000" w:themeColor="text1"/>
          <w:szCs w:val="22"/>
          <w14:textFill>
            <w14:solidFill>
              <w14:schemeClr w14:val="tx1"/>
            </w14:solidFill>
          </w14:textFill>
        </w:rPr>
      </w:sdtEndPr>
      <w:sdtContent>
        <w:p w14:paraId="0FFEF136">
          <w:pPr>
            <w:rPr>
              <w:rFonts w:cs="Times New Roman"/>
              <w:bCs w:val="0"/>
              <w:color w:val="000000" w:themeColor="text1"/>
              <w:szCs w:val="22"/>
              <w14:textFill>
                <w14:solidFill>
                  <w14:schemeClr w14:val="tx1"/>
                </w14:solidFill>
              </w14:textFill>
            </w:rPr>
          </w:pPr>
          <w:r>
            <w:rPr>
              <w:rFonts w:hint="eastAsia" w:cs="Times New Roman"/>
              <w:bCs w:val="0"/>
              <w:color w:val="000000" w:themeColor="text1"/>
              <w:szCs w:val="22"/>
              <w14:textFill>
                <w14:solidFill>
                  <w14:schemeClr w14:val="tx1"/>
                </w14:solidFill>
              </w14:textFill>
            </w:rPr>
            <w:t>无</w:t>
          </w:r>
        </w:p>
      </w:sdtContent>
    </w:sdt>
    <w:p w14:paraId="42784B35">
      <w:pPr>
        <w:pStyle w:val="72"/>
        <w:rPr>
          <w:color w:val="000000" w:themeColor="text1"/>
          <w:kern w:val="0"/>
          <w:szCs w:val="24"/>
          <w14:textFill>
            <w14:solidFill>
              <w14:schemeClr w14:val="tx1"/>
            </w14:solidFill>
          </w14:textFill>
        </w:rPr>
      </w:pPr>
    </w:p>
    <w:p w14:paraId="1BE9F8A3">
      <w:pPr>
        <w:pStyle w:val="72"/>
        <w:rPr>
          <w:color w:val="000000" w:themeColor="text1"/>
          <w14:textFill>
            <w14:solidFill>
              <w14:schemeClr w14:val="tx1"/>
            </w14:solidFill>
          </w14:textFill>
        </w:rPr>
      </w:pPr>
      <w:r>
        <w:rPr>
          <w:rFonts w:hint="eastAsia"/>
          <w:color w:val="000000" w:themeColor="text1"/>
          <w14:textFill>
            <w14:solidFill>
              <w14:schemeClr w14:val="tx1"/>
            </w14:solidFill>
          </w14:textFill>
        </w:rPr>
        <w:t>对本期发生损失准备变动的合同资产账面余额显著变动的情况说明：</w:t>
      </w:r>
    </w:p>
    <w:sdt>
      <w:sdtPr>
        <w:rPr>
          <w:color w:val="000000" w:themeColor="text1"/>
          <w14:textFill>
            <w14:solidFill>
              <w14:schemeClr w14:val="tx1"/>
            </w14:solidFill>
          </w14:textFill>
        </w:rPr>
        <w:alias w:val="是否适用：对本期发生损失准备变动的账面余额显著变动的情况说明[双击切换]"/>
        <w:tag w:val="_GBC_52ea8710f03d45c5bdb89559e11daa51"/>
        <w:id w:val="349075117"/>
        <w:placeholder>
          <w:docPart w:val="GBC22222222222222222222222222222"/>
        </w:placeholder>
      </w:sdtPr>
      <w:sdtEndPr>
        <w:rPr>
          <w:color w:val="000000" w:themeColor="text1"/>
          <w14:textFill>
            <w14:solidFill>
              <w14:schemeClr w14:val="tx1"/>
            </w14:solidFill>
          </w14:textFill>
        </w:rPr>
      </w:sdtEndPr>
      <w:sdtContent>
        <w:p w14:paraId="2BDBD132">
          <w:pPr>
            <w:autoSpaceDE w:val="0"/>
            <w:autoSpaceDN w:val="0"/>
            <w:adjustRightInd w:val="0"/>
            <w:ind w:right="105" w:rightChars="5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AF52ED3">
      <w:pPr>
        <w:rPr>
          <w:rFonts w:asciiTheme="minorHAnsi" w:hAnsiTheme="minorHAnsi" w:cstheme="minorBidi"/>
          <w:b/>
          <w:bCs w:val="0"/>
          <w:color w:val="000000" w:themeColor="text1"/>
          <w:szCs w:val="22"/>
          <w14:textFill>
            <w14:solidFill>
              <w14:schemeClr w14:val="tx1"/>
            </w14:solidFill>
          </w14:textFill>
        </w:rPr>
      </w:pPr>
    </w:p>
    <w:bookmarkEnd w:id="200"/>
    <w:bookmarkEnd w:id="201"/>
    <w:bookmarkEnd w:id="202"/>
    <w:p w14:paraId="1B122F51">
      <w:pPr>
        <w:pStyle w:val="5"/>
        <w:numPr>
          <w:ilvl w:val="3"/>
          <w:numId w:val="56"/>
        </w:numPr>
        <w:ind w:left="426" w:hanging="426"/>
        <w:rPr>
          <w:rFonts w:hint="eastAsia" w:ascii="宋体" w:hAnsi="宋体"/>
          <w:color w:val="000000" w:themeColor="text1"/>
          <w:szCs w:val="21"/>
          <w14:textFill>
            <w14:solidFill>
              <w14:schemeClr w14:val="tx1"/>
            </w14:solidFill>
          </w14:textFill>
        </w:rPr>
      </w:pPr>
      <w:bookmarkStart w:id="203" w:name="_Hlk10470956"/>
      <w:bookmarkStart w:id="204" w:name="_Hlk10470966"/>
      <w:r>
        <w:rPr>
          <w:rFonts w:hint="eastAsia" w:ascii="宋体" w:hAnsi="宋体"/>
          <w:color w:val="000000" w:themeColor="text1"/>
          <w:szCs w:val="21"/>
          <w14:textFill>
            <w14:solidFill>
              <w14:schemeClr w14:val="tx1"/>
            </w14:solidFill>
          </w14:textFill>
        </w:rPr>
        <w:t>本期合同资产计提坏账准备情况</w:t>
      </w:r>
      <w:bookmarkEnd w:id="203"/>
    </w:p>
    <w:sdt>
      <w:sdtPr>
        <w:rPr>
          <w:color w:val="000000" w:themeColor="text1"/>
          <w14:textFill>
            <w14:solidFill>
              <w14:schemeClr w14:val="tx1"/>
            </w14:solidFill>
          </w14:textFill>
        </w:rPr>
        <w:alias w:val="是否适用：合同资产减值准备[双击切换]"/>
        <w:tag w:val="_GBC_47f239b7a5d442b0a0a358017de09567"/>
        <w:id w:val="1046649606"/>
        <w:placeholder>
          <w:docPart w:val="GBC22222222222222222222222222222"/>
        </w:placeholder>
      </w:sdtPr>
      <w:sdtEndPr>
        <w:rPr>
          <w:color w:val="000000" w:themeColor="text1"/>
          <w14:textFill>
            <w14:solidFill>
              <w14:schemeClr w14:val="tx1"/>
            </w14:solidFill>
          </w14:textFill>
        </w:rPr>
      </w:sdtEndPr>
      <w:sdtContent>
        <w:p w14:paraId="15E8AB1D">
          <w:pPr>
            <w:autoSpaceDE w:val="0"/>
            <w:autoSpaceDN w:val="0"/>
            <w:adjustRightInd w:val="0"/>
            <w:ind w:right="105" w:rightChars="5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8A92822">
      <w:pPr>
        <w:autoSpaceDE w:val="0"/>
        <w:autoSpaceDN w:val="0"/>
        <w:adjustRightInd w:val="0"/>
        <w:ind w:right="105" w:rightChars="50"/>
        <w:rPr>
          <w:color w:val="000000" w:themeColor="text1"/>
          <w14:textFill>
            <w14:solidFill>
              <w14:schemeClr w14:val="tx1"/>
            </w14:solidFill>
          </w14:textFill>
        </w:rPr>
      </w:pPr>
    </w:p>
    <w:bookmarkEnd w:id="204"/>
    <w:p w14:paraId="19F93D85">
      <w:pPr>
        <w:rPr>
          <w:color w:val="000000" w:themeColor="text1"/>
          <w14:textFill>
            <w14:solidFill>
              <w14:schemeClr w14:val="tx1"/>
            </w14:solidFill>
          </w14:textFill>
        </w:rPr>
      </w:pPr>
      <w:bookmarkStart w:id="205" w:name="_Hlk167888739"/>
      <w:r>
        <w:rPr>
          <w:rFonts w:hint="eastAsia"/>
          <w:color w:val="000000" w:themeColor="text1"/>
          <w14:textFill>
            <w14:solidFill>
              <w14:schemeClr w14:val="tx1"/>
            </w14:solidFill>
          </w14:textFill>
        </w:rPr>
        <w:t>其中本期坏账准备收回或转回金额重要的：</w:t>
      </w:r>
    </w:p>
    <w:sdt>
      <w:sdtPr>
        <w:rPr>
          <w:color w:val="000000" w:themeColor="text1"/>
          <w14:textFill>
            <w14:solidFill>
              <w14:schemeClr w14:val="tx1"/>
            </w14:solidFill>
          </w14:textFill>
        </w:rPr>
        <w:alias w:val="是否适用：本期坏账准备收回或转回金额重要的[双击切换]"/>
        <w:tag w:val="_GBC_5a496695d0eb4d6eaee4f7f7f7615f95"/>
        <w:id w:val="797957554"/>
        <w:placeholder>
          <w:docPart w:val="GBC22222222222222222222222222222"/>
        </w:placeholder>
      </w:sdtPr>
      <w:sdtEndPr>
        <w:rPr>
          <w:color w:val="000000" w:themeColor="text1"/>
          <w14:textFill>
            <w14:solidFill>
              <w14:schemeClr w14:val="tx1"/>
            </w14:solidFill>
          </w14:textFill>
        </w:rPr>
      </w:sdtEndPr>
      <w:sdtContent>
        <w:p w14:paraId="3DA6A21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D1A3B76">
      <w:pPr>
        <w:rPr>
          <w:color w:val="000000" w:themeColor="text1"/>
          <w14:textFill>
            <w14:solidFill>
              <w14:schemeClr w14:val="tx1"/>
            </w14:solidFill>
          </w14:textFill>
        </w:rPr>
      </w:pPr>
    </w:p>
    <w:p w14:paraId="40793BF1">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坏账准备情况的说明"/>
        <w:tag w:val="_GBC_1e07c21bc8844634b0354dd2ff775cf3"/>
        <w:id w:val="-1337922597"/>
        <w:placeholder>
          <w:docPart w:val="GBC22222222222222222222222222222"/>
        </w:placeholder>
      </w:sdtPr>
      <w:sdtEndPr>
        <w:rPr>
          <w:color w:val="000000" w:themeColor="text1"/>
          <w14:textFill>
            <w14:solidFill>
              <w14:schemeClr w14:val="tx1"/>
            </w14:solidFill>
          </w14:textFill>
        </w:rPr>
      </w:sdtEndPr>
      <w:sdtContent>
        <w:p w14:paraId="05FD5D1A">
          <w:pPr>
            <w:ind w:right="42" w:rightChars="20"/>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63E96C09">
      <w:pPr>
        <w:ind w:right="-1594" w:rightChars="-759"/>
        <w:rPr>
          <w:color w:val="000000" w:themeColor="text1"/>
          <w14:textFill>
            <w14:solidFill>
              <w14:schemeClr w14:val="tx1"/>
            </w14:solidFill>
          </w14:textFill>
        </w:rPr>
      </w:pPr>
    </w:p>
    <w:bookmarkEnd w:id="205"/>
    <w:p w14:paraId="0CE27AF3">
      <w:pPr>
        <w:pStyle w:val="5"/>
        <w:numPr>
          <w:ilvl w:val="3"/>
          <w:numId w:val="56"/>
        </w:numPr>
        <w:ind w:left="426" w:hanging="426"/>
        <w:rPr>
          <w:color w:val="000000" w:themeColor="text1"/>
          <w:szCs w:val="21"/>
          <w14:textFill>
            <w14:solidFill>
              <w14:schemeClr w14:val="tx1"/>
            </w14:solidFill>
          </w14:textFill>
        </w:rPr>
      </w:pPr>
      <w:bookmarkStart w:id="206" w:name="_Hlk153379426"/>
      <w:bookmarkStart w:id="207" w:name="_Hlk167888904"/>
      <w:r>
        <w:rPr>
          <w:color w:val="000000" w:themeColor="text1"/>
          <w:szCs w:val="21"/>
          <w14:textFill>
            <w14:solidFill>
              <w14:schemeClr w14:val="tx1"/>
            </w14:solidFill>
          </w14:textFill>
        </w:rPr>
        <w:t>本期实际核销的</w:t>
      </w:r>
      <w:r>
        <w:rPr>
          <w:rFonts w:hint="eastAsia"/>
          <w:color w:val="000000" w:themeColor="text1"/>
          <w:szCs w:val="21"/>
          <w14:textFill>
            <w14:solidFill>
              <w14:schemeClr w14:val="tx1"/>
            </w14:solidFill>
          </w14:textFill>
        </w:rPr>
        <w:t>合同资产</w:t>
      </w:r>
      <w:r>
        <w:rPr>
          <w:color w:val="000000" w:themeColor="text1"/>
          <w:szCs w:val="21"/>
          <w14:textFill>
            <w14:solidFill>
              <w14:schemeClr w14:val="tx1"/>
            </w14:solidFill>
          </w14:textFill>
        </w:rPr>
        <w:t>情况</w:t>
      </w:r>
    </w:p>
    <w:sdt>
      <w:sdtPr>
        <w:rPr>
          <w:color w:val="000000" w:themeColor="text1"/>
          <w14:textFill>
            <w14:solidFill>
              <w14:schemeClr w14:val="tx1"/>
            </w14:solidFill>
          </w14:textFill>
        </w:rPr>
        <w:alias w:val="是否适用：实际核销的情况[双击切换]"/>
        <w:tag w:val="_GBC_a2fe224348004dacb76f7686b01b39be"/>
        <w:id w:val="-1630701057"/>
        <w:placeholder>
          <w:docPart w:val="GBC22222222222222222222222222222"/>
        </w:placeholder>
      </w:sdtPr>
      <w:sdtEndPr>
        <w:rPr>
          <w:color w:val="000000" w:themeColor="text1"/>
          <w14:textFill>
            <w14:solidFill>
              <w14:schemeClr w14:val="tx1"/>
            </w14:solidFill>
          </w14:textFill>
        </w:rPr>
      </w:sdtEndPr>
      <w:sdtContent>
        <w:p w14:paraId="6383687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AA6621C">
      <w:pPr>
        <w:rPr>
          <w:color w:val="000000" w:themeColor="text1"/>
          <w14:textFill>
            <w14:solidFill>
              <w14:schemeClr w14:val="tx1"/>
            </w14:solidFill>
          </w14:textFill>
        </w:rPr>
      </w:pPr>
    </w:p>
    <w:p w14:paraId="434B604B">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其中重要的合同资产核销情况</w:t>
      </w:r>
    </w:p>
    <w:sdt>
      <w:sdtPr>
        <w:rPr>
          <w:rFonts w:hint="eastAsia"/>
          <w:color w:val="000000" w:themeColor="text1"/>
          <w14:textFill>
            <w14:solidFill>
              <w14:schemeClr w14:val="tx1"/>
            </w14:solidFill>
          </w14:textFill>
        </w:rPr>
        <w:alias w:val="是否适用：重要的核销情况[双击切换]"/>
        <w:tag w:val="_GBC_6bcd1c712b36426ab4d08b134810344a"/>
        <w:id w:val="1871028963"/>
        <w:placeholder>
          <w:docPart w:val="GBC22222222222222222222222222222"/>
        </w:placeholder>
      </w:sdtPr>
      <w:sdtEndPr>
        <w:rPr>
          <w:rFonts w:hint="eastAsia"/>
          <w:color w:val="000000" w:themeColor="text1"/>
          <w14:textFill>
            <w14:solidFill>
              <w14:schemeClr w14:val="tx1"/>
            </w14:solidFill>
          </w14:textFill>
        </w:rPr>
      </w:sdtEndPr>
      <w:sdtContent>
        <w:p w14:paraId="11FAAD4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82785CA">
      <w:pPr>
        <w:rPr>
          <w:color w:val="000000" w:themeColor="text1"/>
          <w14:textFill>
            <w14:solidFill>
              <w14:schemeClr w14:val="tx1"/>
            </w14:solidFill>
          </w14:textFill>
        </w:rPr>
      </w:pPr>
    </w:p>
    <w:p w14:paraId="58D5C8B7">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合同资产核销说明：</w:t>
      </w:r>
    </w:p>
    <w:sdt>
      <w:sdtPr>
        <w:rPr>
          <w:color w:val="000000" w:themeColor="text1"/>
          <w14:textFill>
            <w14:solidFill>
              <w14:schemeClr w14:val="tx1"/>
            </w14:solidFill>
          </w14:textFill>
        </w:rPr>
        <w:alias w:val="是否适用：核销说明[双击切换]"/>
        <w:tag w:val="_GBC_63a73902686f443c9c4dcd3cd18e6da4"/>
        <w:id w:val="-2014448241"/>
        <w:placeholder>
          <w:docPart w:val="GBC22222222222222222222222222222"/>
        </w:placeholder>
      </w:sdtPr>
      <w:sdtEndPr>
        <w:rPr>
          <w:color w:val="000000" w:themeColor="text1"/>
          <w14:textFill>
            <w14:solidFill>
              <w14:schemeClr w14:val="tx1"/>
            </w14:solidFill>
          </w14:textFill>
        </w:rPr>
      </w:sdtEndPr>
      <w:sdtContent>
        <w:p w14:paraId="43FEBF27">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EF81CBA">
      <w:pPr>
        <w:rPr>
          <w:color w:val="000000" w:themeColor="text1"/>
          <w14:textFill>
            <w14:solidFill>
              <w14:schemeClr w14:val="tx1"/>
            </w14:solidFill>
          </w14:textFill>
        </w:rPr>
      </w:pPr>
    </w:p>
    <w:bookmarkEnd w:id="206"/>
    <w:bookmarkEnd w:id="207"/>
    <w:p w14:paraId="2F72D214">
      <w:pPr>
        <w:rPr>
          <w:color w:val="000000" w:themeColor="text1"/>
          <w14:textFill>
            <w14:solidFill>
              <w14:schemeClr w14:val="tx1"/>
            </w14:solidFill>
          </w14:textFill>
        </w:rPr>
      </w:pPr>
      <w:bookmarkStart w:id="208" w:name="_Hlk10471002"/>
      <w:bookmarkStart w:id="209" w:name="_Hlk10471011"/>
      <w:r>
        <w:rPr>
          <w:rFonts w:hint="eastAsia"/>
          <w:color w:val="000000" w:themeColor="text1"/>
          <w14:textFill>
            <w14:solidFill>
              <w14:schemeClr w14:val="tx1"/>
            </w14:solidFill>
          </w14:textFill>
        </w:rPr>
        <w:t>其他说明：</w:t>
      </w:r>
      <w:bookmarkEnd w:id="208"/>
    </w:p>
    <w:sdt>
      <w:sdtPr>
        <w:rPr>
          <w:color w:val="000000" w:themeColor="text1"/>
          <w14:textFill>
            <w14:solidFill>
              <w14:schemeClr w14:val="tx1"/>
            </w14:solidFill>
          </w14:textFill>
        </w:rPr>
        <w:alias w:val="是否适用：合同资产其他说明[双击切换]"/>
        <w:tag w:val="_GBC_06cd3c0f93454d76bd0c7e20322e8a49"/>
        <w:id w:val="-801849473"/>
        <w:placeholder>
          <w:docPart w:val="GBC22222222222222222222222222222"/>
        </w:placeholder>
      </w:sdtPr>
      <w:sdtEndPr>
        <w:rPr>
          <w:color w:val="000000" w:themeColor="text1"/>
          <w14:textFill>
            <w14:solidFill>
              <w14:schemeClr w14:val="tx1"/>
            </w14:solidFill>
          </w14:textFill>
        </w:rPr>
      </w:sdtEndPr>
      <w:sdtContent>
        <w:p w14:paraId="7DC9798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209"/>
    <w:p w14:paraId="3547EA57">
      <w:pPr>
        <w:rPr>
          <w:color w:val="000000" w:themeColor="text1"/>
          <w14:textFill>
            <w14:solidFill>
              <w14:schemeClr w14:val="tx1"/>
            </w14:solidFill>
          </w14:textFill>
        </w:rPr>
      </w:pPr>
    </w:p>
    <w:p w14:paraId="22F5CB5F">
      <w:pPr>
        <w:pStyle w:val="4"/>
        <w:numPr>
          <w:ilvl w:val="0"/>
          <w:numId w:val="53"/>
        </w:numPr>
        <w:tabs>
          <w:tab w:val="left" w:pos="504"/>
        </w:tabs>
        <w:ind w:left="450" w:hanging="450"/>
        <w:rPr>
          <w:rFonts w:hint="eastAsia" w:ascii="宋体" w:hAnsi="宋体" w:cs="宋体"/>
          <w:color w:val="000000" w:themeColor="text1"/>
          <w:kern w:val="0"/>
          <w:szCs w:val="24"/>
          <w14:textFill>
            <w14:solidFill>
              <w14:schemeClr w14:val="tx1"/>
            </w14:solidFill>
          </w14:textFill>
        </w:rPr>
      </w:pPr>
      <w:bookmarkStart w:id="210" w:name="_Hlk24102175"/>
      <w:bookmarkStart w:id="211" w:name="_Hlk167889313"/>
      <w:r>
        <w:rPr>
          <w:rFonts w:hint="eastAsia" w:ascii="宋体" w:hAnsi="宋体" w:cs="宋体"/>
          <w:color w:val="000000" w:themeColor="text1"/>
          <w:kern w:val="0"/>
          <w:szCs w:val="24"/>
          <w14:textFill>
            <w14:solidFill>
              <w14:schemeClr w14:val="tx1"/>
            </w14:solidFill>
          </w14:textFill>
        </w:rPr>
        <w:t>应收款项融资</w:t>
      </w:r>
    </w:p>
    <w:p w14:paraId="4A87C517">
      <w:pPr>
        <w:pStyle w:val="5"/>
        <w:numPr>
          <w:ilvl w:val="0"/>
          <w:numId w:val="57"/>
        </w:numPr>
        <w:tabs>
          <w:tab w:val="left" w:pos="360"/>
        </w:tabs>
        <w:ind w:left="0" w:firstLine="0"/>
      </w:pPr>
      <w:r>
        <w:rPr>
          <w:rFonts w:hint="eastAsia"/>
        </w:rPr>
        <w:t>应收款项</w:t>
      </w:r>
      <w:r>
        <w:rPr>
          <w:rFonts w:hint="eastAsia"/>
          <w:color w:val="000000" w:themeColor="text1"/>
          <w14:textFill>
            <w14:solidFill>
              <w14:schemeClr w14:val="tx1"/>
            </w14:solidFill>
          </w14:textFill>
        </w:rPr>
        <w:t>融资</w:t>
      </w:r>
      <w:r>
        <w:rPr>
          <w:rFonts w:hint="eastAsia"/>
        </w:rPr>
        <w:t>分类列示</w:t>
      </w:r>
    </w:p>
    <w:sdt>
      <w:sdtPr>
        <w:rPr>
          <w:color w:val="000000" w:themeColor="text1"/>
          <w14:textFill>
            <w14:solidFill>
              <w14:schemeClr w14:val="tx1"/>
            </w14:solidFill>
          </w14:textFill>
        </w:rPr>
        <w:alias w:val="是否适用：应收款项融资[双击切换]"/>
        <w:tag w:val="_GBC_ef490af2ae9646548061648e78d3873a"/>
        <w:id w:val="1084486711"/>
        <w:placeholder>
          <w:docPart w:val="GBC22222222222222222222222222222"/>
        </w:placeholder>
      </w:sdtPr>
      <w:sdtEndPr>
        <w:rPr>
          <w:color w:val="000000" w:themeColor="text1"/>
          <w14:textFill>
            <w14:solidFill>
              <w14:schemeClr w14:val="tx1"/>
            </w14:solidFill>
          </w14:textFill>
        </w:rPr>
      </w:sdtEndPr>
      <w:sdtContent>
        <w:p w14:paraId="564613F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293A9B4">
      <w:pPr>
        <w:rPr>
          <w:color w:val="000000" w:themeColor="text1"/>
          <w14:textFill>
            <w14:solidFill>
              <w14:schemeClr w14:val="tx1"/>
            </w14:solidFill>
          </w14:textFill>
        </w:rPr>
      </w:pPr>
      <w:bookmarkStart w:id="212" w:name="_Hlk12969247"/>
      <w:bookmarkStart w:id="213" w:name="_Hlk13057555"/>
    </w:p>
    <w:p w14:paraId="5979C1D3">
      <w:pPr>
        <w:pStyle w:val="5"/>
        <w:numPr>
          <w:ilvl w:val="0"/>
          <w:numId w:val="57"/>
        </w:numPr>
        <w:tabs>
          <w:tab w:val="left" w:pos="360"/>
        </w:tabs>
        <w:ind w:left="0" w:firstLine="0"/>
        <w:rPr>
          <w:color w:val="000000" w:themeColor="text1"/>
          <w14:textFill>
            <w14:solidFill>
              <w14:schemeClr w14:val="tx1"/>
            </w14:solidFill>
          </w14:textFill>
        </w:rPr>
      </w:pPr>
      <w:r>
        <w:rPr>
          <w:color w:val="000000" w:themeColor="text1"/>
          <w14:textFill>
            <w14:solidFill>
              <w14:schemeClr w14:val="tx1"/>
            </w14:solidFill>
          </w14:textFill>
        </w:rPr>
        <w:t>期末公司已</w:t>
      </w:r>
      <w:r>
        <w:rPr>
          <w:rFonts w:hint="eastAsia"/>
          <w:color w:val="000000" w:themeColor="text1"/>
          <w14:textFill>
            <w14:solidFill>
              <w14:schemeClr w14:val="tx1"/>
            </w14:solidFill>
          </w14:textFill>
        </w:rPr>
        <w:t>质押</w:t>
      </w:r>
      <w:r>
        <w:rPr>
          <w:color w:val="000000" w:themeColor="text1"/>
          <w14:textFill>
            <w14:solidFill>
              <w14:schemeClr w14:val="tx1"/>
            </w14:solidFill>
          </w14:textFill>
        </w:rPr>
        <w:t>的应收款项融资</w:t>
      </w:r>
    </w:p>
    <w:sdt>
      <w:sdtPr>
        <w:rPr>
          <w:color w:val="000000" w:themeColor="text1"/>
          <w14:textFill>
            <w14:solidFill>
              <w14:schemeClr w14:val="tx1"/>
            </w14:solidFill>
          </w14:textFill>
        </w:rPr>
        <w:alias w:val="是否适用：期末公司已质押的应收款项融资[双击切换]"/>
        <w:tag w:val="_GBC_be6effae9a0c46449ee5beec6506abc0"/>
        <w:id w:val="469403412"/>
        <w:placeholder>
          <w:docPart w:val="GBC22222222222222222222222222222"/>
        </w:placeholder>
      </w:sdtPr>
      <w:sdtEndPr>
        <w:rPr>
          <w:color w:val="000000" w:themeColor="text1"/>
          <w14:textFill>
            <w14:solidFill>
              <w14:schemeClr w14:val="tx1"/>
            </w14:solidFill>
          </w14:textFill>
        </w:rPr>
      </w:sdtEndPr>
      <w:sdtContent>
        <w:p w14:paraId="5B06BFF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F4AAA44">
      <w:pPr>
        <w:rPr>
          <w:color w:val="000000" w:themeColor="text1"/>
          <w14:textFill>
            <w14:solidFill>
              <w14:schemeClr w14:val="tx1"/>
            </w14:solidFill>
          </w14:textFill>
        </w:rPr>
      </w:pPr>
    </w:p>
    <w:p w14:paraId="2CFF07ED">
      <w:pPr>
        <w:pStyle w:val="5"/>
        <w:numPr>
          <w:ilvl w:val="0"/>
          <w:numId w:val="57"/>
        </w:numPr>
        <w:tabs>
          <w:tab w:val="left" w:pos="360"/>
        </w:tabs>
        <w:ind w:left="0"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期末公司已背书或贴现且在资产负债表日尚未到期的应收款项融资</w:t>
      </w:r>
    </w:p>
    <w:sdt>
      <w:sdtPr>
        <w:rPr>
          <w:color w:val="000000" w:themeColor="text1"/>
          <w14:textFill>
            <w14:solidFill>
              <w14:schemeClr w14:val="tx1"/>
            </w14:solidFill>
          </w14:textFill>
        </w:rPr>
        <w:alias w:val="是否适用：期末公司已背书或贴现且在资产负债表日尚未到期的应收款项融资[双击切换]"/>
        <w:tag w:val="_GBC_5aba7034811c436e8fdb090306fae25a"/>
        <w:id w:val="-1864660396"/>
        <w:placeholder>
          <w:docPart w:val="GBC22222222222222222222222222222"/>
        </w:placeholder>
      </w:sdtPr>
      <w:sdtEndPr>
        <w:rPr>
          <w:color w:val="000000" w:themeColor="text1"/>
          <w14:textFill>
            <w14:solidFill>
              <w14:schemeClr w14:val="tx1"/>
            </w14:solidFill>
          </w14:textFill>
        </w:rPr>
      </w:sdtEndPr>
      <w:sdtContent>
        <w:p w14:paraId="03448E7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978AF29">
      <w:pPr>
        <w:rPr>
          <w:color w:val="000000" w:themeColor="text1"/>
          <w14:textFill>
            <w14:solidFill>
              <w14:schemeClr w14:val="tx1"/>
            </w14:solidFill>
          </w14:textFill>
        </w:rPr>
      </w:pPr>
    </w:p>
    <w:p w14:paraId="7819445D">
      <w:pPr>
        <w:pStyle w:val="5"/>
        <w:numPr>
          <w:ilvl w:val="0"/>
          <w:numId w:val="57"/>
        </w:numPr>
        <w:tabs>
          <w:tab w:val="left" w:pos="360"/>
        </w:tabs>
        <w:ind w:left="0"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按</w:t>
      </w:r>
      <w:r>
        <w:rPr>
          <w:color w:val="000000" w:themeColor="text1"/>
          <w14:textFill>
            <w14:solidFill>
              <w14:schemeClr w14:val="tx1"/>
            </w14:solidFill>
          </w14:textFill>
        </w:rPr>
        <w:t>坏账计提方法分类披露</w:t>
      </w:r>
    </w:p>
    <w:sdt>
      <w:sdtPr>
        <w:rPr>
          <w:color w:val="000000" w:themeColor="text1"/>
          <w14:textFill>
            <w14:solidFill>
              <w14:schemeClr w14:val="tx1"/>
            </w14:solidFill>
          </w14:textFill>
        </w:rPr>
        <w:alias w:val="是否适用：按坏账计提方法分类披露[双击切换]"/>
        <w:tag w:val="_GBC_405ca68f760443499c1bd1a1fa1e9e7d"/>
        <w:id w:val="-1232453011"/>
        <w:placeholder>
          <w:docPart w:val="GBC22222222222222222222222222222"/>
        </w:placeholder>
      </w:sdtPr>
      <w:sdtEndPr>
        <w:rPr>
          <w:color w:val="000000" w:themeColor="text1"/>
          <w14:textFill>
            <w14:solidFill>
              <w14:schemeClr w14:val="tx1"/>
            </w14:solidFill>
          </w14:textFill>
        </w:rPr>
      </w:sdtEndPr>
      <w:sdtContent>
        <w:p w14:paraId="0865F31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2C9E964">
      <w:pPr>
        <w:rPr>
          <w:color w:val="000000" w:themeColor="text1"/>
          <w14:textFill>
            <w14:solidFill>
              <w14:schemeClr w14:val="tx1"/>
            </w14:solidFill>
          </w14:textFill>
        </w:rPr>
      </w:pPr>
    </w:p>
    <w:p w14:paraId="4A2AB4CF">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w:t>
      </w:r>
    </w:p>
    <w:sdt>
      <w:sdtPr>
        <w:rPr>
          <w:color w:val="000000" w:themeColor="text1"/>
          <w14:textFill>
            <w14:solidFill>
              <w14:schemeClr w14:val="tx1"/>
            </w14:solidFill>
          </w14:textFill>
        </w:rPr>
        <w:alias w:val="是否适用：按单项计提坏账准备的详细情况[双击切换]"/>
        <w:tag w:val="_GBC_70906d84159d4210b15e17fb2293500d"/>
        <w:id w:val="1560904938"/>
        <w:placeholder>
          <w:docPart w:val="GBC22222222222222222222222222222"/>
        </w:placeholder>
      </w:sdtPr>
      <w:sdtEndPr>
        <w:rPr>
          <w:color w:val="000000" w:themeColor="text1"/>
          <w14:textFill>
            <w14:solidFill>
              <w14:schemeClr w14:val="tx1"/>
            </w14:solidFill>
          </w14:textFill>
        </w:rPr>
      </w:sdtEndPr>
      <w:sdtContent>
        <w:p w14:paraId="3BEC112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E1C8FFC">
      <w:pPr>
        <w:rPr>
          <w:color w:val="000000" w:themeColor="text1"/>
          <w14:textFill>
            <w14:solidFill>
              <w14:schemeClr w14:val="tx1"/>
            </w14:solidFill>
          </w14:textFill>
        </w:rPr>
      </w:pPr>
    </w:p>
    <w:p w14:paraId="34A98838">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按单项计提坏账准备的说明：</w:t>
      </w:r>
    </w:p>
    <w:sdt>
      <w:sdtPr>
        <w:rPr>
          <w:color w:val="000000" w:themeColor="text1"/>
          <w14:textFill>
            <w14:solidFill>
              <w14:schemeClr w14:val="tx1"/>
            </w14:solidFill>
          </w14:textFill>
        </w:rPr>
        <w:alias w:val="是否适用：按单项计提坏账准备的说明[双击切换]"/>
        <w:tag w:val="_GBC_f71cdd4ebdc046418cd6f9214346df97"/>
        <w:id w:val="-792287279"/>
        <w:placeholder>
          <w:docPart w:val="GBC22222222222222222222222222222"/>
        </w:placeholder>
      </w:sdtPr>
      <w:sdtEndPr>
        <w:rPr>
          <w:color w:val="000000" w:themeColor="text1"/>
          <w14:textFill>
            <w14:solidFill>
              <w14:schemeClr w14:val="tx1"/>
            </w14:solidFill>
          </w14:textFill>
        </w:rPr>
      </w:sdtEndPr>
      <w:sdtContent>
        <w:p w14:paraId="11C59EC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5699DB9">
      <w:pPr>
        <w:rPr>
          <w:color w:val="000000" w:themeColor="text1"/>
          <w14:textFill>
            <w14:solidFill>
              <w14:schemeClr w14:val="tx1"/>
            </w14:solidFill>
          </w14:textFill>
        </w:rPr>
      </w:pPr>
    </w:p>
    <w:p w14:paraId="1FD4A317">
      <w:pPr>
        <w:rPr>
          <w:rFonts w:ascii="Calibri" w:hAnsi="Calibri" w:cs="Times New Roman"/>
          <w:bCs w:val="0"/>
          <w:color w:val="000000" w:themeColor="text1"/>
          <w:szCs w:val="22"/>
          <w14:textFill>
            <w14:solidFill>
              <w14:schemeClr w14:val="tx1"/>
            </w14:solidFill>
          </w14:textFill>
        </w:rPr>
      </w:pPr>
      <w:r>
        <w:rPr>
          <w:rFonts w:hint="eastAsia" w:ascii="Calibri" w:hAnsi="Calibri" w:cs="Times New Roman"/>
          <w:color w:val="000000" w:themeColor="text1"/>
          <w:szCs w:val="22"/>
          <w14:textFill>
            <w14:solidFill>
              <w14:schemeClr w14:val="tx1"/>
            </w14:solidFill>
          </w14:textFill>
        </w:rPr>
        <w:t>按组合计提坏账准备：</w:t>
      </w:r>
    </w:p>
    <w:sdt>
      <w:sdtPr>
        <w:rPr>
          <w:rFonts w:ascii="Calibri" w:hAnsi="Calibri" w:cs="Times New Roman"/>
          <w:bCs w:val="0"/>
          <w:color w:val="000000" w:themeColor="text1"/>
          <w:szCs w:val="22"/>
          <w14:textFill>
            <w14:solidFill>
              <w14:schemeClr w14:val="tx1"/>
            </w14:solidFill>
          </w14:textFill>
        </w:rPr>
        <w:alias w:val="是否适用：按组合计提坏账准备的详细情况[双击切换]"/>
        <w:tag w:val="_GBC_02191f78423f4f4ca97cd31179bf21d5"/>
        <w:id w:val="2051795850"/>
        <w:placeholder>
          <w:docPart w:val="GBC22222222222222222222222222222"/>
        </w:placeholder>
      </w:sdtPr>
      <w:sdtEndPr>
        <w:rPr>
          <w:rFonts w:ascii="Calibri" w:hAnsi="Calibri" w:cs="Times New Roman"/>
          <w:bCs w:val="0"/>
          <w:color w:val="000000" w:themeColor="text1"/>
          <w:szCs w:val="22"/>
          <w14:textFill>
            <w14:solidFill>
              <w14:schemeClr w14:val="tx1"/>
            </w14:solidFill>
          </w14:textFill>
        </w:rPr>
      </w:sdtEndPr>
      <w:sdtContent>
        <w:p w14:paraId="3B817DE0">
          <w:pPr>
            <w:rPr>
              <w:color w:val="000000" w:themeColor="text1"/>
              <w14:textFill>
                <w14:solidFill>
                  <w14:schemeClr w14:val="tx1"/>
                </w14:solidFill>
              </w14:textFill>
            </w:rPr>
          </w:pPr>
          <w:r>
            <w:rPr>
              <w:rFonts w:ascii="宋体" w:hAnsi="宋体" w:cs="Times New Roman"/>
              <w:bCs w:val="0"/>
              <w:color w:val="000000" w:themeColor="text1"/>
              <w:szCs w:val="22"/>
              <w14:textFill>
                <w14:solidFill>
                  <w14:schemeClr w14:val="tx1"/>
                </w14:solidFill>
              </w14:textFill>
            </w:rPr>
            <w:fldChar w:fldCharType="begin"/>
          </w:r>
          <w:r>
            <w:rPr>
              <w:rFonts w:hint="eastAsia" w:ascii="宋体" w:hAnsi="宋体" w:cs="Times New Roman"/>
              <w:color w:val="000000" w:themeColor="text1"/>
              <w:szCs w:val="22"/>
              <w14:textFill>
                <w14:solidFill>
                  <w14:schemeClr w14:val="tx1"/>
                </w14:solidFill>
              </w14:textFill>
            </w:rPr>
            <w:instrText xml:space="preserve"> MACROBUTTON  SnrToggleCheckbox □适用 </w:instrText>
          </w:r>
          <w:r>
            <w:rPr>
              <w:rFonts w:ascii="宋体" w:hAnsi="宋体" w:cs="Times New Roman"/>
              <w:bCs w:val="0"/>
              <w:color w:val="000000" w:themeColor="text1"/>
              <w:szCs w:val="22"/>
              <w14:textFill>
                <w14:solidFill>
                  <w14:schemeClr w14:val="tx1"/>
                </w14:solidFill>
              </w14:textFill>
            </w:rPr>
            <w:fldChar w:fldCharType="end"/>
          </w:r>
          <w:r>
            <w:rPr>
              <w:rFonts w:ascii="宋体" w:hAnsi="宋体" w:cs="Times New Roman"/>
              <w:bCs w:val="0"/>
              <w:color w:val="000000" w:themeColor="text1"/>
              <w:szCs w:val="22"/>
              <w14:textFill>
                <w14:solidFill>
                  <w14:schemeClr w14:val="tx1"/>
                </w14:solidFill>
              </w14:textFill>
            </w:rPr>
            <w:fldChar w:fldCharType="begin"/>
          </w:r>
          <w:r>
            <w:rPr>
              <w:rFonts w:hint="eastAsia" w:ascii="宋体" w:hAnsi="宋体" w:cs="Times New Roman"/>
              <w:color w:val="000000" w:themeColor="text1"/>
              <w:szCs w:val="22"/>
              <w14:textFill>
                <w14:solidFill>
                  <w14:schemeClr w14:val="tx1"/>
                </w14:solidFill>
              </w14:textFill>
            </w:rPr>
            <w:instrText xml:space="preserve"> MACROBUTTON  SnrToggleCheckbox √不适用 </w:instrText>
          </w:r>
          <w:r>
            <w:rPr>
              <w:rFonts w:ascii="宋体" w:hAnsi="宋体" w:cs="Times New Roman"/>
              <w:bCs w:val="0"/>
              <w:color w:val="000000" w:themeColor="text1"/>
              <w:szCs w:val="22"/>
              <w14:textFill>
                <w14:solidFill>
                  <w14:schemeClr w14:val="tx1"/>
                </w14:solidFill>
              </w14:textFill>
            </w:rPr>
            <w:fldChar w:fldCharType="end"/>
          </w:r>
        </w:p>
      </w:sdtContent>
    </w:sdt>
    <w:p w14:paraId="43428C03">
      <w:pPr>
        <w:rPr>
          <w:color w:val="000000" w:themeColor="text1"/>
          <w14:textFill>
            <w14:solidFill>
              <w14:schemeClr w14:val="tx1"/>
            </w14:solidFill>
          </w14:textFill>
        </w:rPr>
      </w:pPr>
    </w:p>
    <w:p w14:paraId="6B021898">
      <w:pPr>
        <w:rPr>
          <w:rFonts w:ascii="Calibri" w:hAnsi="Calibri" w:cs="Times New Roman"/>
          <w:b/>
          <w:bCs w:val="0"/>
          <w:color w:val="000000" w:themeColor="text1"/>
          <w:szCs w:val="22"/>
          <w14:textFill>
            <w14:solidFill>
              <w14:schemeClr w14:val="tx1"/>
            </w14:solidFill>
          </w14:textFill>
        </w:rPr>
      </w:pPr>
    </w:p>
    <w:p w14:paraId="4A766053">
      <w:pPr>
        <w:rPr>
          <w:rFonts w:cstheme="minorBidi"/>
          <w:bCs w:val="0"/>
          <w:color w:val="000000" w:themeColor="text1"/>
          <w:szCs w:val="22"/>
          <w14:textFill>
            <w14:solidFill>
              <w14:schemeClr w14:val="tx1"/>
            </w14:solidFill>
          </w14:textFill>
        </w:rPr>
      </w:pPr>
      <w:bookmarkStart w:id="214" w:name="_Hlk154134692"/>
      <w:bookmarkStart w:id="215" w:name="_Hlk153372713"/>
      <w:r>
        <w:rPr>
          <w:rFonts w:hint="eastAsia" w:cstheme="minorBidi"/>
          <w:color w:val="000000" w:themeColor="text1"/>
          <w:szCs w:val="22"/>
          <w14:textFill>
            <w14:solidFill>
              <w14:schemeClr w14:val="tx1"/>
            </w14:solidFill>
          </w14:textFill>
        </w:rPr>
        <w:t>按预期信用损失一般模型计提坏账准备</w:t>
      </w:r>
    </w:p>
    <w:sdt>
      <w:sdtPr>
        <w:rPr>
          <w:rFonts w:cstheme="minorBidi"/>
          <w:bCs w:val="0"/>
          <w:color w:val="000000" w:themeColor="text1"/>
          <w:szCs w:val="22"/>
          <w14:textFill>
            <w14:solidFill>
              <w14:schemeClr w14:val="tx1"/>
            </w14:solidFill>
          </w14:textFill>
        </w:rPr>
        <w:alias w:val="是否适用：按预期信用损失一般模型计提坏账准备[双击切换]"/>
        <w:tag w:val="_GBC_205986a144f344f78129e3fba39b34ca"/>
        <w:id w:val="-325517581"/>
        <w:placeholder>
          <w:docPart w:val="GBC22222222222222222222222222222"/>
        </w:placeholder>
      </w:sdtPr>
      <w:sdtEndPr>
        <w:rPr>
          <w:rFonts w:cstheme="minorBidi"/>
          <w:bCs w:val="0"/>
          <w:color w:val="000000" w:themeColor="text1"/>
          <w:szCs w:val="22"/>
          <w14:textFill>
            <w14:solidFill>
              <w14:schemeClr w14:val="tx1"/>
            </w14:solidFill>
          </w14:textFill>
        </w:rPr>
      </w:sdtEndPr>
      <w:sdtContent>
        <w:p w14:paraId="526FC9B7">
          <w:pPr>
            <w:rPr>
              <w:rFonts w:cstheme="minorBidi"/>
              <w:bCs w:val="0"/>
              <w:color w:val="000000" w:themeColor="text1"/>
              <w:szCs w:val="22"/>
              <w14:textFill>
                <w14:solidFill>
                  <w14:schemeClr w14:val="tx1"/>
                </w14:solidFill>
              </w14:textFill>
            </w:rPr>
          </w:pPr>
          <w:r>
            <w:rPr>
              <w:rFonts w:ascii="宋体" w:hAnsi="宋体" w:cstheme="minorBidi"/>
              <w:bCs w:val="0"/>
              <w:color w:val="000000" w:themeColor="text1"/>
              <w:szCs w:val="22"/>
              <w14:textFill>
                <w14:solidFill>
                  <w14:schemeClr w14:val="tx1"/>
                </w14:solidFill>
              </w14:textFill>
            </w:rPr>
            <w:fldChar w:fldCharType="begin"/>
          </w:r>
          <w:r>
            <w:rPr>
              <w:rFonts w:hint="eastAsia" w:ascii="宋体" w:hAnsi="宋体" w:cstheme="minorBidi"/>
              <w:color w:val="000000" w:themeColor="text1"/>
              <w:szCs w:val="22"/>
              <w14:textFill>
                <w14:solidFill>
                  <w14:schemeClr w14:val="tx1"/>
                </w14:solidFill>
              </w14:textFill>
            </w:rPr>
            <w:instrText xml:space="preserve"> MACROBUTTON  SnrToggleCheckbox □适用 </w:instrText>
          </w:r>
          <w:r>
            <w:rPr>
              <w:rFonts w:ascii="宋体" w:hAnsi="宋体" w:cstheme="minorBidi"/>
              <w:bCs w:val="0"/>
              <w:color w:val="000000" w:themeColor="text1"/>
              <w:szCs w:val="22"/>
              <w14:textFill>
                <w14:solidFill>
                  <w14:schemeClr w14:val="tx1"/>
                </w14:solidFill>
              </w14:textFill>
            </w:rPr>
            <w:fldChar w:fldCharType="end"/>
          </w:r>
          <w:r>
            <w:rPr>
              <w:rFonts w:ascii="宋体" w:hAnsi="宋体" w:cstheme="minorBidi"/>
              <w:bCs w:val="0"/>
              <w:color w:val="000000" w:themeColor="text1"/>
              <w:szCs w:val="22"/>
              <w14:textFill>
                <w14:solidFill>
                  <w14:schemeClr w14:val="tx1"/>
                </w14:solidFill>
              </w14:textFill>
            </w:rPr>
            <w:fldChar w:fldCharType="begin"/>
          </w:r>
          <w:r>
            <w:rPr>
              <w:rFonts w:hint="eastAsia" w:ascii="宋体" w:hAnsi="宋体" w:cstheme="minorBidi"/>
              <w:color w:val="000000" w:themeColor="text1"/>
              <w:szCs w:val="22"/>
              <w14:textFill>
                <w14:solidFill>
                  <w14:schemeClr w14:val="tx1"/>
                </w14:solidFill>
              </w14:textFill>
            </w:rPr>
            <w:instrText xml:space="preserve"> MACROBUTTON  SnrToggleCheckbox √不适用 </w:instrText>
          </w:r>
          <w:r>
            <w:rPr>
              <w:rFonts w:ascii="宋体" w:hAnsi="宋体" w:cstheme="minorBidi"/>
              <w:bCs w:val="0"/>
              <w:color w:val="000000" w:themeColor="text1"/>
              <w:szCs w:val="22"/>
              <w14:textFill>
                <w14:solidFill>
                  <w14:schemeClr w14:val="tx1"/>
                </w14:solidFill>
              </w14:textFill>
            </w:rPr>
            <w:fldChar w:fldCharType="end"/>
          </w:r>
        </w:p>
      </w:sdtContent>
    </w:sdt>
    <w:p w14:paraId="47C3BBDC">
      <w:pPr>
        <w:rPr>
          <w:color w:val="000000" w:themeColor="text1"/>
          <w14:textFill>
            <w14:solidFill>
              <w14:schemeClr w14:val="tx1"/>
            </w14:solidFill>
          </w14:textFill>
        </w:rPr>
      </w:pPr>
    </w:p>
    <w:p w14:paraId="259A64DF">
      <w:pPr>
        <w:autoSpaceDE w:val="0"/>
        <w:autoSpaceDN w:val="0"/>
        <w:adjustRightInd w:val="0"/>
        <w:ind w:right="105" w:rightChars="50"/>
        <w:rPr>
          <w:color w:val="000000" w:themeColor="text1"/>
          <w14:textFill>
            <w14:solidFill>
              <w14:schemeClr w14:val="tx1"/>
            </w14:solidFill>
          </w14:textFill>
        </w:rPr>
      </w:pPr>
      <w:r>
        <w:rPr>
          <w:rFonts w:hint="eastAsia"/>
          <w:color w:val="000000" w:themeColor="text1"/>
          <w14:textFill>
            <w14:solidFill>
              <w14:schemeClr w14:val="tx1"/>
            </w14:solidFill>
          </w14:textFill>
        </w:rPr>
        <w:t>各阶段划分依据和坏账准备计提比例</w:t>
      </w:r>
    </w:p>
    <w:sdt>
      <w:sdtPr>
        <w:rPr>
          <w:rFonts w:cs="Times New Roman"/>
          <w:bCs w:val="0"/>
          <w:color w:val="000000" w:themeColor="text1"/>
          <w:szCs w:val="22"/>
          <w14:textFill>
            <w14:solidFill>
              <w14:schemeClr w14:val="tx1"/>
            </w14:solidFill>
          </w14:textFill>
        </w:rPr>
        <w:alias w:val="各阶段划分依据和坏账准备计提比例"/>
        <w:tag w:val="_GBC_ad44af7652e14ebaa2475a018590c7f5"/>
        <w:id w:val="900175359"/>
        <w:placeholder>
          <w:docPart w:val="GBC22222222222222222222222222222"/>
        </w:placeholder>
      </w:sdtPr>
      <w:sdtEndPr>
        <w:rPr>
          <w:rFonts w:cs="Times New Roman"/>
          <w:bCs w:val="0"/>
          <w:color w:val="000000" w:themeColor="text1"/>
          <w:szCs w:val="22"/>
          <w14:textFill>
            <w14:solidFill>
              <w14:schemeClr w14:val="tx1"/>
            </w14:solidFill>
          </w14:textFill>
        </w:rPr>
      </w:sdtEndPr>
      <w:sdtContent>
        <w:p w14:paraId="2F1C8E5D">
          <w:pPr>
            <w:rPr>
              <w:rFonts w:cs="Times New Roman"/>
              <w:bCs w:val="0"/>
              <w:color w:val="000000" w:themeColor="text1"/>
              <w:szCs w:val="22"/>
              <w14:textFill>
                <w14:solidFill>
                  <w14:schemeClr w14:val="tx1"/>
                </w14:solidFill>
              </w14:textFill>
            </w:rPr>
          </w:pPr>
          <w:r>
            <w:rPr>
              <w:rFonts w:hint="eastAsia" w:cs="Times New Roman"/>
              <w:bCs w:val="0"/>
              <w:color w:val="000000" w:themeColor="text1"/>
              <w:szCs w:val="22"/>
              <w14:textFill>
                <w14:solidFill>
                  <w14:schemeClr w14:val="tx1"/>
                </w14:solidFill>
              </w14:textFill>
            </w:rPr>
            <w:t>无</w:t>
          </w:r>
        </w:p>
      </w:sdtContent>
    </w:sdt>
    <w:p w14:paraId="758E46F8">
      <w:pPr>
        <w:rPr>
          <w:rFonts w:asciiTheme="minorHAnsi" w:hAnsiTheme="minorHAnsi" w:cstheme="minorBidi"/>
          <w:b/>
          <w:bCs w:val="0"/>
          <w:color w:val="000000" w:themeColor="text1"/>
          <w:szCs w:val="22"/>
          <w14:textFill>
            <w14:solidFill>
              <w14:schemeClr w14:val="tx1"/>
            </w14:solidFill>
          </w14:textFill>
        </w:rPr>
      </w:pPr>
    </w:p>
    <w:p w14:paraId="6E459958">
      <w:pPr>
        <w:pStyle w:val="72"/>
        <w:rPr>
          <w:color w:val="000000" w:themeColor="text1"/>
          <w14:textFill>
            <w14:solidFill>
              <w14:schemeClr w14:val="tx1"/>
            </w14:solidFill>
          </w14:textFill>
        </w:rPr>
      </w:pPr>
      <w:r>
        <w:rPr>
          <w:rFonts w:hint="eastAsia"/>
          <w:color w:val="000000" w:themeColor="text1"/>
          <w14:textFill>
            <w14:solidFill>
              <w14:schemeClr w14:val="tx1"/>
            </w14:solidFill>
          </w14:textFill>
        </w:rPr>
        <w:t>对本期发生损失准备变动的应收款项融资账面余额显著变动的情况说明：</w:t>
      </w:r>
    </w:p>
    <w:sdt>
      <w:sdtPr>
        <w:rPr>
          <w:color w:val="000000" w:themeColor="text1"/>
          <w14:textFill>
            <w14:solidFill>
              <w14:schemeClr w14:val="tx1"/>
            </w14:solidFill>
          </w14:textFill>
        </w:rPr>
        <w:alias w:val="是否适用：对本期发生损失准备变动的账面余额显著变动的情况说明[双击切换]"/>
        <w:tag w:val="_GBC_ae382171e73840ef92b5fb34fa844e9f"/>
        <w:id w:val="-1229454321"/>
        <w:placeholder>
          <w:docPart w:val="GBC22222222222222222222222222222"/>
        </w:placeholder>
      </w:sdtPr>
      <w:sdtEndPr>
        <w:rPr>
          <w:color w:val="000000" w:themeColor="text1"/>
          <w14:textFill>
            <w14:solidFill>
              <w14:schemeClr w14:val="tx1"/>
            </w14:solidFill>
          </w14:textFill>
        </w:rPr>
      </w:sdtEndPr>
      <w:sdtContent>
        <w:p w14:paraId="7079E6F5">
          <w:pPr>
            <w:autoSpaceDE w:val="0"/>
            <w:autoSpaceDN w:val="0"/>
            <w:adjustRightInd w:val="0"/>
            <w:ind w:right="105" w:rightChars="5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F9E41C3">
      <w:pPr>
        <w:rPr>
          <w:rFonts w:asciiTheme="minorHAnsi" w:hAnsiTheme="minorHAnsi" w:cstheme="minorBidi"/>
          <w:b/>
          <w:bCs w:val="0"/>
          <w:color w:val="000000" w:themeColor="text1"/>
          <w:szCs w:val="22"/>
          <w14:textFill>
            <w14:solidFill>
              <w14:schemeClr w14:val="tx1"/>
            </w14:solidFill>
          </w14:textFill>
        </w:rPr>
      </w:pPr>
    </w:p>
    <w:bookmarkEnd w:id="214"/>
    <w:bookmarkEnd w:id="215"/>
    <w:p w14:paraId="454D99F3">
      <w:pPr>
        <w:pStyle w:val="5"/>
        <w:numPr>
          <w:ilvl w:val="0"/>
          <w:numId w:val="57"/>
        </w:numPr>
        <w:tabs>
          <w:tab w:val="left" w:pos="360"/>
        </w:tabs>
        <w:ind w:left="0"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坏账准备的情况</w:t>
      </w:r>
    </w:p>
    <w:sdt>
      <w:sdtPr>
        <w:rPr>
          <w:color w:val="000000" w:themeColor="text1"/>
          <w14:textFill>
            <w14:solidFill>
              <w14:schemeClr w14:val="tx1"/>
            </w14:solidFill>
          </w14:textFill>
        </w:rPr>
        <w:alias w:val="是否适用：坏账准备情况[双击切换]"/>
        <w:tag w:val="_GBC_808e84ec9b034cfdb05b2cba07546530"/>
        <w:id w:val="519743360"/>
        <w:placeholder>
          <w:docPart w:val="GBC22222222222222222222222222222"/>
        </w:placeholder>
      </w:sdtPr>
      <w:sdtEndPr>
        <w:rPr>
          <w:color w:val="000000" w:themeColor="text1"/>
          <w14:textFill>
            <w14:solidFill>
              <w14:schemeClr w14:val="tx1"/>
            </w14:solidFill>
          </w14:textFill>
        </w:rPr>
      </w:sdtEndPr>
      <w:sdtContent>
        <w:p w14:paraId="7DFE5F9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57B69E9">
      <w:pPr>
        <w:rPr>
          <w:color w:val="000000" w:themeColor="text1"/>
          <w14:textFill>
            <w14:solidFill>
              <w14:schemeClr w14:val="tx1"/>
            </w14:solidFill>
          </w14:textFill>
        </w:rPr>
      </w:pPr>
    </w:p>
    <w:p w14:paraId="22A5A79B">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其中本期坏账准备收回或转回金额重要的：</w:t>
      </w:r>
    </w:p>
    <w:sdt>
      <w:sdtPr>
        <w:rPr>
          <w:color w:val="000000" w:themeColor="text1"/>
          <w14:textFill>
            <w14:solidFill>
              <w14:schemeClr w14:val="tx1"/>
            </w14:solidFill>
          </w14:textFill>
        </w:rPr>
        <w:alias w:val="是否适用：本期坏账准备收回或转回金额重要的[双击切换]"/>
        <w:tag w:val="_GBC_382a7c63c3664661a21baa08f6ba86a8"/>
        <w:id w:val="1653028242"/>
        <w:placeholder>
          <w:docPart w:val="GBC22222222222222222222222222222"/>
        </w:placeholder>
      </w:sdtPr>
      <w:sdtEndPr>
        <w:rPr>
          <w:color w:val="000000" w:themeColor="text1"/>
          <w14:textFill>
            <w14:solidFill>
              <w14:schemeClr w14:val="tx1"/>
            </w14:solidFill>
          </w14:textFill>
        </w:rPr>
      </w:sdtEndPr>
      <w:sdtContent>
        <w:p w14:paraId="2EB1D99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8F18B5E">
      <w:pPr>
        <w:rPr>
          <w:color w:val="000000" w:themeColor="text1"/>
          <w14:textFill>
            <w14:solidFill>
              <w14:schemeClr w14:val="tx1"/>
            </w14:solidFill>
          </w14:textFill>
        </w:rPr>
      </w:pPr>
    </w:p>
    <w:p w14:paraId="3C0AAE29">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坏账准备情况的说明"/>
        <w:tag w:val="_GBC_61ca0a7cb2a147fba52fe081c3ffe8b1"/>
        <w:id w:val="1199963450"/>
        <w:placeholder>
          <w:docPart w:val="GBC22222222222222222222222222222"/>
        </w:placeholder>
      </w:sdtPr>
      <w:sdtEndPr>
        <w:rPr>
          <w:color w:val="000000" w:themeColor="text1"/>
          <w14:textFill>
            <w14:solidFill>
              <w14:schemeClr w14:val="tx1"/>
            </w14:solidFill>
          </w14:textFill>
        </w:rPr>
      </w:sdtEndPr>
      <w:sdtContent>
        <w:p w14:paraId="00C81C76">
          <w:pPr>
            <w:ind w:right="42" w:rightChars="20"/>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17F88BE0">
      <w:pPr>
        <w:ind w:right="-1594" w:rightChars="-759"/>
        <w:rPr>
          <w:color w:val="000000" w:themeColor="text1"/>
          <w14:textFill>
            <w14:solidFill>
              <w14:schemeClr w14:val="tx1"/>
            </w14:solidFill>
          </w14:textFill>
        </w:rPr>
      </w:pPr>
    </w:p>
    <w:p w14:paraId="351ABBE9">
      <w:pPr>
        <w:pStyle w:val="5"/>
        <w:numPr>
          <w:ilvl w:val="0"/>
          <w:numId w:val="57"/>
        </w:numPr>
        <w:tabs>
          <w:tab w:val="left" w:pos="360"/>
        </w:tabs>
        <w:ind w:left="0" w:firstLine="0"/>
        <w:rPr>
          <w:color w:val="000000" w:themeColor="text1"/>
          <w14:textFill>
            <w14:solidFill>
              <w14:schemeClr w14:val="tx1"/>
            </w14:solidFill>
          </w14:textFill>
        </w:rPr>
      </w:pPr>
      <w:r>
        <w:rPr>
          <w:color w:val="000000" w:themeColor="text1"/>
          <w14:textFill>
            <w14:solidFill>
              <w14:schemeClr w14:val="tx1"/>
            </w14:solidFill>
          </w14:textFill>
        </w:rPr>
        <w:t>本期实际核销的应收款项融资情况</w:t>
      </w:r>
    </w:p>
    <w:sdt>
      <w:sdtPr>
        <w:rPr>
          <w:color w:val="000000" w:themeColor="text1"/>
          <w14:textFill>
            <w14:solidFill>
              <w14:schemeClr w14:val="tx1"/>
            </w14:solidFill>
          </w14:textFill>
        </w:rPr>
        <w:alias w:val="是否适用：实际核销的情况[双击切换]"/>
        <w:tag w:val="_GBC_a2d69dfc601543db9955bbac18a0162c"/>
        <w:id w:val="32316108"/>
        <w:placeholder>
          <w:docPart w:val="GBC22222222222222222222222222222"/>
        </w:placeholder>
      </w:sdtPr>
      <w:sdtEndPr>
        <w:rPr>
          <w:color w:val="000000" w:themeColor="text1"/>
          <w14:textFill>
            <w14:solidFill>
              <w14:schemeClr w14:val="tx1"/>
            </w14:solidFill>
          </w14:textFill>
        </w:rPr>
      </w:sdtEndPr>
      <w:sdtContent>
        <w:p w14:paraId="5892E5C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6C0EEED">
      <w:pPr>
        <w:rPr>
          <w:color w:val="000000" w:themeColor="text1"/>
          <w14:textFill>
            <w14:solidFill>
              <w14:schemeClr w14:val="tx1"/>
            </w14:solidFill>
          </w14:textFill>
        </w:rPr>
      </w:pPr>
    </w:p>
    <w:p w14:paraId="1685A40A">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其中重要的应收款项融资核销情况</w:t>
      </w:r>
    </w:p>
    <w:sdt>
      <w:sdtPr>
        <w:rPr>
          <w:rFonts w:hint="eastAsia"/>
          <w:color w:val="000000" w:themeColor="text1"/>
          <w14:textFill>
            <w14:solidFill>
              <w14:schemeClr w14:val="tx1"/>
            </w14:solidFill>
          </w14:textFill>
        </w:rPr>
        <w:alias w:val="是否适用：重要的核销情况[双击切换]"/>
        <w:tag w:val="_GBC_1b7bee0edc57444896650801ca80ffe4"/>
        <w:id w:val="1014731252"/>
        <w:placeholder>
          <w:docPart w:val="GBC22222222222222222222222222222"/>
        </w:placeholder>
      </w:sdtPr>
      <w:sdtEndPr>
        <w:rPr>
          <w:rFonts w:hint="eastAsia"/>
          <w:color w:val="000000" w:themeColor="text1"/>
          <w14:textFill>
            <w14:solidFill>
              <w14:schemeClr w14:val="tx1"/>
            </w14:solidFill>
          </w14:textFill>
        </w:rPr>
      </w:sdtEndPr>
      <w:sdtContent>
        <w:p w14:paraId="0C507B1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8EACB3B">
      <w:pPr>
        <w:rPr>
          <w:color w:val="000000" w:themeColor="text1"/>
          <w14:textFill>
            <w14:solidFill>
              <w14:schemeClr w14:val="tx1"/>
            </w14:solidFill>
          </w14:textFill>
        </w:rPr>
      </w:pPr>
    </w:p>
    <w:p w14:paraId="068E5B74">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核销说明：</w:t>
      </w:r>
    </w:p>
    <w:sdt>
      <w:sdtPr>
        <w:rPr>
          <w:color w:val="000000" w:themeColor="text1"/>
          <w14:textFill>
            <w14:solidFill>
              <w14:schemeClr w14:val="tx1"/>
            </w14:solidFill>
          </w14:textFill>
        </w:rPr>
        <w:alias w:val="是否适用：核销说明[双击切换]"/>
        <w:tag w:val="_GBC_488ea774dd4f4c1d882f56da574ad29c"/>
        <w:id w:val="1049654375"/>
        <w:placeholder>
          <w:docPart w:val="GBC22222222222222222222222222222"/>
        </w:placeholder>
      </w:sdtPr>
      <w:sdtEndPr>
        <w:rPr>
          <w:color w:val="000000" w:themeColor="text1"/>
          <w14:textFill>
            <w14:solidFill>
              <w14:schemeClr w14:val="tx1"/>
            </w14:solidFill>
          </w14:textFill>
        </w:rPr>
      </w:sdtEndPr>
      <w:sdtContent>
        <w:p w14:paraId="0D6FD23E">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5E14348">
      <w:pPr>
        <w:rPr>
          <w:color w:val="000000" w:themeColor="text1"/>
          <w14:textFill>
            <w14:solidFill>
              <w14:schemeClr w14:val="tx1"/>
            </w14:solidFill>
          </w14:textFill>
        </w:rPr>
      </w:pPr>
    </w:p>
    <w:p w14:paraId="7DDEE1D1">
      <w:pPr>
        <w:pStyle w:val="5"/>
        <w:numPr>
          <w:ilvl w:val="0"/>
          <w:numId w:val="57"/>
        </w:numPr>
        <w:tabs>
          <w:tab w:val="left" w:pos="360"/>
        </w:tabs>
        <w:ind w:left="0"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应收款项融资本期增减变动及公允价值变动情况</w:t>
      </w:r>
      <w:r>
        <w:rPr>
          <w:color w:val="000000" w:themeColor="text1"/>
          <w14:textFill>
            <w14:solidFill>
              <w14:schemeClr w14:val="tx1"/>
            </w14:solidFill>
          </w14:textFill>
        </w:rPr>
        <w:t>：</w:t>
      </w:r>
    </w:p>
    <w:sdt>
      <w:sdtPr>
        <w:rPr>
          <w:rFonts w:hint="eastAsia"/>
          <w:color w:val="000000" w:themeColor="text1"/>
          <w14:textFill>
            <w14:solidFill>
              <w14:schemeClr w14:val="tx1"/>
            </w14:solidFill>
          </w14:textFill>
        </w:rPr>
        <w:alias w:val="是否适用：应收款项融资本期增减变动及公允价值变动情况[双击切换]"/>
        <w:tag w:val="_GBC_229d012533ea43b7b63c184aa0b161d0"/>
        <w:id w:val="-2074802306"/>
        <w:placeholder>
          <w:docPart w:val="GBC22222222222222222222222222222"/>
        </w:placeholder>
      </w:sdtPr>
      <w:sdtEndPr>
        <w:rPr>
          <w:rFonts w:hint="eastAsia"/>
          <w:color w:val="000000" w:themeColor="text1"/>
          <w14:textFill>
            <w14:solidFill>
              <w14:schemeClr w14:val="tx1"/>
            </w14:solidFill>
          </w14:textFill>
        </w:rPr>
      </w:sdtEndPr>
      <w:sdtContent>
        <w:p w14:paraId="4C0BE6F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FA8D630">
      <w:pPr>
        <w:rPr>
          <w:color w:val="000000" w:themeColor="text1"/>
          <w14:textFill>
            <w14:solidFill>
              <w14:schemeClr w14:val="tx1"/>
            </w14:solidFill>
          </w14:textFill>
        </w:rPr>
      </w:pPr>
    </w:p>
    <w:bookmarkEnd w:id="210"/>
    <w:bookmarkEnd w:id="212"/>
    <w:bookmarkEnd w:id="213"/>
    <w:p w14:paraId="0B2DF9AF">
      <w:pPr>
        <w:pStyle w:val="5"/>
        <w:numPr>
          <w:ilvl w:val="0"/>
          <w:numId w:val="57"/>
        </w:numPr>
        <w:tabs>
          <w:tab w:val="left" w:pos="360"/>
        </w:tabs>
        <w:ind w:left="0"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r>
        <w:rPr>
          <w:color w:val="000000" w:themeColor="text1"/>
          <w14:textFill>
            <w14:solidFill>
              <w14:schemeClr w14:val="tx1"/>
            </w14:solidFill>
          </w14:textFill>
        </w:rPr>
        <w:t>说明</w:t>
      </w:r>
      <w:r>
        <w:rPr>
          <w:rFonts w:hint="eastAsia"/>
          <w:color w:val="000000" w:themeColor="text1"/>
          <w14:textFill>
            <w14:solidFill>
              <w14:schemeClr w14:val="tx1"/>
            </w14:solidFill>
          </w14:textFill>
        </w:rPr>
        <w:t>：</w:t>
      </w:r>
    </w:p>
    <w:sdt>
      <w:sdtPr>
        <w:rPr>
          <w:rFonts w:hint="eastAsia"/>
          <w:color w:val="000000" w:themeColor="text1"/>
          <w14:textFill>
            <w14:solidFill>
              <w14:schemeClr w14:val="tx1"/>
            </w14:solidFill>
          </w14:textFill>
        </w:rPr>
        <w:alias w:val="是否适用：应收款项融资其他说明[双击切换]"/>
        <w:tag w:val="_GBC_f2fd5be9d56145ea8eaacde595a4b245"/>
        <w:id w:val="-599250578"/>
        <w:placeholder>
          <w:docPart w:val="GBC22222222222222222222222222222"/>
        </w:placeholder>
      </w:sdtPr>
      <w:sdtEndPr>
        <w:rPr>
          <w:rFonts w:hint="eastAsia"/>
          <w:color w:val="000000" w:themeColor="text1"/>
          <w14:textFill>
            <w14:solidFill>
              <w14:schemeClr w14:val="tx1"/>
            </w14:solidFill>
          </w14:textFill>
        </w:rPr>
      </w:sdtEndPr>
      <w:sdtContent>
        <w:p w14:paraId="3F0C15DC">
          <w:pPr>
            <w:rPr>
              <w:color w:val="000000" w:themeColor="text1"/>
              <w14:textFill>
                <w14:solidFill>
                  <w14:schemeClr w14:val="tx1"/>
                </w14:solidFill>
              </w14:textFill>
            </w:rPr>
          </w:pPr>
          <w:bookmarkStart w:id="216" w:name="_Hlk13057390"/>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216"/>
    <w:p w14:paraId="4DAF6EDD">
      <w:pPr>
        <w:rPr>
          <w:color w:val="000000" w:themeColor="text1"/>
          <w14:textFill>
            <w14:solidFill>
              <w14:schemeClr w14:val="tx1"/>
            </w14:solidFill>
          </w14:textFill>
        </w:rPr>
      </w:pPr>
    </w:p>
    <w:bookmarkEnd w:id="211"/>
    <w:p w14:paraId="5E3CFB3C">
      <w:pPr>
        <w:pStyle w:val="4"/>
        <w:numPr>
          <w:ilvl w:val="0"/>
          <w:numId w:val="53"/>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预付款项</w:t>
      </w:r>
    </w:p>
    <w:p w14:paraId="647F1CAA">
      <w:pPr>
        <w:pStyle w:val="5"/>
        <w:numPr>
          <w:ilvl w:val="0"/>
          <w:numId w:val="58"/>
        </w:numPr>
        <w:tabs>
          <w:tab w:val="left" w:pos="616"/>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预付款项按账龄列示</w:t>
      </w:r>
    </w:p>
    <w:sdt>
      <w:sdtPr>
        <w:rPr>
          <w:color w:val="000000" w:themeColor="text1"/>
          <w14:textFill>
            <w14:solidFill>
              <w14:schemeClr w14:val="tx1"/>
            </w14:solidFill>
          </w14:textFill>
        </w:rPr>
        <w:alias w:val="是否适用：预付款项按账龄列示[双击切换]"/>
        <w:tag w:val="_GBC_af3b3e24767e48f7a70a5cfa609407a2"/>
        <w:id w:val="2014185267"/>
        <w:placeholder>
          <w:docPart w:val="GBC22222222222222222222222222222"/>
        </w:placeholder>
      </w:sdtPr>
      <w:sdtEndPr>
        <w:rPr>
          <w:color w:val="000000" w:themeColor="text1"/>
          <w14:textFill>
            <w14:solidFill>
              <w14:schemeClr w14:val="tx1"/>
            </w14:solidFill>
          </w14:textFill>
        </w:rPr>
      </w:sdtEndPr>
      <w:sdtContent>
        <w:p w14:paraId="7B7B86D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CF1B5B5">
      <w:pPr>
        <w:jc w:val="right"/>
        <w:rPr>
          <w:b/>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预付账款账龄"/>
          <w:tag w:val="_GBC_9eb28bbf7d374cdf965c7e133b610fb3"/>
          <w:id w:val="185414188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预付账款账龄"/>
          <w:tag w:val="_GBC_d491347f74764df5af3312ad7a0a92e5"/>
          <w:id w:val="9189863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1" w:type="dxa"/>
          <w:bottom w:w="0" w:type="dxa"/>
          <w:right w:w="31" w:type="dxa"/>
        </w:tblCellMar>
      </w:tblPr>
      <w:tblGrid>
        <w:gridCol w:w="1348"/>
        <w:gridCol w:w="1876"/>
        <w:gridCol w:w="1862"/>
        <w:gridCol w:w="1860"/>
        <w:gridCol w:w="1877"/>
      </w:tblGrid>
      <w:tr w14:paraId="6574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Height w:val="237" w:hRule="atLeast"/>
        </w:trPr>
        <w:sdt>
          <w:sdtPr>
            <w:tag w:val="_PLD_159a64f22a4a4b1ab31846b4d6034c4c"/>
            <w:id w:val="1059902305"/>
          </w:sdtPr>
          <w:sdtContent>
            <w:tc>
              <w:tcPr>
                <w:tcW w:w="764" w:type="pct"/>
                <w:vMerge w:val="restart"/>
                <w:vAlign w:val="center"/>
              </w:tcPr>
              <w:p w14:paraId="6FD4D07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账龄</w:t>
                </w:r>
              </w:p>
            </w:tc>
          </w:sdtContent>
        </w:sdt>
        <w:sdt>
          <w:sdtPr>
            <w:tag w:val="_PLD_6ca82cba92a649d08c6ceb86dd951ef3"/>
            <w:id w:val="-1567022052"/>
          </w:sdtPr>
          <w:sdtContent>
            <w:tc>
              <w:tcPr>
                <w:tcW w:w="2118" w:type="pct"/>
                <w:gridSpan w:val="2"/>
                <w:vAlign w:val="center"/>
              </w:tcPr>
              <w:p w14:paraId="524E852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365dab2f8fd246d79543ed0d2e6dcab7"/>
            <w:id w:val="-1860494365"/>
          </w:sdtPr>
          <w:sdtContent>
            <w:tc>
              <w:tcPr>
                <w:tcW w:w="2117" w:type="pct"/>
                <w:gridSpan w:val="2"/>
                <w:vAlign w:val="center"/>
              </w:tcPr>
              <w:p w14:paraId="29560E7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632A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764" w:type="pct"/>
            <w:vMerge w:val="continue"/>
          </w:tcPr>
          <w:p w14:paraId="4F164852">
            <w:pPr>
              <w:rPr>
                <w:color w:val="000000" w:themeColor="text1"/>
                <w14:textFill>
                  <w14:solidFill>
                    <w14:schemeClr w14:val="tx1"/>
                  </w14:solidFill>
                </w14:textFill>
              </w:rPr>
            </w:pPr>
          </w:p>
        </w:tc>
        <w:sdt>
          <w:sdtPr>
            <w:tag w:val="_PLD_a9d7b721cfa446e9ae31149380da5970"/>
            <w:id w:val="301584344"/>
          </w:sdtPr>
          <w:sdtContent>
            <w:tc>
              <w:tcPr>
                <w:tcW w:w="1063" w:type="pct"/>
                <w:vAlign w:val="center"/>
              </w:tcPr>
              <w:p w14:paraId="24E144D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金额</w:t>
                </w:r>
              </w:p>
            </w:tc>
          </w:sdtContent>
        </w:sdt>
        <w:sdt>
          <w:sdtPr>
            <w:tag w:val="_PLD_2d8b8f523dcd4c95815b7c8fd528129d"/>
            <w:id w:val="-392510414"/>
          </w:sdtPr>
          <w:sdtContent>
            <w:tc>
              <w:tcPr>
                <w:tcW w:w="1055" w:type="pct"/>
                <w:vAlign w:val="center"/>
              </w:tcPr>
              <w:p w14:paraId="71199CE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比例</w:t>
                </w:r>
                <w:r>
                  <w:rPr>
                    <w:color w:val="000000" w:themeColor="text1"/>
                    <w14:textFill>
                      <w14:solidFill>
                        <w14:schemeClr w14:val="tx1"/>
                      </w14:solidFill>
                    </w14:textFill>
                  </w:rPr>
                  <w:t>(%)</w:t>
                </w:r>
              </w:p>
            </w:tc>
          </w:sdtContent>
        </w:sdt>
        <w:sdt>
          <w:sdtPr>
            <w:tag w:val="_PLD_f01816a56b3f4ec1a7d603d3ac318eb1"/>
            <w:id w:val="697819329"/>
          </w:sdtPr>
          <w:sdtContent>
            <w:tc>
              <w:tcPr>
                <w:tcW w:w="1054" w:type="pct"/>
                <w:vAlign w:val="center"/>
              </w:tcPr>
              <w:p w14:paraId="7EA6273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金额</w:t>
                </w:r>
              </w:p>
            </w:tc>
          </w:sdtContent>
        </w:sdt>
        <w:sdt>
          <w:sdtPr>
            <w:tag w:val="_PLD_55adcab5f9be4d24b3d0faaf5403e89a"/>
            <w:id w:val="-983849286"/>
          </w:sdtPr>
          <w:sdtContent>
            <w:tc>
              <w:tcPr>
                <w:tcW w:w="1063" w:type="pct"/>
                <w:vAlign w:val="center"/>
              </w:tcPr>
              <w:p w14:paraId="473BFB7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比例</w:t>
                </w:r>
                <w:r>
                  <w:rPr>
                    <w:color w:val="000000" w:themeColor="text1"/>
                    <w14:textFill>
                      <w14:solidFill>
                        <w14:schemeClr w14:val="tx1"/>
                      </w14:solidFill>
                    </w14:textFill>
                  </w:rPr>
                  <w:t>(%)</w:t>
                </w:r>
              </w:p>
            </w:tc>
          </w:sdtContent>
        </w:sdt>
      </w:tr>
      <w:tr w14:paraId="7860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764" w:type="pct"/>
          </w:tcPr>
          <w:p w14:paraId="5E1D2038">
            <w:pPr>
              <w:rPr>
                <w:color w:val="000000" w:themeColor="text1"/>
                <w14:textFill>
                  <w14:solidFill>
                    <w14:schemeClr w14:val="tx1"/>
                  </w14:solidFill>
                </w14:textFill>
              </w:rPr>
            </w:pPr>
            <w:r>
              <w:rPr>
                <w:rFonts w:hint="eastAsia"/>
                <w:color w:val="000000" w:themeColor="text1"/>
                <w14:textFill>
                  <w14:solidFill>
                    <w14:schemeClr w14:val="tx1"/>
                  </w14:solidFill>
                </w14:textFill>
              </w:rPr>
              <w:t>1年以内</w:t>
            </w:r>
          </w:p>
        </w:tc>
        <w:tc>
          <w:tcPr>
            <w:tcW w:w="1063" w:type="pct"/>
          </w:tcPr>
          <w:p w14:paraId="1E69F736">
            <w:pPr>
              <w:jc w:val="right"/>
            </w:pPr>
            <w:r>
              <w:t>13,048,673.95</w:t>
            </w:r>
          </w:p>
        </w:tc>
        <w:tc>
          <w:tcPr>
            <w:tcW w:w="1055" w:type="pct"/>
          </w:tcPr>
          <w:p w14:paraId="623D978D">
            <w:pPr>
              <w:jc w:val="right"/>
            </w:pPr>
            <w:r>
              <w:rPr>
                <w:rFonts w:hint="eastAsia"/>
              </w:rPr>
              <w:t>93.11</w:t>
            </w:r>
          </w:p>
        </w:tc>
        <w:tc>
          <w:tcPr>
            <w:tcW w:w="1054" w:type="pct"/>
          </w:tcPr>
          <w:p w14:paraId="6FEBDA41">
            <w:pPr>
              <w:jc w:val="right"/>
            </w:pPr>
            <w:r>
              <w:t>7,125,428.88</w:t>
            </w:r>
          </w:p>
        </w:tc>
        <w:tc>
          <w:tcPr>
            <w:tcW w:w="1063" w:type="pct"/>
          </w:tcPr>
          <w:p w14:paraId="4620EE3E">
            <w:pPr>
              <w:jc w:val="right"/>
            </w:pPr>
            <w:r>
              <w:rPr>
                <w:rFonts w:hint="eastAsia"/>
              </w:rPr>
              <w:t>93.87</w:t>
            </w:r>
          </w:p>
        </w:tc>
      </w:tr>
      <w:tr w14:paraId="5DD4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764" w:type="pct"/>
          </w:tcPr>
          <w:p w14:paraId="2CEC3503">
            <w:pPr>
              <w:rPr>
                <w:color w:val="000000" w:themeColor="text1"/>
                <w14:textFill>
                  <w14:solidFill>
                    <w14:schemeClr w14:val="tx1"/>
                  </w14:solidFill>
                </w14:textFill>
              </w:rPr>
            </w:pPr>
            <w:r>
              <w:rPr>
                <w:rFonts w:hint="eastAsia"/>
                <w:color w:val="000000" w:themeColor="text1"/>
                <w14:textFill>
                  <w14:solidFill>
                    <w14:schemeClr w14:val="tx1"/>
                  </w14:solidFill>
                </w14:textFill>
              </w:rPr>
              <w:t>1至2年</w:t>
            </w:r>
          </w:p>
        </w:tc>
        <w:tc>
          <w:tcPr>
            <w:tcW w:w="1063" w:type="pct"/>
          </w:tcPr>
          <w:p w14:paraId="7CBA725A">
            <w:pPr>
              <w:jc w:val="right"/>
            </w:pPr>
            <w:r>
              <w:t>834,409.30</w:t>
            </w:r>
          </w:p>
        </w:tc>
        <w:tc>
          <w:tcPr>
            <w:tcW w:w="1055" w:type="pct"/>
          </w:tcPr>
          <w:p w14:paraId="17C1E4BA">
            <w:pPr>
              <w:jc w:val="right"/>
            </w:pPr>
            <w:r>
              <w:rPr>
                <w:rFonts w:hint="eastAsia"/>
              </w:rPr>
              <w:t>5.95</w:t>
            </w:r>
          </w:p>
        </w:tc>
        <w:tc>
          <w:tcPr>
            <w:tcW w:w="1054" w:type="pct"/>
          </w:tcPr>
          <w:p w14:paraId="04707B21">
            <w:pPr>
              <w:jc w:val="right"/>
            </w:pPr>
            <w:r>
              <w:t>400,668.31</w:t>
            </w:r>
          </w:p>
        </w:tc>
        <w:tc>
          <w:tcPr>
            <w:tcW w:w="1063" w:type="pct"/>
          </w:tcPr>
          <w:p w14:paraId="6A30665F">
            <w:pPr>
              <w:jc w:val="right"/>
            </w:pPr>
            <w:r>
              <w:rPr>
                <w:rFonts w:hint="eastAsia"/>
              </w:rPr>
              <w:t>5.28</w:t>
            </w:r>
          </w:p>
        </w:tc>
      </w:tr>
      <w:tr w14:paraId="34A7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764" w:type="pct"/>
          </w:tcPr>
          <w:p w14:paraId="2FA8952D">
            <w:pPr>
              <w:rPr>
                <w:color w:val="000000" w:themeColor="text1"/>
                <w14:textFill>
                  <w14:solidFill>
                    <w14:schemeClr w14:val="tx1"/>
                  </w14:solidFill>
                </w14:textFill>
              </w:rPr>
            </w:pPr>
            <w:r>
              <w:rPr>
                <w:rFonts w:hint="eastAsia"/>
                <w:color w:val="000000" w:themeColor="text1"/>
                <w14:textFill>
                  <w14:solidFill>
                    <w14:schemeClr w14:val="tx1"/>
                  </w14:solidFill>
                </w14:textFill>
              </w:rPr>
              <w:t>2至3年</w:t>
            </w:r>
          </w:p>
        </w:tc>
        <w:tc>
          <w:tcPr>
            <w:tcW w:w="1063" w:type="pct"/>
          </w:tcPr>
          <w:p w14:paraId="716FBA62">
            <w:pPr>
              <w:jc w:val="right"/>
            </w:pPr>
            <w:r>
              <w:rPr>
                <w:rFonts w:hint="eastAsia"/>
              </w:rPr>
              <w:t>950.00</w:t>
            </w:r>
          </w:p>
        </w:tc>
        <w:tc>
          <w:tcPr>
            <w:tcW w:w="1055" w:type="pct"/>
          </w:tcPr>
          <w:p w14:paraId="664E360A">
            <w:pPr>
              <w:jc w:val="right"/>
            </w:pPr>
            <w:r>
              <w:rPr>
                <w:rFonts w:hint="eastAsia"/>
              </w:rPr>
              <w:t>0.01</w:t>
            </w:r>
          </w:p>
        </w:tc>
        <w:tc>
          <w:tcPr>
            <w:tcW w:w="1054" w:type="pct"/>
          </w:tcPr>
          <w:p w14:paraId="617C01F6">
            <w:pPr>
              <w:jc w:val="right"/>
            </w:pPr>
            <w:r>
              <w:t>21,980</w:t>
            </w:r>
            <w:r>
              <w:rPr>
                <w:rFonts w:hint="eastAsia"/>
              </w:rPr>
              <w:t>.00</w:t>
            </w:r>
          </w:p>
        </w:tc>
        <w:tc>
          <w:tcPr>
            <w:tcW w:w="1063" w:type="pct"/>
          </w:tcPr>
          <w:p w14:paraId="6D641C85">
            <w:pPr>
              <w:jc w:val="right"/>
            </w:pPr>
            <w:r>
              <w:rPr>
                <w:rFonts w:hint="eastAsia"/>
              </w:rPr>
              <w:t>0.29</w:t>
            </w:r>
          </w:p>
        </w:tc>
      </w:tr>
      <w:tr w14:paraId="2114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764" w:type="pct"/>
          </w:tcPr>
          <w:p w14:paraId="0966756E">
            <w:pPr>
              <w:rPr>
                <w:color w:val="000000" w:themeColor="text1"/>
                <w14:textFill>
                  <w14:solidFill>
                    <w14:schemeClr w14:val="tx1"/>
                  </w14:solidFill>
                </w14:textFill>
              </w:rPr>
            </w:pPr>
            <w:r>
              <w:rPr>
                <w:rFonts w:hint="eastAsia"/>
                <w:color w:val="000000" w:themeColor="text1"/>
                <w14:textFill>
                  <w14:solidFill>
                    <w14:schemeClr w14:val="tx1"/>
                  </w14:solidFill>
                </w14:textFill>
              </w:rPr>
              <w:t>3年以上</w:t>
            </w:r>
          </w:p>
        </w:tc>
        <w:tc>
          <w:tcPr>
            <w:tcW w:w="1063" w:type="pct"/>
          </w:tcPr>
          <w:p w14:paraId="3AB3AF04">
            <w:pPr>
              <w:jc w:val="right"/>
            </w:pPr>
            <w:r>
              <w:t>130,313.90</w:t>
            </w:r>
          </w:p>
        </w:tc>
        <w:tc>
          <w:tcPr>
            <w:tcW w:w="1055" w:type="pct"/>
          </w:tcPr>
          <w:p w14:paraId="1A4DECD2">
            <w:pPr>
              <w:jc w:val="right"/>
            </w:pPr>
            <w:r>
              <w:rPr>
                <w:rFonts w:hint="eastAsia"/>
              </w:rPr>
              <w:t>0.93</w:t>
            </w:r>
          </w:p>
        </w:tc>
        <w:tc>
          <w:tcPr>
            <w:tcW w:w="1054" w:type="pct"/>
          </w:tcPr>
          <w:p w14:paraId="3A82E8E4">
            <w:pPr>
              <w:jc w:val="right"/>
            </w:pPr>
            <w:r>
              <w:t>42,489.20</w:t>
            </w:r>
          </w:p>
        </w:tc>
        <w:tc>
          <w:tcPr>
            <w:tcW w:w="1063" w:type="pct"/>
          </w:tcPr>
          <w:p w14:paraId="4B2D39EF">
            <w:pPr>
              <w:jc w:val="right"/>
            </w:pPr>
            <w:r>
              <w:rPr>
                <w:rFonts w:hint="eastAsia"/>
              </w:rPr>
              <w:t>0.56</w:t>
            </w:r>
          </w:p>
        </w:tc>
      </w:tr>
      <w:tr w14:paraId="428F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764" w:type="pct"/>
          </w:tcPr>
          <w:p w14:paraId="6BCC1AF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063" w:type="pct"/>
          </w:tcPr>
          <w:p w14:paraId="1032F6C8">
            <w:pPr>
              <w:jc w:val="right"/>
            </w:pPr>
            <w:r>
              <w:t>14,014,347.15</w:t>
            </w:r>
          </w:p>
        </w:tc>
        <w:tc>
          <w:tcPr>
            <w:tcW w:w="1055" w:type="pct"/>
          </w:tcPr>
          <w:p w14:paraId="0E321F1E">
            <w:pPr>
              <w:jc w:val="right"/>
            </w:pPr>
            <w:r>
              <w:rPr>
                <w:rFonts w:hint="eastAsia"/>
              </w:rPr>
              <w:t>100.00</w:t>
            </w:r>
          </w:p>
        </w:tc>
        <w:tc>
          <w:tcPr>
            <w:tcW w:w="1054" w:type="pct"/>
          </w:tcPr>
          <w:p w14:paraId="33E067D0">
            <w:pPr>
              <w:jc w:val="right"/>
            </w:pPr>
            <w:r>
              <w:t>7,590,566.39</w:t>
            </w:r>
          </w:p>
        </w:tc>
        <w:tc>
          <w:tcPr>
            <w:tcW w:w="1063" w:type="pct"/>
          </w:tcPr>
          <w:p w14:paraId="42FB6CF4">
            <w:pPr>
              <w:jc w:val="right"/>
            </w:pPr>
            <w:r>
              <w:rPr>
                <w:rFonts w:hint="eastAsia"/>
              </w:rPr>
              <w:t>100.00</w:t>
            </w:r>
          </w:p>
        </w:tc>
      </w:tr>
    </w:tbl>
    <w:p w14:paraId="1E6DD1C7">
      <w:pPr>
        <w:rPr>
          <w:color w:val="000000" w:themeColor="text1"/>
          <w14:textFill>
            <w14:solidFill>
              <w14:schemeClr w14:val="tx1"/>
            </w14:solidFill>
          </w14:textFill>
        </w:rPr>
      </w:pPr>
      <w:r>
        <w:rPr>
          <w:rFonts w:hint="eastAsia"/>
          <w:color w:val="000000" w:themeColor="text1"/>
          <w14:textFill>
            <w14:solidFill>
              <w14:schemeClr w14:val="tx1"/>
            </w14:solidFill>
          </w14:textFill>
        </w:rPr>
        <w:t>账龄超过1年且金额重要的预付款项未及时结算原因</w:t>
      </w:r>
      <w:r>
        <w:rPr>
          <w:color w:val="000000" w:themeColor="text1"/>
          <w14:textFill>
            <w14:solidFill>
              <w14:schemeClr w14:val="tx1"/>
            </w14:solidFill>
          </w14:textFill>
        </w:rPr>
        <w:t>的说明：</w:t>
      </w:r>
    </w:p>
    <w:sdt>
      <w:sdtPr>
        <w:rPr>
          <w:color w:val="000000" w:themeColor="text1"/>
          <w14:textFill>
            <w14:solidFill>
              <w14:schemeClr w14:val="tx1"/>
            </w14:solidFill>
          </w14:textFill>
        </w:rPr>
        <w:alias w:val="账龄超过1年且金额重要的预付款项未及时结算原因的说明"/>
        <w:tag w:val="_GBC_174a9654172e49e09cdbf18d854fdd51"/>
        <w:id w:val="-1597084845"/>
        <w:placeholder>
          <w:docPart w:val="GBC22222222222222222222222222222"/>
        </w:placeholder>
      </w:sdtPr>
      <w:sdtEndPr>
        <w:rPr>
          <w:color w:val="000000" w:themeColor="text1"/>
          <w14:textFill>
            <w14:solidFill>
              <w14:schemeClr w14:val="tx1"/>
            </w14:solidFill>
          </w14:textFill>
        </w:rPr>
      </w:sdtEndPr>
      <w:sdtContent>
        <w:p w14:paraId="76157C48">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314DD0D1">
      <w:pPr>
        <w:rPr>
          <w:color w:val="000000" w:themeColor="text1"/>
          <w14:textFill>
            <w14:solidFill>
              <w14:schemeClr w14:val="tx1"/>
            </w14:solidFill>
          </w14:textFill>
        </w:rPr>
      </w:pPr>
    </w:p>
    <w:p w14:paraId="1150A2BE">
      <w:pPr>
        <w:pStyle w:val="5"/>
        <w:numPr>
          <w:ilvl w:val="0"/>
          <w:numId w:val="58"/>
        </w:numPr>
        <w:tabs>
          <w:tab w:val="left" w:pos="616"/>
        </w:tabs>
        <w:snapToGrid w:val="0"/>
        <w:spacing w:line="240" w:lineRule="atLeast"/>
        <w:jc w:val="left"/>
        <w:rPr>
          <w:rFonts w:hint="eastAsia" w:ascii="宋体" w:hAnsi="宋体"/>
          <w:color w:val="000000" w:themeColor="text1"/>
          <w:szCs w:val="21"/>
          <w14:textFill>
            <w14:solidFill>
              <w14:schemeClr w14:val="tx1"/>
            </w14:solidFill>
          </w14:textFill>
        </w:rPr>
      </w:pPr>
      <w:bookmarkStart w:id="217" w:name="_Hlk199853551"/>
      <w:r>
        <w:rPr>
          <w:rFonts w:hint="eastAsia" w:ascii="宋体" w:hAnsi="宋体"/>
          <w:color w:val="000000" w:themeColor="text1"/>
          <w14:textFill>
            <w14:solidFill>
              <w14:schemeClr w14:val="tx1"/>
            </w14:solidFill>
          </w14:textFill>
        </w:rPr>
        <w:t>按预付对象归集的期末余额前五名的预付款情况</w:t>
      </w:r>
    </w:p>
    <w:sdt>
      <w:sdtPr>
        <w:rPr>
          <w:rFonts w:hint="eastAsia"/>
          <w:color w:val="000000" w:themeColor="text1"/>
          <w14:textFill>
            <w14:solidFill>
              <w14:schemeClr w14:val="tx1"/>
            </w14:solidFill>
          </w14:textFill>
        </w:rPr>
        <w:alias w:val="是否适用：按预付对象归集的期末余额前五名的预付款情况[双击切换]"/>
        <w:tag w:val="_GBC_a1864f04af6d49bdb434d74a7f29f8c3"/>
        <w:id w:val="-1607498031"/>
        <w:placeholder>
          <w:docPart w:val="GBC22222222222222222222222222222"/>
        </w:placeholder>
      </w:sdtPr>
      <w:sdtEndPr>
        <w:rPr>
          <w:rFonts w:hint="eastAsia"/>
          <w:color w:val="000000" w:themeColor="text1"/>
          <w14:textFill>
            <w14:solidFill>
              <w14:schemeClr w14:val="tx1"/>
            </w14:solidFill>
          </w14:textFill>
        </w:rPr>
      </w:sdtEndPr>
      <w:sdtContent>
        <w:p w14:paraId="5D800B11">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4358649">
      <w:pPr>
        <w:snapToGrid w:val="0"/>
        <w:spacing w:line="240" w:lineRule="atLeast"/>
        <w:jc w:val="right"/>
      </w:pPr>
      <w:r>
        <w:rPr>
          <w:rFonts w:hint="eastAsia"/>
        </w:rPr>
        <w:t>单位：</w:t>
      </w:r>
      <w:sdt>
        <w:sdtPr>
          <w:rPr>
            <w:rFonts w:hint="eastAsia"/>
          </w:rPr>
          <w:alias w:val="单位：按预付对象归集的期末余额前五名的预付款情况"/>
          <w:tag w:val="_GBC_60474912a059478aa7a052f29a7878f6"/>
          <w:id w:val="140232608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元</w:t>
          </w:r>
        </w:sdtContent>
      </w:sdt>
      <w:r>
        <w:rPr>
          <w:rFonts w:hint="eastAsia"/>
        </w:rPr>
        <w:t xml:space="preserve"> 币种：</w:t>
      </w:r>
      <w:sdt>
        <w:sdtPr>
          <w:rPr>
            <w:rFonts w:hint="eastAsia"/>
          </w:rPr>
          <w:alias w:val="币种：按预付对象归集的期末余额前五名的预付款情况"/>
          <w:tag w:val="_GBC_bd430b918c86452ca29c59c0866e9f4e"/>
          <w:id w:val="39564299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7"/>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6"/>
        <w:gridCol w:w="2938"/>
        <w:gridCol w:w="2938"/>
      </w:tblGrid>
      <w:tr w14:paraId="1D05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d1820e97fc2b412296b96c0151dea923"/>
            <w:id w:val="-272477795"/>
          </w:sdtPr>
          <w:sdtContent>
            <w:tc>
              <w:tcPr>
                <w:tcW w:w="1666" w:type="pct"/>
                <w:vAlign w:val="center"/>
              </w:tcPr>
              <w:p w14:paraId="646D62B4">
                <w:pPr>
                  <w:ind w:right="105"/>
                  <w:jc w:val="center"/>
                </w:pPr>
                <w:r>
                  <w:rPr>
                    <w:rFonts w:hint="eastAsia"/>
                  </w:rPr>
                  <w:t>单位名称</w:t>
                </w:r>
              </w:p>
            </w:tc>
          </w:sdtContent>
        </w:sdt>
        <w:sdt>
          <w:sdtPr>
            <w:tag w:val="_PLD_ea2392e4fefe4be5b353e22520ae4d4e"/>
            <w:id w:val="1241295065"/>
          </w:sdtPr>
          <w:sdtContent>
            <w:tc>
              <w:tcPr>
                <w:tcW w:w="1667" w:type="pct"/>
                <w:vAlign w:val="center"/>
              </w:tcPr>
              <w:p w14:paraId="53707878">
                <w:pPr>
                  <w:ind w:right="73"/>
                  <w:jc w:val="center"/>
                </w:pPr>
                <w:r>
                  <w:rPr>
                    <w:rFonts w:hint="eastAsia"/>
                  </w:rPr>
                  <w:t>期末余额</w:t>
                </w:r>
              </w:p>
            </w:tc>
          </w:sdtContent>
        </w:sdt>
        <w:sdt>
          <w:sdtPr>
            <w:tag w:val="_PLD_0c082a2df5b041d9ab1489c29022c66c"/>
            <w:id w:val="-196090959"/>
          </w:sdtPr>
          <w:sdtContent>
            <w:tc>
              <w:tcPr>
                <w:tcW w:w="1667" w:type="pct"/>
                <w:vAlign w:val="center"/>
              </w:tcPr>
              <w:p w14:paraId="1CCA6EB6">
                <w:pPr>
                  <w:jc w:val="center"/>
                </w:pPr>
                <w:r>
                  <w:rPr>
                    <w:rFonts w:hint="eastAsia"/>
                  </w:rPr>
                  <w:t>占预付款项期末余额合计数的比例(</w:t>
                </w:r>
                <w:r>
                  <w:t>%)</w:t>
                </w:r>
              </w:p>
            </w:tc>
          </w:sdtContent>
        </w:sdt>
      </w:tr>
      <w:tr w14:paraId="0C5D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66" w:type="pct"/>
          </w:tcPr>
          <w:p w14:paraId="070D742C">
            <w:pPr>
              <w:ind w:right="105"/>
            </w:pPr>
            <w:r>
              <w:rPr>
                <w:rFonts w:hint="eastAsia"/>
              </w:rPr>
              <w:t>第一名</w:t>
            </w:r>
          </w:p>
        </w:tc>
        <w:tc>
          <w:tcPr>
            <w:tcW w:w="1667" w:type="pct"/>
          </w:tcPr>
          <w:p w14:paraId="2A2E6A37">
            <w:pPr>
              <w:ind w:right="73"/>
              <w:jc w:val="right"/>
            </w:pPr>
            <w:r>
              <w:t>5,796,783.96</w:t>
            </w:r>
          </w:p>
        </w:tc>
        <w:tc>
          <w:tcPr>
            <w:tcW w:w="1667" w:type="pct"/>
          </w:tcPr>
          <w:p w14:paraId="51AD9C97">
            <w:pPr>
              <w:jc w:val="right"/>
            </w:pPr>
            <w:r>
              <w:rPr>
                <w:rFonts w:hint="eastAsia"/>
              </w:rPr>
              <w:t>41.36</w:t>
            </w:r>
          </w:p>
        </w:tc>
      </w:tr>
      <w:tr w14:paraId="4D90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66" w:type="pct"/>
          </w:tcPr>
          <w:p w14:paraId="6F8DAAB5">
            <w:pPr>
              <w:ind w:right="105"/>
            </w:pPr>
            <w:r>
              <w:rPr>
                <w:rFonts w:hint="eastAsia"/>
              </w:rPr>
              <w:t>第二名</w:t>
            </w:r>
          </w:p>
        </w:tc>
        <w:tc>
          <w:tcPr>
            <w:tcW w:w="1667" w:type="pct"/>
          </w:tcPr>
          <w:p w14:paraId="28DAE435">
            <w:pPr>
              <w:ind w:right="73"/>
              <w:jc w:val="right"/>
            </w:pPr>
            <w:r>
              <w:t>2,730,000.00</w:t>
            </w:r>
          </w:p>
        </w:tc>
        <w:tc>
          <w:tcPr>
            <w:tcW w:w="1667" w:type="pct"/>
          </w:tcPr>
          <w:p w14:paraId="707181DE">
            <w:pPr>
              <w:jc w:val="right"/>
            </w:pPr>
            <w:r>
              <w:rPr>
                <w:rFonts w:hint="eastAsia"/>
              </w:rPr>
              <w:t>19.48</w:t>
            </w:r>
          </w:p>
        </w:tc>
      </w:tr>
      <w:tr w14:paraId="1F5E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66" w:type="pct"/>
          </w:tcPr>
          <w:p w14:paraId="4CF846B5">
            <w:pPr>
              <w:ind w:right="105"/>
            </w:pPr>
            <w:r>
              <w:rPr>
                <w:rFonts w:hint="eastAsia"/>
              </w:rPr>
              <w:t>第三名</w:t>
            </w:r>
          </w:p>
        </w:tc>
        <w:tc>
          <w:tcPr>
            <w:tcW w:w="1667" w:type="pct"/>
          </w:tcPr>
          <w:p w14:paraId="6BBD59F4">
            <w:pPr>
              <w:ind w:right="73"/>
              <w:jc w:val="right"/>
            </w:pPr>
            <w:r>
              <w:t>2,710,672.10</w:t>
            </w:r>
          </w:p>
        </w:tc>
        <w:tc>
          <w:tcPr>
            <w:tcW w:w="1667" w:type="pct"/>
          </w:tcPr>
          <w:p w14:paraId="5A30DB6D">
            <w:pPr>
              <w:jc w:val="right"/>
            </w:pPr>
            <w:r>
              <w:rPr>
                <w:rFonts w:hint="eastAsia"/>
              </w:rPr>
              <w:t>19.34</w:t>
            </w:r>
          </w:p>
        </w:tc>
      </w:tr>
      <w:tr w14:paraId="03FF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66" w:type="pct"/>
          </w:tcPr>
          <w:p w14:paraId="00474CA5">
            <w:pPr>
              <w:ind w:right="105"/>
            </w:pPr>
            <w:r>
              <w:rPr>
                <w:rFonts w:hint="eastAsia"/>
              </w:rPr>
              <w:t>第四名</w:t>
            </w:r>
          </w:p>
        </w:tc>
        <w:tc>
          <w:tcPr>
            <w:tcW w:w="1667" w:type="pct"/>
          </w:tcPr>
          <w:p w14:paraId="4A54079E">
            <w:pPr>
              <w:ind w:right="73"/>
              <w:jc w:val="right"/>
            </w:pPr>
            <w:r>
              <w:t>636,717.41</w:t>
            </w:r>
          </w:p>
        </w:tc>
        <w:tc>
          <w:tcPr>
            <w:tcW w:w="1667" w:type="pct"/>
          </w:tcPr>
          <w:p w14:paraId="14B522A7">
            <w:pPr>
              <w:jc w:val="right"/>
            </w:pPr>
            <w:r>
              <w:rPr>
                <w:rFonts w:hint="eastAsia"/>
              </w:rPr>
              <w:t>4.54</w:t>
            </w:r>
          </w:p>
        </w:tc>
      </w:tr>
      <w:tr w14:paraId="6780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66" w:type="pct"/>
          </w:tcPr>
          <w:p w14:paraId="3E0679D0">
            <w:pPr>
              <w:ind w:right="105"/>
            </w:pPr>
            <w:r>
              <w:rPr>
                <w:rFonts w:hint="eastAsia"/>
              </w:rPr>
              <w:t>第五名</w:t>
            </w:r>
          </w:p>
        </w:tc>
        <w:tc>
          <w:tcPr>
            <w:tcW w:w="1667" w:type="pct"/>
          </w:tcPr>
          <w:p w14:paraId="197BEB0B">
            <w:pPr>
              <w:ind w:right="73"/>
              <w:jc w:val="right"/>
            </w:pPr>
            <w:r>
              <w:t>619,000.00</w:t>
            </w:r>
          </w:p>
        </w:tc>
        <w:tc>
          <w:tcPr>
            <w:tcW w:w="1667" w:type="pct"/>
          </w:tcPr>
          <w:p w14:paraId="41F4CD9A">
            <w:pPr>
              <w:jc w:val="right"/>
            </w:pPr>
            <w:r>
              <w:rPr>
                <w:rFonts w:hint="eastAsia"/>
              </w:rPr>
              <w:t>4.42</w:t>
            </w:r>
          </w:p>
        </w:tc>
      </w:tr>
      <w:tr w14:paraId="55E7F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66" w:type="pct"/>
          </w:tcPr>
          <w:p w14:paraId="2D21DD5C">
            <w:pPr>
              <w:ind w:right="105"/>
              <w:jc w:val="center"/>
            </w:pPr>
            <w:r>
              <w:rPr>
                <w:rFonts w:hint="eastAsia"/>
              </w:rPr>
              <w:t>合计</w:t>
            </w:r>
          </w:p>
        </w:tc>
        <w:tc>
          <w:tcPr>
            <w:tcW w:w="1667" w:type="pct"/>
          </w:tcPr>
          <w:p w14:paraId="0735E7FE">
            <w:pPr>
              <w:ind w:right="73"/>
              <w:jc w:val="right"/>
            </w:pPr>
            <w:r>
              <w:t>12,493,173.47</w:t>
            </w:r>
          </w:p>
        </w:tc>
        <w:tc>
          <w:tcPr>
            <w:tcW w:w="1667" w:type="pct"/>
          </w:tcPr>
          <w:p w14:paraId="3A11BF62">
            <w:pPr>
              <w:jc w:val="right"/>
            </w:pPr>
          </w:p>
        </w:tc>
      </w:tr>
    </w:tbl>
    <w:p w14:paraId="3E0A555A">
      <w:pPr>
        <w:snapToGrid w:val="0"/>
        <w:spacing w:line="240" w:lineRule="atLeast"/>
      </w:pPr>
    </w:p>
    <w:p w14:paraId="2D79325E">
      <w:pPr>
        <w:snapToGrid w:val="0"/>
        <w:spacing w:line="240" w:lineRule="atLeast"/>
      </w:pPr>
      <w:r>
        <w:rPr>
          <w:rFonts w:hint="eastAsia"/>
        </w:rPr>
        <w:t>其他说明：</w:t>
      </w:r>
    </w:p>
    <w:sdt>
      <w:sdtPr>
        <w:rPr>
          <w:color w:val="000000" w:themeColor="text1"/>
          <w14:textFill>
            <w14:solidFill>
              <w14:schemeClr w14:val="tx1"/>
            </w14:solidFill>
          </w14:textFill>
        </w:rPr>
        <w:alias w:val="按预付对象归集的期末余额前五名的预付款情况的说明"/>
        <w:tag w:val="_GBC_e2f1aa285f174786838e4fcd54656fec"/>
        <w:id w:val="2056345145"/>
        <w:placeholder>
          <w:docPart w:val="GBC22222222222222222222222222222"/>
        </w:placeholder>
      </w:sdtPr>
      <w:sdtEndPr>
        <w:rPr>
          <w:color w:val="000000" w:themeColor="text1"/>
          <w14:textFill>
            <w14:solidFill>
              <w14:schemeClr w14:val="tx1"/>
            </w14:solidFill>
          </w14:textFill>
        </w:rPr>
      </w:sdtEndPr>
      <w:sdtContent>
        <w:p w14:paraId="1D8DFD5E">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6B3DC1FB">
      <w:pPr>
        <w:snapToGrid w:val="0"/>
        <w:spacing w:line="240" w:lineRule="atLeast"/>
        <w:rPr>
          <w:color w:val="000000" w:themeColor="text1"/>
          <w14:textFill>
            <w14:solidFill>
              <w14:schemeClr w14:val="tx1"/>
            </w14:solidFill>
          </w14:textFill>
        </w:rPr>
      </w:pPr>
    </w:p>
    <w:bookmarkEnd w:id="217"/>
    <w:p w14:paraId="3B47BB49">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预付帐款的说明[双击切换]"/>
        <w:tag w:val="_GBC_c712ee6483d44c77b1f563e552689c6d"/>
        <w:id w:val="732196993"/>
        <w:placeholder>
          <w:docPart w:val="GBC22222222222222222222222222222"/>
        </w:placeholder>
      </w:sdtPr>
      <w:sdtEndPr>
        <w:rPr>
          <w:color w:val="000000" w:themeColor="text1"/>
          <w14:textFill>
            <w14:solidFill>
              <w14:schemeClr w14:val="tx1"/>
            </w14:solidFill>
          </w14:textFill>
        </w:rPr>
      </w:sdtEndPr>
      <w:sdtContent>
        <w:p w14:paraId="7FEDD22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1A463DB">
      <w:pPr>
        <w:rPr>
          <w:color w:val="000000" w:themeColor="text1"/>
          <w14:textFill>
            <w14:solidFill>
              <w14:schemeClr w14:val="tx1"/>
            </w14:solidFill>
          </w14:textFill>
        </w:rPr>
      </w:pPr>
    </w:p>
    <w:p w14:paraId="7A97B739">
      <w:pPr>
        <w:pStyle w:val="4"/>
        <w:numPr>
          <w:ilvl w:val="0"/>
          <w:numId w:val="53"/>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其他应收款</w:t>
      </w:r>
    </w:p>
    <w:p w14:paraId="295D10C7">
      <w:pPr>
        <w:pStyle w:val="5"/>
        <w:rPr>
          <w:rFonts w:hint="eastAsia" w:ascii="宋体" w:hAnsi="宋体"/>
          <w:color w:val="000000" w:themeColor="text1"/>
          <w14:textFill>
            <w14:solidFill>
              <w14:schemeClr w14:val="tx1"/>
            </w14:solidFill>
          </w14:textFill>
        </w:rPr>
      </w:pPr>
      <w:bookmarkStart w:id="218" w:name="_Hlk10467611"/>
      <w:r>
        <w:rPr>
          <w:rFonts w:hint="eastAsia" w:ascii="宋体" w:hAnsi="宋体"/>
          <w:color w:val="000000" w:themeColor="text1"/>
          <w14:textFill>
            <w14:solidFill>
              <w14:schemeClr w14:val="tx1"/>
            </w14:solidFill>
          </w14:textFill>
        </w:rPr>
        <w:t>项目列示</w:t>
      </w:r>
    </w:p>
    <w:sdt>
      <w:sdtPr>
        <w:rPr>
          <w:color w:val="000000" w:themeColor="text1"/>
          <w14:textFill>
            <w14:solidFill>
              <w14:schemeClr w14:val="tx1"/>
            </w14:solidFill>
          </w14:textFill>
        </w:rPr>
        <w:alias w:val="是否适用：其他应收款分类列示[双击切换]"/>
        <w:tag w:val="_GBC_23e3e9ad53624abaaa00fc7f7c24842a"/>
        <w:id w:val="-601955428"/>
        <w:placeholder>
          <w:docPart w:val="GBC22222222222222222222222222222"/>
        </w:placeholder>
      </w:sdtPr>
      <w:sdtEndPr>
        <w:rPr>
          <w:color w:val="000000" w:themeColor="text1"/>
          <w14:textFill>
            <w14:solidFill>
              <w14:schemeClr w14:val="tx1"/>
            </w14:solidFill>
          </w14:textFill>
        </w:rPr>
      </w:sdtEndPr>
      <w:sdtContent>
        <w:p w14:paraId="72595A9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8F42FF6">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其他应收款分类列示"/>
          <w:tag w:val="_GBC_b73f89c776a341249ed520fe726b4db9"/>
          <w:id w:val="12958010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其他应收款分类列示"/>
          <w:tag w:val="_GBC_a23554f2403346ea97b8fb1ef551ebe4"/>
          <w:id w:val="40588843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3" w:type="dxa"/>
          <w:bottom w:w="0" w:type="dxa"/>
          <w:right w:w="113" w:type="dxa"/>
        </w:tblCellMar>
      </w:tblPr>
      <w:tblGrid>
        <w:gridCol w:w="3115"/>
        <w:gridCol w:w="2862"/>
        <w:gridCol w:w="2846"/>
      </w:tblGrid>
      <w:tr w14:paraId="4622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sdt>
          <w:sdtPr>
            <w:tag w:val="_PLD_3b049b9a7f344665a70a23c402afbda5"/>
            <w:id w:val="-2063403117"/>
          </w:sdtPr>
          <w:sdtContent>
            <w:tc>
              <w:tcPr>
                <w:tcW w:w="1765" w:type="pct"/>
                <w:vAlign w:val="center"/>
              </w:tcPr>
              <w:p w14:paraId="7AE0CEB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550a4ba0fb444ea69297bd36780a7618"/>
            <w:id w:val="641939460"/>
          </w:sdtPr>
          <w:sdtContent>
            <w:tc>
              <w:tcPr>
                <w:tcW w:w="1622" w:type="pct"/>
                <w:vAlign w:val="center"/>
              </w:tcPr>
              <w:p w14:paraId="1D669D2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d58c3f70487c440b99a9f440a2d57d1e"/>
            <w:id w:val="1175928839"/>
          </w:sdtPr>
          <w:sdtContent>
            <w:tc>
              <w:tcPr>
                <w:tcW w:w="1613" w:type="pct"/>
                <w:vAlign w:val="center"/>
              </w:tcPr>
              <w:p w14:paraId="04A8431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0CC0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765" w:type="pct"/>
          </w:tcPr>
          <w:p w14:paraId="269404E4">
            <w:pPr>
              <w:ind w:right="5"/>
              <w:rPr>
                <w:color w:val="000000" w:themeColor="text1"/>
                <w14:textFill>
                  <w14:solidFill>
                    <w14:schemeClr w14:val="tx1"/>
                  </w14:solidFill>
                </w14:textFill>
              </w:rPr>
            </w:pPr>
            <w:r>
              <w:rPr>
                <w:rFonts w:hint="eastAsia"/>
                <w:color w:val="000000" w:themeColor="text1"/>
                <w14:textFill>
                  <w14:solidFill>
                    <w14:schemeClr w14:val="tx1"/>
                  </w14:solidFill>
                </w14:textFill>
              </w:rPr>
              <w:t>应收利息</w:t>
            </w:r>
          </w:p>
        </w:tc>
        <w:tc>
          <w:tcPr>
            <w:tcW w:w="1622" w:type="pct"/>
          </w:tcPr>
          <w:p w14:paraId="178C62DE">
            <w:pPr>
              <w:ind w:right="5"/>
              <w:jc w:val="right"/>
            </w:pPr>
          </w:p>
        </w:tc>
        <w:tc>
          <w:tcPr>
            <w:tcW w:w="1613" w:type="pct"/>
          </w:tcPr>
          <w:p w14:paraId="7FB98F6C">
            <w:pPr>
              <w:ind w:right="5"/>
              <w:jc w:val="right"/>
            </w:pPr>
          </w:p>
        </w:tc>
      </w:tr>
      <w:tr w14:paraId="2D6E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765" w:type="pct"/>
          </w:tcPr>
          <w:p w14:paraId="43630416">
            <w:pPr>
              <w:ind w:right="5"/>
              <w:rPr>
                <w:color w:val="000000" w:themeColor="text1"/>
                <w14:textFill>
                  <w14:solidFill>
                    <w14:schemeClr w14:val="tx1"/>
                  </w14:solidFill>
                </w14:textFill>
              </w:rPr>
            </w:pPr>
            <w:r>
              <w:rPr>
                <w:rFonts w:hint="eastAsia"/>
                <w:color w:val="000000" w:themeColor="text1"/>
                <w14:textFill>
                  <w14:solidFill>
                    <w14:schemeClr w14:val="tx1"/>
                  </w14:solidFill>
                </w14:textFill>
              </w:rPr>
              <w:t>应收股利</w:t>
            </w:r>
          </w:p>
        </w:tc>
        <w:tc>
          <w:tcPr>
            <w:tcW w:w="1622" w:type="pct"/>
          </w:tcPr>
          <w:p w14:paraId="48A08EAB">
            <w:pPr>
              <w:ind w:right="5"/>
              <w:jc w:val="right"/>
            </w:pPr>
          </w:p>
        </w:tc>
        <w:tc>
          <w:tcPr>
            <w:tcW w:w="1613" w:type="pct"/>
          </w:tcPr>
          <w:p w14:paraId="528E0552">
            <w:pPr>
              <w:ind w:right="5"/>
              <w:jc w:val="right"/>
            </w:pPr>
          </w:p>
        </w:tc>
      </w:tr>
      <w:tr w14:paraId="4514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765" w:type="pct"/>
          </w:tcPr>
          <w:p w14:paraId="14A2F68D">
            <w:pPr>
              <w:ind w:right="5"/>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w:t>
            </w:r>
          </w:p>
        </w:tc>
        <w:tc>
          <w:tcPr>
            <w:tcW w:w="1622" w:type="pct"/>
          </w:tcPr>
          <w:p w14:paraId="4AD93E9D">
            <w:pPr>
              <w:ind w:right="5"/>
              <w:jc w:val="right"/>
            </w:pPr>
            <w:r>
              <w:t>19,338,177.28</w:t>
            </w:r>
          </w:p>
        </w:tc>
        <w:tc>
          <w:tcPr>
            <w:tcW w:w="1613" w:type="pct"/>
          </w:tcPr>
          <w:p w14:paraId="0B43DA24">
            <w:pPr>
              <w:ind w:right="5"/>
              <w:jc w:val="right"/>
            </w:pPr>
            <w:r>
              <w:t>8,159,517.49</w:t>
            </w:r>
          </w:p>
        </w:tc>
      </w:tr>
      <w:tr w14:paraId="611C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765" w:type="pct"/>
          </w:tcPr>
          <w:p w14:paraId="35F5E156">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22" w:type="pct"/>
          </w:tcPr>
          <w:p w14:paraId="34D27B81">
            <w:pPr>
              <w:jc w:val="right"/>
            </w:pPr>
            <w:r>
              <w:t>19,338,177.28</w:t>
            </w:r>
          </w:p>
        </w:tc>
        <w:tc>
          <w:tcPr>
            <w:tcW w:w="1613" w:type="pct"/>
          </w:tcPr>
          <w:p w14:paraId="09D8E6D9">
            <w:pPr>
              <w:jc w:val="right"/>
            </w:pPr>
            <w:r>
              <w:rPr>
                <w:rFonts w:hint="eastAsia"/>
              </w:rPr>
              <w:t>8</w:t>
            </w:r>
            <w:r>
              <w:t>,159,517.49</w:t>
            </w:r>
          </w:p>
        </w:tc>
      </w:tr>
    </w:tbl>
    <w:p w14:paraId="27A2F9DD">
      <w:pPr>
        <w:rPr>
          <w:color w:val="000000" w:themeColor="text1"/>
          <w14:textFill>
            <w14:solidFill>
              <w14:schemeClr w14:val="tx1"/>
            </w14:solidFill>
          </w14:textFill>
        </w:rPr>
      </w:pPr>
      <w:bookmarkStart w:id="219" w:name="_Hlk532906097"/>
      <w:r>
        <w:rPr>
          <w:rFonts w:hint="eastAsia"/>
          <w:color w:val="000000" w:themeColor="text1"/>
          <w14:textFill>
            <w14:solidFill>
              <w14:schemeClr w14:val="tx1"/>
            </w14:solidFill>
          </w14:textFill>
        </w:rPr>
        <w:t>其他说明：</w:t>
      </w:r>
      <w:bookmarkEnd w:id="219"/>
    </w:p>
    <w:sdt>
      <w:sdtPr>
        <w:rPr>
          <w:color w:val="000000" w:themeColor="text1"/>
          <w14:textFill>
            <w14:solidFill>
              <w14:schemeClr w14:val="tx1"/>
            </w14:solidFill>
          </w14:textFill>
        </w:rPr>
        <w:alias w:val="是否适用：其他应收款分类列示其他说明[双击切换]"/>
        <w:tag w:val="_GBC_73a4089b33094d13b0ea7c9bf8cfb58f"/>
        <w:id w:val="-1781328581"/>
        <w:placeholder>
          <w:docPart w:val="GBC22222222222222222222222222222"/>
        </w:placeholder>
      </w:sdtPr>
      <w:sdtEndPr>
        <w:rPr>
          <w:color w:val="000000" w:themeColor="text1"/>
          <w14:textFill>
            <w14:solidFill>
              <w14:schemeClr w14:val="tx1"/>
            </w14:solidFill>
          </w14:textFill>
        </w:rPr>
      </w:sdtEndPr>
      <w:sdtContent>
        <w:p w14:paraId="04BB5DA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305473C">
      <w:pPr>
        <w:rPr>
          <w:color w:val="000000" w:themeColor="text1"/>
          <w14:textFill>
            <w14:solidFill>
              <w14:schemeClr w14:val="tx1"/>
            </w14:solidFill>
          </w14:textFill>
        </w:rPr>
      </w:pPr>
    </w:p>
    <w:bookmarkEnd w:id="218"/>
    <w:p w14:paraId="1C8A81AC">
      <w:pPr>
        <w:pStyle w:val="5"/>
        <w:tabs>
          <w:tab w:val="left" w:pos="546"/>
        </w:tabs>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2"/>
          <w14:textFill>
            <w14:solidFill>
              <w14:schemeClr w14:val="tx1"/>
            </w14:solidFill>
          </w14:textFill>
        </w:rPr>
        <w:t>应收利息</w:t>
      </w:r>
    </w:p>
    <w:p w14:paraId="089D51CB">
      <w:pPr>
        <w:pStyle w:val="6"/>
        <w:numPr>
          <w:ilvl w:val="0"/>
          <w:numId w:val="59"/>
        </w:numPr>
      </w:pPr>
      <w:r>
        <w:rPr>
          <w:rFonts w:hint="eastAsia"/>
        </w:rPr>
        <w:t>应收利息分类</w:t>
      </w:r>
    </w:p>
    <w:sdt>
      <w:sdtPr>
        <w:rPr>
          <w:color w:val="000000" w:themeColor="text1"/>
          <w14:textFill>
            <w14:solidFill>
              <w14:schemeClr w14:val="tx1"/>
            </w14:solidFill>
          </w14:textFill>
        </w:rPr>
        <w:alias w:val="是否适用：应收利息分类[双击切换]"/>
        <w:tag w:val="_GBC_86f9e9a81d7d4e07ae6873a88ddf6cc7"/>
        <w:id w:val="-455953430"/>
        <w:placeholder>
          <w:docPart w:val="GBC22222222222222222222222222222"/>
        </w:placeholder>
      </w:sdtPr>
      <w:sdtEndPr>
        <w:rPr>
          <w:color w:val="000000" w:themeColor="text1"/>
          <w14:textFill>
            <w14:solidFill>
              <w14:schemeClr w14:val="tx1"/>
            </w14:solidFill>
          </w14:textFill>
        </w:rPr>
      </w:sdtEndPr>
      <w:sdtContent>
        <w:p w14:paraId="7BC418B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3EB788E">
      <w:pPr>
        <w:rPr>
          <w:color w:val="000000" w:themeColor="text1"/>
          <w14:textFill>
            <w14:solidFill>
              <w14:schemeClr w14:val="tx1"/>
            </w14:solidFill>
          </w14:textFill>
        </w:rPr>
      </w:pPr>
    </w:p>
    <w:p w14:paraId="2CF59274">
      <w:pPr>
        <w:pStyle w:val="6"/>
        <w:numPr>
          <w:ilvl w:val="0"/>
          <w:numId w:val="59"/>
        </w:numPr>
      </w:pPr>
      <w:r>
        <w:rPr>
          <w:rFonts w:hint="eastAsia"/>
        </w:rPr>
        <w:t>重要逾期利息</w:t>
      </w:r>
    </w:p>
    <w:sdt>
      <w:sdtPr>
        <w:rPr>
          <w:color w:val="000000" w:themeColor="text1"/>
          <w14:textFill>
            <w14:solidFill>
              <w14:schemeClr w14:val="tx1"/>
            </w14:solidFill>
          </w14:textFill>
        </w:rPr>
        <w:alias w:val="是否适用：重要逾期利息[双击切换]"/>
        <w:tag w:val="_GBC_4554f307ef2241a583829b74df8ef0c3"/>
        <w:id w:val="1420747426"/>
        <w:placeholder>
          <w:docPart w:val="GBC22222222222222222222222222222"/>
        </w:placeholder>
      </w:sdtPr>
      <w:sdtEndPr>
        <w:rPr>
          <w:color w:val="000000" w:themeColor="text1"/>
          <w14:textFill>
            <w14:solidFill>
              <w14:schemeClr w14:val="tx1"/>
            </w14:solidFill>
          </w14:textFill>
        </w:rPr>
      </w:sdtEndPr>
      <w:sdtContent>
        <w:p w14:paraId="647689C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0904AD4">
      <w:pPr>
        <w:rPr>
          <w:color w:val="000000" w:themeColor="text1"/>
          <w14:textFill>
            <w14:solidFill>
              <w14:schemeClr w14:val="tx1"/>
            </w14:solidFill>
          </w14:textFill>
        </w:rPr>
      </w:pPr>
    </w:p>
    <w:p w14:paraId="3290253B">
      <w:pPr>
        <w:pStyle w:val="6"/>
        <w:numPr>
          <w:ilvl w:val="0"/>
          <w:numId w:val="59"/>
        </w:numPr>
        <w:rPr>
          <w:rFonts w:hint="eastAsia" w:ascii="宋体" w:hAnsi="宋体" w:cs="宋体"/>
          <w:color w:val="000000" w:themeColor="text1"/>
          <w:kern w:val="0"/>
          <w:szCs w:val="24"/>
          <w14:textFill>
            <w14:solidFill>
              <w14:schemeClr w14:val="tx1"/>
            </w14:solidFill>
          </w14:textFill>
        </w:rPr>
      </w:pPr>
      <w:bookmarkStart w:id="220" w:name="_Hlk153374831"/>
      <w:bookmarkStart w:id="221" w:name="_Hlk167889561"/>
      <w:r>
        <w:rPr>
          <w:rFonts w:hint="eastAsia" w:ascii="宋体" w:hAnsi="宋体" w:cs="宋体"/>
          <w:color w:val="000000" w:themeColor="text1"/>
          <w:kern w:val="0"/>
          <w:szCs w:val="24"/>
          <w14:textFill>
            <w14:solidFill>
              <w14:schemeClr w14:val="tx1"/>
            </w14:solidFill>
          </w14:textFill>
        </w:rPr>
        <w:t>按</w:t>
      </w:r>
      <w:r>
        <w:rPr>
          <w:rFonts w:ascii="宋体" w:hAnsi="宋体" w:cs="宋体"/>
          <w:color w:val="000000" w:themeColor="text1"/>
          <w:kern w:val="0"/>
          <w:szCs w:val="24"/>
          <w14:textFill>
            <w14:solidFill>
              <w14:schemeClr w14:val="tx1"/>
            </w14:solidFill>
          </w14:textFill>
        </w:rPr>
        <w:t>坏账计提</w:t>
      </w:r>
      <w:r>
        <w:t>方法</w:t>
      </w:r>
      <w:r>
        <w:rPr>
          <w:rFonts w:ascii="宋体" w:hAnsi="宋体" w:cs="宋体"/>
          <w:color w:val="000000" w:themeColor="text1"/>
          <w:kern w:val="0"/>
          <w:szCs w:val="24"/>
          <w14:textFill>
            <w14:solidFill>
              <w14:schemeClr w14:val="tx1"/>
            </w14:solidFill>
          </w14:textFill>
        </w:rPr>
        <w:t>分类披露</w:t>
      </w:r>
    </w:p>
    <w:sdt>
      <w:sdtPr>
        <w:rPr>
          <w:color w:val="000000" w:themeColor="text1"/>
          <w14:textFill>
            <w14:solidFill>
              <w14:schemeClr w14:val="tx1"/>
            </w14:solidFill>
          </w14:textFill>
        </w:rPr>
        <w:alias w:val="是否适用：按坏账计提方法分类披露[双击切换]"/>
        <w:tag w:val="_GBC_e7c7032e67f14d5baddb2d7b0cdebf38"/>
        <w:id w:val="502393837"/>
        <w:placeholder>
          <w:docPart w:val="GBC22222222222222222222222222222"/>
        </w:placeholder>
      </w:sdtPr>
      <w:sdtEndPr>
        <w:rPr>
          <w:color w:val="000000" w:themeColor="text1"/>
          <w14:textFill>
            <w14:solidFill>
              <w14:schemeClr w14:val="tx1"/>
            </w14:solidFill>
          </w14:textFill>
        </w:rPr>
      </w:sdtEndPr>
      <w:sdtContent>
        <w:p w14:paraId="4DB0ABC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2CEE26F">
      <w:pPr>
        <w:rPr>
          <w:color w:val="000000" w:themeColor="text1"/>
          <w14:textFill>
            <w14:solidFill>
              <w14:schemeClr w14:val="tx1"/>
            </w14:solidFill>
          </w14:textFill>
        </w:rPr>
      </w:pPr>
    </w:p>
    <w:p w14:paraId="0DBA0626">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w:t>
      </w:r>
    </w:p>
    <w:sdt>
      <w:sdtPr>
        <w:rPr>
          <w:color w:val="000000" w:themeColor="text1"/>
          <w14:textFill>
            <w14:solidFill>
              <w14:schemeClr w14:val="tx1"/>
            </w14:solidFill>
          </w14:textFill>
        </w:rPr>
        <w:alias w:val="是否适用：按单项计提坏账准备的详细情况[双击切换]"/>
        <w:tag w:val="_GBC_07ebcd379e854ad8bd9de0d3ef457583"/>
        <w:id w:val="-1457632822"/>
        <w:placeholder>
          <w:docPart w:val="GBC22222222222222222222222222222"/>
        </w:placeholder>
      </w:sdtPr>
      <w:sdtEndPr>
        <w:rPr>
          <w:color w:val="000000" w:themeColor="text1"/>
          <w14:textFill>
            <w14:solidFill>
              <w14:schemeClr w14:val="tx1"/>
            </w14:solidFill>
          </w14:textFill>
        </w:rPr>
      </w:sdtEndPr>
      <w:sdtContent>
        <w:p w14:paraId="5F6B47F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4C5D929">
      <w:pPr>
        <w:rPr>
          <w:color w:val="000000" w:themeColor="text1"/>
          <w14:textFill>
            <w14:solidFill>
              <w14:schemeClr w14:val="tx1"/>
            </w14:solidFill>
          </w14:textFill>
        </w:rPr>
      </w:pPr>
    </w:p>
    <w:p w14:paraId="30F83905">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按单项计提坏账准备的说明：</w:t>
      </w:r>
    </w:p>
    <w:sdt>
      <w:sdtPr>
        <w:rPr>
          <w:color w:val="000000" w:themeColor="text1"/>
          <w14:textFill>
            <w14:solidFill>
              <w14:schemeClr w14:val="tx1"/>
            </w14:solidFill>
          </w14:textFill>
        </w:rPr>
        <w:alias w:val="是否适用：按单项计提坏账准备的说明[双击切换]"/>
        <w:tag w:val="_GBC_5e47d50d50fc4b3095057ac3908e407b"/>
        <w:id w:val="-20940101"/>
        <w:placeholder>
          <w:docPart w:val="GBC22222222222222222222222222222"/>
        </w:placeholder>
      </w:sdtPr>
      <w:sdtEndPr>
        <w:rPr>
          <w:color w:val="000000" w:themeColor="text1"/>
          <w14:textFill>
            <w14:solidFill>
              <w14:schemeClr w14:val="tx1"/>
            </w14:solidFill>
          </w14:textFill>
        </w:rPr>
      </w:sdtEndPr>
      <w:sdtContent>
        <w:p w14:paraId="2D67CFF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2A30FDB">
      <w:pPr>
        <w:rPr>
          <w:color w:val="000000" w:themeColor="text1"/>
          <w14:textFill>
            <w14:solidFill>
              <w14:schemeClr w14:val="tx1"/>
            </w14:solidFill>
          </w14:textFill>
        </w:rPr>
      </w:pPr>
    </w:p>
    <w:p w14:paraId="44A3EA19">
      <w:pPr>
        <w:rPr>
          <w:rFonts w:ascii="Calibri" w:hAnsi="Calibri" w:cs="Times New Roman"/>
          <w:bCs w:val="0"/>
          <w:color w:val="000000" w:themeColor="text1"/>
          <w:szCs w:val="22"/>
          <w14:textFill>
            <w14:solidFill>
              <w14:schemeClr w14:val="tx1"/>
            </w14:solidFill>
          </w14:textFill>
        </w:rPr>
      </w:pPr>
      <w:r>
        <w:rPr>
          <w:rFonts w:hint="eastAsia" w:ascii="Calibri" w:hAnsi="Calibri" w:cs="Times New Roman"/>
          <w:color w:val="000000" w:themeColor="text1"/>
          <w:szCs w:val="22"/>
          <w14:textFill>
            <w14:solidFill>
              <w14:schemeClr w14:val="tx1"/>
            </w14:solidFill>
          </w14:textFill>
        </w:rPr>
        <w:t>按组合计提坏账准备：</w:t>
      </w:r>
    </w:p>
    <w:sdt>
      <w:sdtPr>
        <w:rPr>
          <w:rFonts w:ascii="Calibri" w:hAnsi="Calibri" w:cs="Times New Roman"/>
          <w:bCs w:val="0"/>
          <w:color w:val="000000" w:themeColor="text1"/>
          <w:szCs w:val="22"/>
          <w14:textFill>
            <w14:solidFill>
              <w14:schemeClr w14:val="tx1"/>
            </w14:solidFill>
          </w14:textFill>
        </w:rPr>
        <w:alias w:val="是否适用：按组合计提坏账准备的详细情况[双击切换]"/>
        <w:tag w:val="_GBC_0dc49505e0b44d56bf15079c4ea20a9a"/>
        <w:id w:val="1136446051"/>
        <w:placeholder>
          <w:docPart w:val="GBC22222222222222222222222222222"/>
        </w:placeholder>
      </w:sdtPr>
      <w:sdtEndPr>
        <w:rPr>
          <w:rFonts w:ascii="Calibri" w:hAnsi="Calibri" w:cs="Times New Roman"/>
          <w:bCs w:val="0"/>
          <w:color w:val="000000" w:themeColor="text1"/>
          <w:szCs w:val="22"/>
          <w14:textFill>
            <w14:solidFill>
              <w14:schemeClr w14:val="tx1"/>
            </w14:solidFill>
          </w14:textFill>
        </w:rPr>
      </w:sdtEndPr>
      <w:sdtContent>
        <w:p w14:paraId="5F589AFF">
          <w:pPr>
            <w:rPr>
              <w:color w:val="000000" w:themeColor="text1"/>
              <w14:textFill>
                <w14:solidFill>
                  <w14:schemeClr w14:val="tx1"/>
                </w14:solidFill>
              </w14:textFill>
            </w:rPr>
          </w:pPr>
          <w:r>
            <w:rPr>
              <w:rFonts w:ascii="宋体" w:hAnsi="宋体" w:cs="Times New Roman"/>
              <w:bCs w:val="0"/>
              <w:color w:val="000000" w:themeColor="text1"/>
              <w:szCs w:val="22"/>
              <w14:textFill>
                <w14:solidFill>
                  <w14:schemeClr w14:val="tx1"/>
                </w14:solidFill>
              </w14:textFill>
            </w:rPr>
            <w:fldChar w:fldCharType="begin"/>
          </w:r>
          <w:r>
            <w:rPr>
              <w:rFonts w:hint="eastAsia" w:ascii="宋体" w:hAnsi="宋体" w:cs="Times New Roman"/>
              <w:color w:val="000000" w:themeColor="text1"/>
              <w:szCs w:val="22"/>
              <w14:textFill>
                <w14:solidFill>
                  <w14:schemeClr w14:val="tx1"/>
                </w14:solidFill>
              </w14:textFill>
            </w:rPr>
            <w:instrText xml:space="preserve"> MACROBUTTON  SnrToggleCheckbox □适用 </w:instrText>
          </w:r>
          <w:r>
            <w:rPr>
              <w:rFonts w:ascii="宋体" w:hAnsi="宋体" w:cs="Times New Roman"/>
              <w:bCs w:val="0"/>
              <w:color w:val="000000" w:themeColor="text1"/>
              <w:szCs w:val="22"/>
              <w14:textFill>
                <w14:solidFill>
                  <w14:schemeClr w14:val="tx1"/>
                </w14:solidFill>
              </w14:textFill>
            </w:rPr>
            <w:fldChar w:fldCharType="end"/>
          </w:r>
          <w:r>
            <w:rPr>
              <w:rFonts w:ascii="宋体" w:hAnsi="宋体" w:cs="Times New Roman"/>
              <w:bCs w:val="0"/>
              <w:color w:val="000000" w:themeColor="text1"/>
              <w:szCs w:val="22"/>
              <w14:textFill>
                <w14:solidFill>
                  <w14:schemeClr w14:val="tx1"/>
                </w14:solidFill>
              </w14:textFill>
            </w:rPr>
            <w:fldChar w:fldCharType="begin"/>
          </w:r>
          <w:r>
            <w:rPr>
              <w:rFonts w:hint="eastAsia" w:ascii="宋体" w:hAnsi="宋体" w:cs="Times New Roman"/>
              <w:color w:val="000000" w:themeColor="text1"/>
              <w:szCs w:val="22"/>
              <w14:textFill>
                <w14:solidFill>
                  <w14:schemeClr w14:val="tx1"/>
                </w14:solidFill>
              </w14:textFill>
            </w:rPr>
            <w:instrText xml:space="preserve"> MACROBUTTON  SnrToggleCheckbox √不适用 </w:instrText>
          </w:r>
          <w:r>
            <w:rPr>
              <w:rFonts w:ascii="宋体" w:hAnsi="宋体" w:cs="Times New Roman"/>
              <w:bCs w:val="0"/>
              <w:color w:val="000000" w:themeColor="text1"/>
              <w:szCs w:val="22"/>
              <w14:textFill>
                <w14:solidFill>
                  <w14:schemeClr w14:val="tx1"/>
                </w14:solidFill>
              </w14:textFill>
            </w:rPr>
            <w:fldChar w:fldCharType="end"/>
          </w:r>
        </w:p>
      </w:sdtContent>
    </w:sdt>
    <w:p w14:paraId="10516B0C">
      <w:pPr>
        <w:rPr>
          <w:color w:val="000000" w:themeColor="text1"/>
          <w14:textFill>
            <w14:solidFill>
              <w14:schemeClr w14:val="tx1"/>
            </w14:solidFill>
          </w14:textFill>
        </w:rPr>
      </w:pPr>
    </w:p>
    <w:p w14:paraId="1E846402">
      <w:pPr>
        <w:rPr>
          <w:rFonts w:ascii="Calibri" w:hAnsi="Calibri" w:cs="Times New Roman"/>
          <w:b/>
          <w:bCs w:val="0"/>
          <w:color w:val="000000" w:themeColor="text1"/>
          <w:szCs w:val="22"/>
          <w14:textFill>
            <w14:solidFill>
              <w14:schemeClr w14:val="tx1"/>
            </w14:solidFill>
          </w14:textFill>
        </w:rPr>
      </w:pPr>
    </w:p>
    <w:bookmarkEnd w:id="220"/>
    <w:bookmarkEnd w:id="221"/>
    <w:p w14:paraId="57FD607D">
      <w:pPr>
        <w:pStyle w:val="6"/>
        <w:numPr>
          <w:ilvl w:val="0"/>
          <w:numId w:val="59"/>
        </w:numPr>
        <w:rPr>
          <w:rFonts w:hint="eastAsia" w:ascii="宋体" w:hAnsi="宋体" w:cs="宋体"/>
          <w:color w:val="000000" w:themeColor="text1"/>
          <w:kern w:val="0"/>
          <w:szCs w:val="24"/>
          <w14:textFill>
            <w14:solidFill>
              <w14:schemeClr w14:val="tx1"/>
            </w14:solidFill>
          </w14:textFill>
        </w:rPr>
      </w:pPr>
      <w:bookmarkStart w:id="222" w:name="_Hlk10468247"/>
      <w:r>
        <w:rPr>
          <w:rFonts w:hint="eastAsia" w:ascii="宋体" w:hAnsi="宋体" w:cs="宋体"/>
          <w:color w:val="000000" w:themeColor="text1"/>
          <w:kern w:val="0"/>
          <w:szCs w:val="24"/>
          <w14:textFill>
            <w14:solidFill>
              <w14:schemeClr w14:val="tx1"/>
            </w14:solidFill>
          </w14:textFill>
        </w:rPr>
        <w:t>按预期信用损失一般模型计提坏账准备</w:t>
      </w:r>
    </w:p>
    <w:sdt>
      <w:sdtPr>
        <w:rPr>
          <w:color w:val="000000" w:themeColor="text1"/>
          <w14:textFill>
            <w14:solidFill>
              <w14:schemeClr w14:val="tx1"/>
            </w14:solidFill>
          </w14:textFill>
        </w:rPr>
        <w:alias w:val="是否适用：应收利息坏账准备调节表[双击切换]"/>
        <w:tag w:val="_GBC_2081adab30854417bcfae25caae8c9f9"/>
        <w:id w:val="-175660679"/>
        <w:placeholder>
          <w:docPart w:val="GBC22222222222222222222222222222"/>
        </w:placeholder>
      </w:sdtPr>
      <w:sdtEndPr>
        <w:rPr>
          <w:color w:val="000000" w:themeColor="text1"/>
          <w14:textFill>
            <w14:solidFill>
              <w14:schemeClr w14:val="tx1"/>
            </w14:solidFill>
          </w14:textFill>
        </w:rPr>
      </w:sdtEndPr>
      <w:sdtContent>
        <w:p w14:paraId="2E6B8B5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97DEF7B">
      <w:pPr>
        <w:autoSpaceDE w:val="0"/>
        <w:autoSpaceDN w:val="0"/>
        <w:adjustRightInd w:val="0"/>
        <w:ind w:right="105" w:rightChars="50"/>
        <w:rPr>
          <w:color w:val="000000" w:themeColor="text1"/>
          <w14:textFill>
            <w14:solidFill>
              <w14:schemeClr w14:val="tx1"/>
            </w14:solidFill>
          </w14:textFill>
        </w:rPr>
      </w:pPr>
    </w:p>
    <w:p w14:paraId="3F58E965">
      <w:pPr>
        <w:rPr>
          <w:color w:val="000000" w:themeColor="text1"/>
          <w14:textFill>
            <w14:solidFill>
              <w14:schemeClr w14:val="tx1"/>
            </w14:solidFill>
          </w14:textFill>
        </w:rPr>
      </w:pPr>
    </w:p>
    <w:bookmarkEnd w:id="222"/>
    <w:p w14:paraId="50FEABDF">
      <w:pPr>
        <w:pStyle w:val="6"/>
        <w:numPr>
          <w:ilvl w:val="0"/>
          <w:numId w:val="59"/>
        </w:numPr>
        <w:rPr>
          <w:rFonts w:hint="eastAsia" w:ascii="宋体" w:hAnsi="宋体" w:cs="宋体"/>
          <w:color w:val="000000" w:themeColor="text1"/>
          <w:kern w:val="0"/>
          <w:szCs w:val="21"/>
          <w14:textFill>
            <w14:solidFill>
              <w14:schemeClr w14:val="tx1"/>
            </w14:solidFill>
          </w14:textFill>
        </w:rPr>
      </w:pPr>
      <w:bookmarkStart w:id="223" w:name="_Hlk167889778"/>
      <w:bookmarkStart w:id="224" w:name="_Hlk153375041"/>
      <w:r>
        <w:rPr>
          <w:rFonts w:hint="eastAsia" w:ascii="宋体" w:hAnsi="宋体" w:cs="宋体"/>
          <w:color w:val="000000" w:themeColor="text1"/>
          <w:kern w:val="0"/>
          <w:szCs w:val="21"/>
          <w14:textFill>
            <w14:solidFill>
              <w14:schemeClr w14:val="tx1"/>
            </w14:solidFill>
          </w14:textFill>
        </w:rPr>
        <w:t>坏账准备的情况</w:t>
      </w:r>
    </w:p>
    <w:sdt>
      <w:sdtPr>
        <w:rPr>
          <w:color w:val="000000" w:themeColor="text1"/>
          <w14:textFill>
            <w14:solidFill>
              <w14:schemeClr w14:val="tx1"/>
            </w14:solidFill>
          </w14:textFill>
        </w:rPr>
        <w:alias w:val="是否适用：坏账准备情况[双击切换]"/>
        <w:tag w:val="_GBC_4a551e6f1c064b2d9170d6f608a5d12b"/>
        <w:id w:val="1686714507"/>
        <w:placeholder>
          <w:docPart w:val="GBC22222222222222222222222222222"/>
        </w:placeholder>
      </w:sdtPr>
      <w:sdtEndPr>
        <w:rPr>
          <w:color w:val="000000" w:themeColor="text1"/>
          <w14:textFill>
            <w14:solidFill>
              <w14:schemeClr w14:val="tx1"/>
            </w14:solidFill>
          </w14:textFill>
        </w:rPr>
      </w:sdtEndPr>
      <w:sdtContent>
        <w:p w14:paraId="7EB0547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9CED6DB">
      <w:pPr>
        <w:rPr>
          <w:color w:val="000000" w:themeColor="text1"/>
          <w14:textFill>
            <w14:solidFill>
              <w14:schemeClr w14:val="tx1"/>
            </w14:solidFill>
          </w14:textFill>
        </w:rPr>
      </w:pPr>
    </w:p>
    <w:p w14:paraId="4DA4A7B4">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其中本期坏账准备收回或转回金额重要的：</w:t>
      </w:r>
    </w:p>
    <w:sdt>
      <w:sdtPr>
        <w:rPr>
          <w:color w:val="000000" w:themeColor="text1"/>
          <w14:textFill>
            <w14:solidFill>
              <w14:schemeClr w14:val="tx1"/>
            </w14:solidFill>
          </w14:textFill>
        </w:rPr>
        <w:alias w:val="是否适用：本期坏账准备收回或转回金额重要的[双击切换]"/>
        <w:tag w:val="_GBC_5092fe8f9b7d425eb163b84fd07f53f0"/>
        <w:id w:val="-820425003"/>
        <w:placeholder>
          <w:docPart w:val="GBC22222222222222222222222222222"/>
        </w:placeholder>
      </w:sdtPr>
      <w:sdtEndPr>
        <w:rPr>
          <w:color w:val="000000" w:themeColor="text1"/>
          <w14:textFill>
            <w14:solidFill>
              <w14:schemeClr w14:val="tx1"/>
            </w14:solidFill>
          </w14:textFill>
        </w:rPr>
      </w:sdtEndPr>
      <w:sdtContent>
        <w:p w14:paraId="7EC3961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2FF34B4">
      <w:pPr>
        <w:rPr>
          <w:color w:val="000000" w:themeColor="text1"/>
          <w14:textFill>
            <w14:solidFill>
              <w14:schemeClr w14:val="tx1"/>
            </w14:solidFill>
          </w14:textFill>
        </w:rPr>
      </w:pPr>
    </w:p>
    <w:p w14:paraId="5729043B">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坏账准备情况的说明"/>
        <w:tag w:val="_GBC_456f6a2707124917aced7af3ec2980f6"/>
        <w:id w:val="1499460736"/>
        <w:placeholder>
          <w:docPart w:val="GBC22222222222222222222222222222"/>
        </w:placeholder>
      </w:sdtPr>
      <w:sdtEndPr>
        <w:rPr>
          <w:color w:val="000000" w:themeColor="text1"/>
          <w14:textFill>
            <w14:solidFill>
              <w14:schemeClr w14:val="tx1"/>
            </w14:solidFill>
          </w14:textFill>
        </w:rPr>
      </w:sdtEndPr>
      <w:sdtContent>
        <w:p w14:paraId="5B9432C2">
          <w:pPr>
            <w:ind w:right="42" w:rightChars="20"/>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5F6C28D2">
      <w:pPr>
        <w:ind w:right="-1594" w:rightChars="-759"/>
        <w:rPr>
          <w:color w:val="000000" w:themeColor="text1"/>
          <w14:textFill>
            <w14:solidFill>
              <w14:schemeClr w14:val="tx1"/>
            </w14:solidFill>
          </w14:textFill>
        </w:rPr>
      </w:pPr>
    </w:p>
    <w:p w14:paraId="5366F327">
      <w:pPr>
        <w:pStyle w:val="6"/>
        <w:numPr>
          <w:ilvl w:val="0"/>
          <w:numId w:val="59"/>
        </w:numP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本期实际核销的应收</w:t>
      </w:r>
      <w:r>
        <w:rPr>
          <w:rFonts w:hint="eastAsia" w:ascii="宋体" w:hAnsi="宋体" w:cs="宋体"/>
          <w:color w:val="000000" w:themeColor="text1"/>
          <w:kern w:val="0"/>
          <w:szCs w:val="21"/>
          <w14:textFill>
            <w14:solidFill>
              <w14:schemeClr w14:val="tx1"/>
            </w14:solidFill>
          </w14:textFill>
        </w:rPr>
        <w:t>利息</w:t>
      </w:r>
      <w:r>
        <w:rPr>
          <w:rFonts w:ascii="宋体" w:hAnsi="宋体" w:cs="宋体"/>
          <w:color w:val="000000" w:themeColor="text1"/>
          <w:kern w:val="0"/>
          <w:szCs w:val="21"/>
          <w14:textFill>
            <w14:solidFill>
              <w14:schemeClr w14:val="tx1"/>
            </w14:solidFill>
          </w14:textFill>
        </w:rPr>
        <w:t>情况</w:t>
      </w:r>
    </w:p>
    <w:sdt>
      <w:sdtPr>
        <w:rPr>
          <w:color w:val="000000" w:themeColor="text1"/>
          <w14:textFill>
            <w14:solidFill>
              <w14:schemeClr w14:val="tx1"/>
            </w14:solidFill>
          </w14:textFill>
        </w:rPr>
        <w:alias w:val="是否适用：实际核销的情况[双击切换]"/>
        <w:tag w:val="_GBC_4b850c38d1264ec6b7921671d08b78eb"/>
        <w:id w:val="1134916461"/>
        <w:placeholder>
          <w:docPart w:val="GBC22222222222222222222222222222"/>
        </w:placeholder>
      </w:sdtPr>
      <w:sdtEndPr>
        <w:rPr>
          <w:color w:val="000000" w:themeColor="text1"/>
          <w14:textFill>
            <w14:solidFill>
              <w14:schemeClr w14:val="tx1"/>
            </w14:solidFill>
          </w14:textFill>
        </w:rPr>
      </w:sdtEndPr>
      <w:sdtContent>
        <w:p w14:paraId="196B0CF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B49C106">
      <w:pPr>
        <w:rPr>
          <w:color w:val="000000" w:themeColor="text1"/>
          <w14:textFill>
            <w14:solidFill>
              <w14:schemeClr w14:val="tx1"/>
            </w14:solidFill>
          </w14:textFill>
        </w:rPr>
      </w:pPr>
    </w:p>
    <w:p w14:paraId="3ADC7855">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其中重要的应收利息核销情况</w:t>
      </w:r>
    </w:p>
    <w:sdt>
      <w:sdtPr>
        <w:rPr>
          <w:rFonts w:hint="eastAsia"/>
          <w:color w:val="000000" w:themeColor="text1"/>
          <w14:textFill>
            <w14:solidFill>
              <w14:schemeClr w14:val="tx1"/>
            </w14:solidFill>
          </w14:textFill>
        </w:rPr>
        <w:alias w:val="是否适用：重要的核销情况[双击切换]"/>
        <w:tag w:val="_GBC_01d7a4e15dbb43749e9afdba26e20527"/>
        <w:id w:val="1882598654"/>
        <w:placeholder>
          <w:docPart w:val="GBC22222222222222222222222222222"/>
        </w:placeholder>
      </w:sdtPr>
      <w:sdtEndPr>
        <w:rPr>
          <w:rFonts w:hint="eastAsia"/>
          <w:color w:val="000000" w:themeColor="text1"/>
          <w14:textFill>
            <w14:solidFill>
              <w14:schemeClr w14:val="tx1"/>
            </w14:solidFill>
          </w14:textFill>
        </w:rPr>
      </w:sdtEndPr>
      <w:sdtContent>
        <w:p w14:paraId="1570F00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D9B7372">
      <w:pPr>
        <w:rPr>
          <w:color w:val="000000" w:themeColor="text1"/>
          <w14:textFill>
            <w14:solidFill>
              <w14:schemeClr w14:val="tx1"/>
            </w14:solidFill>
          </w14:textFill>
        </w:rPr>
      </w:pPr>
    </w:p>
    <w:p w14:paraId="28B50167">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核销说明：</w:t>
      </w:r>
    </w:p>
    <w:sdt>
      <w:sdtPr>
        <w:rPr>
          <w:color w:val="000000" w:themeColor="text1"/>
          <w14:textFill>
            <w14:solidFill>
              <w14:schemeClr w14:val="tx1"/>
            </w14:solidFill>
          </w14:textFill>
        </w:rPr>
        <w:alias w:val="是否适用：核销说明[双击切换]"/>
        <w:tag w:val="_GBC_fa943be869f247e4945a7336e3ce2e1f"/>
        <w:id w:val="-110597666"/>
        <w:placeholder>
          <w:docPart w:val="GBC22222222222222222222222222222"/>
        </w:placeholder>
      </w:sdtPr>
      <w:sdtEndPr>
        <w:rPr>
          <w:color w:val="000000" w:themeColor="text1"/>
          <w14:textFill>
            <w14:solidFill>
              <w14:schemeClr w14:val="tx1"/>
            </w14:solidFill>
          </w14:textFill>
        </w:rPr>
      </w:sdtEndPr>
      <w:sdtContent>
        <w:p w14:paraId="7DA3A86E">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A8182BE">
      <w:pPr>
        <w:rPr>
          <w:color w:val="000000" w:themeColor="text1"/>
          <w14:textFill>
            <w14:solidFill>
              <w14:schemeClr w14:val="tx1"/>
            </w14:solidFill>
          </w14:textFill>
        </w:rPr>
      </w:pPr>
    </w:p>
    <w:bookmarkEnd w:id="223"/>
    <w:bookmarkEnd w:id="224"/>
    <w:p w14:paraId="25817364">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应收利息的说明[双击切换]"/>
        <w:tag w:val="_GBC_9fcbab94f58048baace4761ca17ae925"/>
        <w:id w:val="1672451846"/>
        <w:placeholder>
          <w:docPart w:val="GBC22222222222222222222222222222"/>
        </w:placeholder>
      </w:sdtPr>
      <w:sdtEndPr>
        <w:rPr>
          <w:color w:val="000000" w:themeColor="text1"/>
          <w14:textFill>
            <w14:solidFill>
              <w14:schemeClr w14:val="tx1"/>
            </w14:solidFill>
          </w14:textFill>
        </w:rPr>
      </w:sdtEndPr>
      <w:sdtContent>
        <w:p w14:paraId="723477E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应收利息的说明"/>
        <w:tag w:val="_GBC_b73db34e93ca409bb09e43022b677330"/>
        <w:id w:val="575783602"/>
        <w:placeholder>
          <w:docPart w:val="GBC22222222222222222222222222222"/>
        </w:placeholder>
      </w:sdtPr>
      <w:sdtEndPr>
        <w:rPr>
          <w:color w:val="000000" w:themeColor="text1"/>
          <w14:textFill>
            <w14:solidFill>
              <w14:schemeClr w14:val="tx1"/>
            </w14:solidFill>
          </w14:textFill>
        </w:rPr>
      </w:sdtEndPr>
      <w:sdtContent>
        <w:p w14:paraId="61E9AC91">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5C8E1F0D">
      <w:pPr>
        <w:rPr>
          <w:color w:val="000000" w:themeColor="text1"/>
          <w14:textFill>
            <w14:solidFill>
              <w14:schemeClr w14:val="tx1"/>
            </w14:solidFill>
          </w14:textFill>
        </w:rPr>
      </w:pPr>
    </w:p>
    <w:p w14:paraId="534A1089">
      <w:pPr>
        <w:pStyle w:val="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应收股利</w:t>
      </w:r>
    </w:p>
    <w:p w14:paraId="5B69374D">
      <w:pPr>
        <w:pStyle w:val="6"/>
        <w:numPr>
          <w:ilvl w:val="0"/>
          <w:numId w:val="60"/>
        </w:numPr>
      </w:pPr>
      <w:r>
        <w:rPr>
          <w:rFonts w:hint="eastAsia"/>
        </w:rPr>
        <w:t>应收股利</w:t>
      </w:r>
    </w:p>
    <w:sdt>
      <w:sdtPr>
        <w:rPr>
          <w:color w:val="000000" w:themeColor="text1"/>
          <w14:textFill>
            <w14:solidFill>
              <w14:schemeClr w14:val="tx1"/>
            </w14:solidFill>
          </w14:textFill>
        </w:rPr>
        <w:alias w:val="是否适用：应收股利[双击切换]"/>
        <w:tag w:val="_GBC_002b8ba295db406eb34a179aa27a4801"/>
        <w:id w:val="-1932346560"/>
        <w:placeholder>
          <w:docPart w:val="GBC22222222222222222222222222222"/>
        </w:placeholder>
      </w:sdtPr>
      <w:sdtEndPr>
        <w:rPr>
          <w:color w:val="000000" w:themeColor="text1"/>
          <w14:textFill>
            <w14:solidFill>
              <w14:schemeClr w14:val="tx1"/>
            </w14:solidFill>
          </w14:textFill>
        </w:rPr>
      </w:sdtEndPr>
      <w:sdtContent>
        <w:p w14:paraId="6959563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ECC9F71">
      <w:pPr>
        <w:rPr>
          <w:color w:val="000000" w:themeColor="text1"/>
          <w14:textFill>
            <w14:solidFill>
              <w14:schemeClr w14:val="tx1"/>
            </w14:solidFill>
          </w14:textFill>
        </w:rPr>
      </w:pPr>
    </w:p>
    <w:p w14:paraId="234E4751">
      <w:pPr>
        <w:pStyle w:val="6"/>
        <w:numPr>
          <w:ilvl w:val="0"/>
          <w:numId w:val="60"/>
        </w:numPr>
        <w:rPr>
          <w:rFonts w:cstheme="minorBidi"/>
          <w:kern w:val="0"/>
          <w:szCs w:val="22"/>
        </w:rPr>
      </w:pPr>
      <w:r>
        <w:rPr>
          <w:rFonts w:hint="eastAsia" w:cstheme="minorBidi"/>
          <w:kern w:val="0"/>
          <w:szCs w:val="22"/>
        </w:rPr>
        <w:t>重要的账龄超过1年的应收股利</w:t>
      </w:r>
    </w:p>
    <w:p w14:paraId="73463C12">
      <w:pPr>
        <w:rPr>
          <w:color w:val="000000" w:themeColor="text1"/>
          <w14:textFill>
            <w14:solidFill>
              <w14:schemeClr w14:val="tx1"/>
            </w14:solidFill>
          </w14:textFill>
        </w:rPr>
      </w:pPr>
      <w:sdt>
        <w:sdtPr>
          <w:rPr>
            <w:rFonts w:hint="eastAsia"/>
            <w:color w:val="000000" w:themeColor="text1"/>
            <w14:textFill>
              <w14:solidFill>
                <w14:schemeClr w14:val="tx1"/>
              </w14:solidFill>
            </w14:textFill>
          </w:rPr>
          <w:alias w:val="是否适用：重要的账龄超过1年的应收股利[双击切换]"/>
          <w:tag w:val="_GBC_9aa7ef4a3c0c40638901a5b7f6224231"/>
          <w:id w:val="-1130551293"/>
          <w:placeholder>
            <w:docPart w:val="GBC22222222222222222222222222222"/>
          </w:placeholder>
        </w:sdtPr>
        <w:sdtEndPr>
          <w:rPr>
            <w:rFonts w:hint="eastAsia"/>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p w14:paraId="107896C7">
      <w:pPr>
        <w:rPr>
          <w:rFonts w:cs="Times New Roman"/>
          <w:color w:val="000000" w:themeColor="text1"/>
          <w14:textFill>
            <w14:solidFill>
              <w14:schemeClr w14:val="tx1"/>
            </w14:solidFill>
          </w14:textFill>
        </w:rPr>
      </w:pPr>
    </w:p>
    <w:p w14:paraId="687B6CE8">
      <w:pPr>
        <w:pStyle w:val="6"/>
        <w:numPr>
          <w:ilvl w:val="0"/>
          <w:numId w:val="60"/>
        </w:numPr>
        <w:rPr>
          <w:rFonts w:hint="eastAsia" w:ascii="宋体" w:hAnsi="宋体" w:cstheme="minorBidi"/>
          <w:color w:val="000000" w:themeColor="text1"/>
          <w:kern w:val="0"/>
          <w:szCs w:val="22"/>
          <w14:textFill>
            <w14:solidFill>
              <w14:schemeClr w14:val="tx1"/>
            </w14:solidFill>
          </w14:textFill>
        </w:rPr>
      </w:pPr>
      <w:bookmarkStart w:id="225" w:name="_Hlk167889908"/>
      <w:bookmarkStart w:id="226" w:name="_Hlk153377225"/>
      <w:r>
        <w:rPr>
          <w:rFonts w:hint="eastAsia" w:ascii="宋体" w:hAnsi="宋体" w:cstheme="minorBidi"/>
          <w:color w:val="000000" w:themeColor="text1"/>
          <w:kern w:val="0"/>
          <w:szCs w:val="22"/>
          <w14:textFill>
            <w14:solidFill>
              <w14:schemeClr w14:val="tx1"/>
            </w14:solidFill>
          </w14:textFill>
        </w:rPr>
        <w:t>按</w:t>
      </w:r>
      <w:r>
        <w:rPr>
          <w:rFonts w:ascii="宋体" w:hAnsi="宋体" w:cstheme="minorBidi"/>
          <w:color w:val="000000" w:themeColor="text1"/>
          <w:kern w:val="0"/>
          <w:szCs w:val="22"/>
          <w14:textFill>
            <w14:solidFill>
              <w14:schemeClr w14:val="tx1"/>
            </w14:solidFill>
          </w14:textFill>
        </w:rPr>
        <w:t>坏账计提方法分类披露</w:t>
      </w:r>
    </w:p>
    <w:sdt>
      <w:sdtPr>
        <w:rPr>
          <w:color w:val="000000" w:themeColor="text1"/>
          <w14:textFill>
            <w14:solidFill>
              <w14:schemeClr w14:val="tx1"/>
            </w14:solidFill>
          </w14:textFill>
        </w:rPr>
        <w:alias w:val="是否适用：按坏账计提方法分类披露[双击切换]"/>
        <w:tag w:val="_GBC_8b70ad2470ad4f7fa9d5783df04c53e3"/>
        <w:id w:val="-1952780688"/>
        <w:placeholder>
          <w:docPart w:val="GBC22222222222222222222222222222"/>
        </w:placeholder>
      </w:sdtPr>
      <w:sdtEndPr>
        <w:rPr>
          <w:color w:val="000000" w:themeColor="text1"/>
          <w14:textFill>
            <w14:solidFill>
              <w14:schemeClr w14:val="tx1"/>
            </w14:solidFill>
          </w14:textFill>
        </w:rPr>
      </w:sdtEndPr>
      <w:sdtContent>
        <w:p w14:paraId="2376A0E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5DD33AD">
      <w:pPr>
        <w:rPr>
          <w:color w:val="000000" w:themeColor="text1"/>
          <w14:textFill>
            <w14:solidFill>
              <w14:schemeClr w14:val="tx1"/>
            </w14:solidFill>
          </w14:textFill>
        </w:rPr>
      </w:pPr>
    </w:p>
    <w:p w14:paraId="1908C233">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w:t>
      </w:r>
    </w:p>
    <w:sdt>
      <w:sdtPr>
        <w:rPr>
          <w:color w:val="000000" w:themeColor="text1"/>
          <w14:textFill>
            <w14:solidFill>
              <w14:schemeClr w14:val="tx1"/>
            </w14:solidFill>
          </w14:textFill>
        </w:rPr>
        <w:alias w:val="是否适用：按单项计提坏账准备的详细情况[双击切换]"/>
        <w:tag w:val="_GBC_483991b4a15b41e5972cf3114089a5f0"/>
        <w:id w:val="-1790197305"/>
        <w:placeholder>
          <w:docPart w:val="GBC22222222222222222222222222222"/>
        </w:placeholder>
      </w:sdtPr>
      <w:sdtEndPr>
        <w:rPr>
          <w:color w:val="000000" w:themeColor="text1"/>
          <w14:textFill>
            <w14:solidFill>
              <w14:schemeClr w14:val="tx1"/>
            </w14:solidFill>
          </w14:textFill>
        </w:rPr>
      </w:sdtEndPr>
      <w:sdtContent>
        <w:p w14:paraId="24AB85A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6CBC23C">
      <w:pPr>
        <w:rPr>
          <w:color w:val="000000" w:themeColor="text1"/>
          <w14:textFill>
            <w14:solidFill>
              <w14:schemeClr w14:val="tx1"/>
            </w14:solidFill>
          </w14:textFill>
        </w:rPr>
      </w:pPr>
    </w:p>
    <w:p w14:paraId="41F3700C">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按单项计提坏账准备的说明：</w:t>
      </w:r>
    </w:p>
    <w:sdt>
      <w:sdtPr>
        <w:rPr>
          <w:color w:val="000000" w:themeColor="text1"/>
          <w14:textFill>
            <w14:solidFill>
              <w14:schemeClr w14:val="tx1"/>
            </w14:solidFill>
          </w14:textFill>
        </w:rPr>
        <w:alias w:val="是否适用：按单项计提坏账准备的说明[双击切换]"/>
        <w:tag w:val="_GBC_d7afb2e278434689a41c386c91ae5fd8"/>
        <w:id w:val="315462572"/>
        <w:placeholder>
          <w:docPart w:val="GBC22222222222222222222222222222"/>
        </w:placeholder>
      </w:sdtPr>
      <w:sdtEndPr>
        <w:rPr>
          <w:color w:val="000000" w:themeColor="text1"/>
          <w14:textFill>
            <w14:solidFill>
              <w14:schemeClr w14:val="tx1"/>
            </w14:solidFill>
          </w14:textFill>
        </w:rPr>
      </w:sdtEndPr>
      <w:sdtContent>
        <w:p w14:paraId="2C81E3D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E0ED526">
      <w:pPr>
        <w:rPr>
          <w:color w:val="000000" w:themeColor="text1"/>
          <w14:textFill>
            <w14:solidFill>
              <w14:schemeClr w14:val="tx1"/>
            </w14:solidFill>
          </w14:textFill>
        </w:rPr>
      </w:pPr>
    </w:p>
    <w:p w14:paraId="6A13DA0F">
      <w:pPr>
        <w:rPr>
          <w:rFonts w:ascii="Calibri" w:hAnsi="Calibri" w:cs="Times New Roman"/>
          <w:bCs w:val="0"/>
          <w:color w:val="000000" w:themeColor="text1"/>
          <w:szCs w:val="22"/>
          <w14:textFill>
            <w14:solidFill>
              <w14:schemeClr w14:val="tx1"/>
            </w14:solidFill>
          </w14:textFill>
        </w:rPr>
      </w:pPr>
      <w:r>
        <w:rPr>
          <w:rFonts w:hint="eastAsia" w:ascii="Calibri" w:hAnsi="Calibri" w:cs="Times New Roman"/>
          <w:color w:val="000000" w:themeColor="text1"/>
          <w:szCs w:val="22"/>
          <w14:textFill>
            <w14:solidFill>
              <w14:schemeClr w14:val="tx1"/>
            </w14:solidFill>
          </w14:textFill>
        </w:rPr>
        <w:t>按组合计提坏账准备：</w:t>
      </w:r>
    </w:p>
    <w:sdt>
      <w:sdtPr>
        <w:rPr>
          <w:rFonts w:ascii="Calibri" w:hAnsi="Calibri" w:cs="Times New Roman"/>
          <w:bCs w:val="0"/>
          <w:color w:val="000000" w:themeColor="text1"/>
          <w:szCs w:val="22"/>
          <w14:textFill>
            <w14:solidFill>
              <w14:schemeClr w14:val="tx1"/>
            </w14:solidFill>
          </w14:textFill>
        </w:rPr>
        <w:alias w:val="是否适用：按组合计提坏账准备的详细情况[双击切换]"/>
        <w:tag w:val="_GBC_37434366d06a4e49b22522b1d88358dd"/>
        <w:id w:val="748310222"/>
        <w:placeholder>
          <w:docPart w:val="GBC22222222222222222222222222222"/>
        </w:placeholder>
      </w:sdtPr>
      <w:sdtEndPr>
        <w:rPr>
          <w:rFonts w:ascii="Calibri" w:hAnsi="Calibri" w:cs="Times New Roman"/>
          <w:bCs w:val="0"/>
          <w:color w:val="000000" w:themeColor="text1"/>
          <w:szCs w:val="22"/>
          <w14:textFill>
            <w14:solidFill>
              <w14:schemeClr w14:val="tx1"/>
            </w14:solidFill>
          </w14:textFill>
        </w:rPr>
      </w:sdtEndPr>
      <w:sdtContent>
        <w:p w14:paraId="16A167B0">
          <w:pPr>
            <w:rPr>
              <w:color w:val="000000" w:themeColor="text1"/>
              <w14:textFill>
                <w14:solidFill>
                  <w14:schemeClr w14:val="tx1"/>
                </w14:solidFill>
              </w14:textFill>
            </w:rPr>
          </w:pPr>
          <w:r>
            <w:rPr>
              <w:rFonts w:ascii="宋体" w:hAnsi="宋体" w:cs="Times New Roman"/>
              <w:bCs w:val="0"/>
              <w:color w:val="000000" w:themeColor="text1"/>
              <w:szCs w:val="22"/>
              <w14:textFill>
                <w14:solidFill>
                  <w14:schemeClr w14:val="tx1"/>
                </w14:solidFill>
              </w14:textFill>
            </w:rPr>
            <w:fldChar w:fldCharType="begin"/>
          </w:r>
          <w:r>
            <w:rPr>
              <w:rFonts w:hint="eastAsia" w:ascii="宋体" w:hAnsi="宋体" w:cs="Times New Roman"/>
              <w:color w:val="000000" w:themeColor="text1"/>
              <w:szCs w:val="22"/>
              <w14:textFill>
                <w14:solidFill>
                  <w14:schemeClr w14:val="tx1"/>
                </w14:solidFill>
              </w14:textFill>
            </w:rPr>
            <w:instrText xml:space="preserve"> MACROBUTTON  SnrToggleCheckbox □适用 </w:instrText>
          </w:r>
          <w:r>
            <w:rPr>
              <w:rFonts w:ascii="宋体" w:hAnsi="宋体" w:cs="Times New Roman"/>
              <w:bCs w:val="0"/>
              <w:color w:val="000000" w:themeColor="text1"/>
              <w:szCs w:val="22"/>
              <w14:textFill>
                <w14:solidFill>
                  <w14:schemeClr w14:val="tx1"/>
                </w14:solidFill>
              </w14:textFill>
            </w:rPr>
            <w:fldChar w:fldCharType="end"/>
          </w:r>
          <w:r>
            <w:rPr>
              <w:rFonts w:ascii="宋体" w:hAnsi="宋体" w:cs="Times New Roman"/>
              <w:bCs w:val="0"/>
              <w:color w:val="000000" w:themeColor="text1"/>
              <w:szCs w:val="22"/>
              <w14:textFill>
                <w14:solidFill>
                  <w14:schemeClr w14:val="tx1"/>
                </w14:solidFill>
              </w14:textFill>
            </w:rPr>
            <w:fldChar w:fldCharType="begin"/>
          </w:r>
          <w:r>
            <w:rPr>
              <w:rFonts w:hint="eastAsia" w:ascii="宋体" w:hAnsi="宋体" w:cs="Times New Roman"/>
              <w:color w:val="000000" w:themeColor="text1"/>
              <w:szCs w:val="22"/>
              <w14:textFill>
                <w14:solidFill>
                  <w14:schemeClr w14:val="tx1"/>
                </w14:solidFill>
              </w14:textFill>
            </w:rPr>
            <w:instrText xml:space="preserve"> MACROBUTTON  SnrToggleCheckbox √不适用 </w:instrText>
          </w:r>
          <w:r>
            <w:rPr>
              <w:rFonts w:ascii="宋体" w:hAnsi="宋体" w:cs="Times New Roman"/>
              <w:bCs w:val="0"/>
              <w:color w:val="000000" w:themeColor="text1"/>
              <w:szCs w:val="22"/>
              <w14:textFill>
                <w14:solidFill>
                  <w14:schemeClr w14:val="tx1"/>
                </w14:solidFill>
              </w14:textFill>
            </w:rPr>
            <w:fldChar w:fldCharType="end"/>
          </w:r>
        </w:p>
      </w:sdtContent>
    </w:sdt>
    <w:p w14:paraId="21FA7E8F">
      <w:pPr>
        <w:rPr>
          <w:color w:val="000000" w:themeColor="text1"/>
          <w14:textFill>
            <w14:solidFill>
              <w14:schemeClr w14:val="tx1"/>
            </w14:solidFill>
          </w14:textFill>
        </w:rPr>
      </w:pPr>
    </w:p>
    <w:p w14:paraId="21D5FDE8">
      <w:pPr>
        <w:rPr>
          <w:rFonts w:ascii="Calibri" w:hAnsi="Calibri" w:cs="Times New Roman"/>
          <w:b/>
          <w:bCs w:val="0"/>
          <w:color w:val="000000" w:themeColor="text1"/>
          <w:szCs w:val="22"/>
          <w14:textFill>
            <w14:solidFill>
              <w14:schemeClr w14:val="tx1"/>
            </w14:solidFill>
          </w14:textFill>
        </w:rPr>
      </w:pPr>
    </w:p>
    <w:bookmarkEnd w:id="225"/>
    <w:bookmarkEnd w:id="226"/>
    <w:p w14:paraId="297A6B79">
      <w:pPr>
        <w:pStyle w:val="6"/>
        <w:numPr>
          <w:ilvl w:val="0"/>
          <w:numId w:val="60"/>
        </w:numPr>
        <w:rPr>
          <w:rFonts w:hint="eastAsia" w:ascii="宋体" w:hAnsi="宋体" w:cstheme="minorBidi"/>
          <w:color w:val="000000" w:themeColor="text1"/>
          <w:kern w:val="0"/>
          <w:szCs w:val="22"/>
          <w14:textFill>
            <w14:solidFill>
              <w14:schemeClr w14:val="tx1"/>
            </w14:solidFill>
          </w14:textFill>
        </w:rPr>
      </w:pPr>
      <w:bookmarkStart w:id="227" w:name="_Hlk10468610"/>
      <w:r>
        <w:rPr>
          <w:rFonts w:hint="eastAsia" w:ascii="宋体" w:hAnsi="宋体" w:cstheme="minorBidi"/>
          <w:color w:val="000000" w:themeColor="text1"/>
          <w:kern w:val="0"/>
          <w:szCs w:val="22"/>
          <w14:textFill>
            <w14:solidFill>
              <w14:schemeClr w14:val="tx1"/>
            </w14:solidFill>
          </w14:textFill>
        </w:rPr>
        <w:t>按预期信用损失一般模型计提坏账准备</w:t>
      </w:r>
    </w:p>
    <w:sdt>
      <w:sdtPr>
        <w:rPr>
          <w:color w:val="000000" w:themeColor="text1"/>
          <w14:textFill>
            <w14:solidFill>
              <w14:schemeClr w14:val="tx1"/>
            </w14:solidFill>
          </w14:textFill>
        </w:rPr>
        <w:alias w:val="是否适用：应收股利坏账准备调节表[双击切换]"/>
        <w:tag w:val="_GBC_5a51eb2bfb0643eb8b9c73cdd0dbec60"/>
        <w:id w:val="1777054680"/>
        <w:placeholder>
          <w:docPart w:val="GBC22222222222222222222222222222"/>
        </w:placeholder>
      </w:sdtPr>
      <w:sdtEndPr>
        <w:rPr>
          <w:color w:val="000000" w:themeColor="text1"/>
          <w14:textFill>
            <w14:solidFill>
              <w14:schemeClr w14:val="tx1"/>
            </w14:solidFill>
          </w14:textFill>
        </w:rPr>
      </w:sdtEndPr>
      <w:sdtContent>
        <w:p w14:paraId="5879D1A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2B89E5F">
      <w:pPr>
        <w:autoSpaceDE w:val="0"/>
        <w:autoSpaceDN w:val="0"/>
        <w:adjustRightInd w:val="0"/>
        <w:ind w:right="105" w:rightChars="50"/>
        <w:rPr>
          <w:color w:val="000000" w:themeColor="text1"/>
          <w14:textFill>
            <w14:solidFill>
              <w14:schemeClr w14:val="tx1"/>
            </w14:solidFill>
          </w14:textFill>
        </w:rPr>
      </w:pPr>
    </w:p>
    <w:p w14:paraId="6FA06E0A">
      <w:pPr>
        <w:rPr>
          <w:color w:val="000000" w:themeColor="text1"/>
          <w14:textFill>
            <w14:solidFill>
              <w14:schemeClr w14:val="tx1"/>
            </w14:solidFill>
          </w14:textFill>
        </w:rPr>
      </w:pPr>
    </w:p>
    <w:bookmarkEnd w:id="227"/>
    <w:p w14:paraId="78AA6174">
      <w:pPr>
        <w:pStyle w:val="6"/>
        <w:numPr>
          <w:ilvl w:val="0"/>
          <w:numId w:val="60"/>
        </w:numPr>
        <w:rPr>
          <w:rFonts w:hint="eastAsia" w:ascii="宋体" w:hAnsi="宋体" w:cs="宋体"/>
          <w:color w:val="000000" w:themeColor="text1"/>
          <w:kern w:val="0"/>
          <w:szCs w:val="24"/>
          <w14:textFill>
            <w14:solidFill>
              <w14:schemeClr w14:val="tx1"/>
            </w14:solidFill>
          </w14:textFill>
        </w:rPr>
      </w:pPr>
      <w:bookmarkStart w:id="228" w:name="_Hlk153377452"/>
      <w:bookmarkStart w:id="229" w:name="_Hlk167890094"/>
      <w:r>
        <w:rPr>
          <w:rFonts w:hint="eastAsia" w:ascii="宋体" w:hAnsi="宋体" w:cs="宋体"/>
          <w:color w:val="000000" w:themeColor="text1"/>
          <w:kern w:val="0"/>
          <w:szCs w:val="24"/>
          <w14:textFill>
            <w14:solidFill>
              <w14:schemeClr w14:val="tx1"/>
            </w14:solidFill>
          </w14:textFill>
        </w:rPr>
        <w:t>坏账准备的情况</w:t>
      </w:r>
    </w:p>
    <w:sdt>
      <w:sdtPr>
        <w:rPr>
          <w:color w:val="000000" w:themeColor="text1"/>
          <w14:textFill>
            <w14:solidFill>
              <w14:schemeClr w14:val="tx1"/>
            </w14:solidFill>
          </w14:textFill>
        </w:rPr>
        <w:alias w:val="是否适用：坏账准备情况[双击切换]"/>
        <w:tag w:val="_GBC_27a4f54f16d145c384ec77d7ec602dbc"/>
        <w:id w:val="-782954412"/>
        <w:placeholder>
          <w:docPart w:val="GBC22222222222222222222222222222"/>
        </w:placeholder>
      </w:sdtPr>
      <w:sdtEndPr>
        <w:rPr>
          <w:color w:val="000000" w:themeColor="text1"/>
          <w14:textFill>
            <w14:solidFill>
              <w14:schemeClr w14:val="tx1"/>
            </w14:solidFill>
          </w14:textFill>
        </w:rPr>
      </w:sdtEndPr>
      <w:sdtContent>
        <w:p w14:paraId="17D27C4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1897050">
      <w:pPr>
        <w:rPr>
          <w:color w:val="000000" w:themeColor="text1"/>
          <w14:textFill>
            <w14:solidFill>
              <w14:schemeClr w14:val="tx1"/>
            </w14:solidFill>
          </w14:textFill>
        </w:rPr>
      </w:pPr>
    </w:p>
    <w:p w14:paraId="00F67B8D">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其中本期坏账准备收回或转回金额重要的：</w:t>
      </w:r>
    </w:p>
    <w:sdt>
      <w:sdtPr>
        <w:rPr>
          <w:color w:val="000000" w:themeColor="text1"/>
          <w14:textFill>
            <w14:solidFill>
              <w14:schemeClr w14:val="tx1"/>
            </w14:solidFill>
          </w14:textFill>
        </w:rPr>
        <w:alias w:val="是否适用：本期坏账准备收回或转回金额重要的[双击切换]"/>
        <w:tag w:val="_GBC_e4fd140c18e841efba2e4cb5bf308654"/>
        <w:id w:val="384993749"/>
        <w:placeholder>
          <w:docPart w:val="GBC22222222222222222222222222222"/>
        </w:placeholder>
      </w:sdtPr>
      <w:sdtEndPr>
        <w:rPr>
          <w:color w:val="000000" w:themeColor="text1"/>
          <w14:textFill>
            <w14:solidFill>
              <w14:schemeClr w14:val="tx1"/>
            </w14:solidFill>
          </w14:textFill>
        </w:rPr>
      </w:sdtEndPr>
      <w:sdtContent>
        <w:p w14:paraId="2B3CE27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D5B99FB">
      <w:pPr>
        <w:rPr>
          <w:color w:val="000000" w:themeColor="text1"/>
          <w14:textFill>
            <w14:solidFill>
              <w14:schemeClr w14:val="tx1"/>
            </w14:solidFill>
          </w14:textFill>
        </w:rPr>
      </w:pPr>
    </w:p>
    <w:p w14:paraId="57AD8CE2">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坏账准备情况的说明"/>
        <w:tag w:val="_GBC_414c7640b0394cf3a868f0350c981765"/>
        <w:id w:val="704366861"/>
        <w:placeholder>
          <w:docPart w:val="GBC22222222222222222222222222222"/>
        </w:placeholder>
      </w:sdtPr>
      <w:sdtEndPr>
        <w:rPr>
          <w:color w:val="000000" w:themeColor="text1"/>
          <w14:textFill>
            <w14:solidFill>
              <w14:schemeClr w14:val="tx1"/>
            </w14:solidFill>
          </w14:textFill>
        </w:rPr>
      </w:sdtEndPr>
      <w:sdtContent>
        <w:p w14:paraId="3802A925">
          <w:pPr>
            <w:ind w:right="42" w:rightChars="20"/>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591FD19F">
      <w:pPr>
        <w:ind w:right="-1594" w:rightChars="-759"/>
        <w:rPr>
          <w:color w:val="000000" w:themeColor="text1"/>
          <w14:textFill>
            <w14:solidFill>
              <w14:schemeClr w14:val="tx1"/>
            </w14:solidFill>
          </w14:textFill>
        </w:rPr>
      </w:pPr>
    </w:p>
    <w:p w14:paraId="34B9B128">
      <w:pPr>
        <w:pStyle w:val="6"/>
        <w:numPr>
          <w:ilvl w:val="0"/>
          <w:numId w:val="60"/>
        </w:numPr>
        <w:rPr>
          <w:rFonts w:hint="eastAsia"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本期实际核销的应收</w:t>
      </w:r>
      <w:r>
        <w:rPr>
          <w:rFonts w:hint="eastAsia" w:ascii="宋体" w:hAnsi="宋体" w:cs="宋体"/>
          <w:color w:val="000000" w:themeColor="text1"/>
          <w:kern w:val="0"/>
          <w:szCs w:val="24"/>
          <w14:textFill>
            <w14:solidFill>
              <w14:schemeClr w14:val="tx1"/>
            </w14:solidFill>
          </w14:textFill>
        </w:rPr>
        <w:t>股利</w:t>
      </w:r>
      <w:r>
        <w:rPr>
          <w:rFonts w:ascii="宋体" w:hAnsi="宋体" w:cs="宋体"/>
          <w:color w:val="000000" w:themeColor="text1"/>
          <w:kern w:val="0"/>
          <w:szCs w:val="24"/>
          <w14:textFill>
            <w14:solidFill>
              <w14:schemeClr w14:val="tx1"/>
            </w14:solidFill>
          </w14:textFill>
        </w:rPr>
        <w:t>情况</w:t>
      </w:r>
    </w:p>
    <w:sdt>
      <w:sdtPr>
        <w:rPr>
          <w:color w:val="000000" w:themeColor="text1"/>
          <w14:textFill>
            <w14:solidFill>
              <w14:schemeClr w14:val="tx1"/>
            </w14:solidFill>
          </w14:textFill>
        </w:rPr>
        <w:alias w:val="是否适用：实际核销的情况[双击切换]"/>
        <w:tag w:val="_GBC_9eaf5a867a514dab9094fbf8401be69b"/>
        <w:id w:val="1406346190"/>
        <w:placeholder>
          <w:docPart w:val="GBC22222222222222222222222222222"/>
        </w:placeholder>
      </w:sdtPr>
      <w:sdtEndPr>
        <w:rPr>
          <w:color w:val="000000" w:themeColor="text1"/>
          <w14:textFill>
            <w14:solidFill>
              <w14:schemeClr w14:val="tx1"/>
            </w14:solidFill>
          </w14:textFill>
        </w:rPr>
      </w:sdtEndPr>
      <w:sdtContent>
        <w:p w14:paraId="2C17ACF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226EA64">
      <w:pPr>
        <w:rPr>
          <w:color w:val="000000" w:themeColor="text1"/>
          <w14:textFill>
            <w14:solidFill>
              <w14:schemeClr w14:val="tx1"/>
            </w14:solidFill>
          </w14:textFill>
        </w:rPr>
      </w:pPr>
    </w:p>
    <w:p w14:paraId="235388DA">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其中重要的应收股利核销情况</w:t>
      </w:r>
    </w:p>
    <w:sdt>
      <w:sdtPr>
        <w:rPr>
          <w:rFonts w:hint="eastAsia"/>
          <w:color w:val="000000" w:themeColor="text1"/>
          <w14:textFill>
            <w14:solidFill>
              <w14:schemeClr w14:val="tx1"/>
            </w14:solidFill>
          </w14:textFill>
        </w:rPr>
        <w:alias w:val="是否适用：重要的核销情况[双击切换]"/>
        <w:tag w:val="_GBC_5cf96e8ce96146ed94b21417af438fca"/>
        <w:id w:val="-1986155457"/>
        <w:placeholder>
          <w:docPart w:val="GBC22222222222222222222222222222"/>
        </w:placeholder>
      </w:sdtPr>
      <w:sdtEndPr>
        <w:rPr>
          <w:rFonts w:hint="eastAsia"/>
          <w:color w:val="000000" w:themeColor="text1"/>
          <w14:textFill>
            <w14:solidFill>
              <w14:schemeClr w14:val="tx1"/>
            </w14:solidFill>
          </w14:textFill>
        </w:rPr>
      </w:sdtEndPr>
      <w:sdtContent>
        <w:p w14:paraId="0F8B0CA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A743A88">
      <w:pPr>
        <w:rPr>
          <w:color w:val="000000" w:themeColor="text1"/>
          <w14:textFill>
            <w14:solidFill>
              <w14:schemeClr w14:val="tx1"/>
            </w14:solidFill>
          </w14:textFill>
        </w:rPr>
      </w:pPr>
    </w:p>
    <w:p w14:paraId="64709CFC">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核销说明：</w:t>
      </w:r>
    </w:p>
    <w:sdt>
      <w:sdtPr>
        <w:rPr>
          <w:color w:val="000000" w:themeColor="text1"/>
          <w14:textFill>
            <w14:solidFill>
              <w14:schemeClr w14:val="tx1"/>
            </w14:solidFill>
          </w14:textFill>
        </w:rPr>
        <w:alias w:val="是否适用：核销说明[双击切换]"/>
        <w:tag w:val="_GBC_cdab003e34144d27a769732520f8f54a"/>
        <w:id w:val="-25109097"/>
        <w:placeholder>
          <w:docPart w:val="GBC22222222222222222222222222222"/>
        </w:placeholder>
      </w:sdtPr>
      <w:sdtEndPr>
        <w:rPr>
          <w:color w:val="000000" w:themeColor="text1"/>
          <w14:textFill>
            <w14:solidFill>
              <w14:schemeClr w14:val="tx1"/>
            </w14:solidFill>
          </w14:textFill>
        </w:rPr>
      </w:sdtEndPr>
      <w:sdtContent>
        <w:p w14:paraId="63D067B8">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D27FA73">
      <w:pPr>
        <w:rPr>
          <w:color w:val="000000" w:themeColor="text1"/>
          <w14:textFill>
            <w14:solidFill>
              <w14:schemeClr w14:val="tx1"/>
            </w14:solidFill>
          </w14:textFill>
        </w:rPr>
      </w:pPr>
    </w:p>
    <w:bookmarkEnd w:id="228"/>
    <w:bookmarkEnd w:id="229"/>
    <w:p w14:paraId="11BFEA3E">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应收股利的说明[双击切换]"/>
        <w:tag w:val="_GBC_108dd924d7ca4fa78961046db5cd354e"/>
        <w:id w:val="-497120338"/>
        <w:placeholder>
          <w:docPart w:val="GBC22222222222222222222222222222"/>
        </w:placeholder>
      </w:sdtPr>
      <w:sdtEndPr>
        <w:rPr>
          <w:color w:val="000000" w:themeColor="text1"/>
          <w14:textFill>
            <w14:solidFill>
              <w14:schemeClr w14:val="tx1"/>
            </w14:solidFill>
          </w14:textFill>
        </w:rPr>
      </w:sdtEndPr>
      <w:sdtContent>
        <w:p w14:paraId="6C03881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E8928C8">
      <w:pPr>
        <w:snapToGrid w:val="0"/>
        <w:spacing w:line="240" w:lineRule="atLeast"/>
        <w:ind w:right="25" w:rightChars="12"/>
        <w:rPr>
          <w:color w:val="000000" w:themeColor="text1"/>
          <w14:textFill>
            <w14:solidFill>
              <w14:schemeClr w14:val="tx1"/>
            </w14:solidFill>
          </w14:textFill>
        </w:rPr>
      </w:pPr>
    </w:p>
    <w:p w14:paraId="4EEE6AAE">
      <w:pPr>
        <w:pStyle w:val="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其他应收款</w:t>
      </w:r>
    </w:p>
    <w:p w14:paraId="2B7F6FE0">
      <w:pPr>
        <w:pStyle w:val="6"/>
        <w:numPr>
          <w:ilvl w:val="0"/>
          <w:numId w:val="61"/>
        </w:numPr>
      </w:pPr>
      <w:bookmarkStart w:id="230" w:name="_Hlk533421204"/>
      <w:bookmarkStart w:id="231" w:name="_Hlk167890330"/>
      <w:r>
        <w:rPr>
          <w:rFonts w:hint="eastAsia"/>
        </w:rPr>
        <w:t>按账龄披露</w:t>
      </w:r>
      <w:bookmarkEnd w:id="230"/>
    </w:p>
    <w:sdt>
      <w:sdtPr>
        <w:rPr>
          <w:rFonts w:hint="eastAsia"/>
          <w:color w:val="000000" w:themeColor="text1"/>
          <w14:textFill>
            <w14:solidFill>
              <w14:schemeClr w14:val="tx1"/>
            </w14:solidFill>
          </w14:textFill>
        </w:rPr>
        <w:alias w:val="是否适用：组合中，按账龄分析法计提坏账准备的其他应收账款[双击切换]"/>
        <w:tag w:val="_GBC_2dc7496d7daf42fabc670f597f99f9a3"/>
        <w:id w:val="663129208"/>
        <w:placeholder>
          <w:docPart w:val="GBC22222222222222222222222222222"/>
        </w:placeholder>
      </w:sdtPr>
      <w:sdtEndPr>
        <w:rPr>
          <w:rFonts w:hint="eastAsia"/>
          <w:color w:val="000000" w:themeColor="text1"/>
          <w14:textFill>
            <w14:solidFill>
              <w14:schemeClr w14:val="tx1"/>
            </w14:solidFill>
          </w14:textFill>
        </w:rPr>
      </w:sdtEndPr>
      <w:sdtContent>
        <w:p w14:paraId="52F3B5F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A98E3E0">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单项金额不重大但按信用风险特征组合后该组合的风险较大的其他应收账款"/>
          <w:tag w:val="_GBC_cdb739275e9048aba4230ed9bd146a45"/>
          <w:id w:val="69835963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单项金额不重大但按信用风险特征组合后该组合的风险较大的其他应收账款"/>
          <w:tag w:val="_GBC_3fef54d9cee94f85a0131be89bc468aa"/>
          <w:id w:val="6030859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3" w:type="dxa"/>
          <w:bottom w:w="0" w:type="dxa"/>
          <w:right w:w="113" w:type="dxa"/>
        </w:tblCellMar>
      </w:tblPr>
      <w:tblGrid>
        <w:gridCol w:w="2993"/>
        <w:gridCol w:w="2915"/>
        <w:gridCol w:w="2915"/>
      </w:tblGrid>
      <w:tr w14:paraId="4D24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sdt>
          <w:sdtPr>
            <w:tag w:val="_PLD_b6e27a2b2e82491eabe1f7ae934a9024"/>
            <w:id w:val="696891937"/>
          </w:sdtPr>
          <w:sdtContent>
            <w:tc>
              <w:tcPr>
                <w:tcW w:w="1696" w:type="pct"/>
                <w:tcBorders>
                  <w:top w:val="single" w:color="auto" w:sz="4" w:space="0"/>
                  <w:left w:val="single" w:color="auto" w:sz="4" w:space="0"/>
                  <w:bottom w:val="single" w:color="auto" w:sz="4" w:space="0"/>
                  <w:right w:val="single" w:color="auto" w:sz="4" w:space="0"/>
                </w:tcBorders>
                <w:vAlign w:val="center"/>
              </w:tcPr>
              <w:p w14:paraId="066B011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账龄</w:t>
                </w:r>
              </w:p>
            </w:tc>
          </w:sdtContent>
        </w:sdt>
        <w:sdt>
          <w:sdtPr>
            <w:tag w:val="_PLD_1ec6a999d56e428c86b4b1d15e441db3"/>
            <w:id w:val="-337153374"/>
          </w:sdtPr>
          <w:sdtContent>
            <w:tc>
              <w:tcPr>
                <w:tcW w:w="1652" w:type="pct"/>
                <w:tcBorders>
                  <w:top w:val="single" w:color="auto" w:sz="4" w:space="0"/>
                  <w:left w:val="single" w:color="auto" w:sz="4" w:space="0"/>
                  <w:bottom w:val="single" w:color="auto" w:sz="4" w:space="0"/>
                  <w:right w:val="single" w:color="auto" w:sz="4" w:space="0"/>
                </w:tcBorders>
                <w:vAlign w:val="center"/>
              </w:tcPr>
              <w:p w14:paraId="5215745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期末账面余额</w:t>
                </w:r>
              </w:p>
            </w:tc>
          </w:sdtContent>
        </w:sdt>
        <w:tc>
          <w:tcPr>
            <w:tcW w:w="1652" w:type="pct"/>
            <w:tcBorders>
              <w:top w:val="single" w:color="auto" w:sz="4" w:space="0"/>
              <w:left w:val="single" w:color="auto" w:sz="4" w:space="0"/>
              <w:bottom w:val="single" w:color="auto" w:sz="4" w:space="0"/>
              <w:right w:val="single" w:color="auto" w:sz="4" w:space="0"/>
            </w:tcBorders>
          </w:tcPr>
          <w:sdt>
            <w:sdtPr>
              <w:tag w:val="_PLD_7e4dd2ab04c74f9b948d19d48ec6182e"/>
              <w:id w:val="204988912"/>
            </w:sdtPr>
            <w:sdtContent>
              <w:p w14:paraId="1C1E300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期初账面余额</w:t>
                </w:r>
              </w:p>
            </w:sdtContent>
          </w:sdt>
        </w:tc>
      </w:tr>
      <w:tr w14:paraId="143E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13D5BAA1">
            <w:pPr>
              <w:rPr>
                <w:color w:val="000000" w:themeColor="text1"/>
                <w14:textFill>
                  <w14:solidFill>
                    <w14:schemeClr w14:val="tx1"/>
                  </w14:solidFill>
                </w14:textFill>
              </w:rPr>
            </w:pPr>
            <w:r>
              <w:rPr>
                <w:rFonts w:hint="eastAsia"/>
                <w:color w:val="000000" w:themeColor="text1"/>
                <w14:textFill>
                  <w14:solidFill>
                    <w14:schemeClr w14:val="tx1"/>
                  </w14:solidFill>
                </w14:textFill>
              </w:rPr>
              <w:t>1年以内（含1年）</w:t>
            </w:r>
          </w:p>
        </w:tc>
        <w:tc>
          <w:tcPr>
            <w:tcW w:w="1652" w:type="pct"/>
            <w:tcBorders>
              <w:top w:val="single" w:color="auto" w:sz="4" w:space="0"/>
              <w:left w:val="single" w:color="auto" w:sz="4" w:space="0"/>
              <w:bottom w:val="single" w:color="auto" w:sz="4" w:space="0"/>
              <w:right w:val="single" w:color="auto" w:sz="4" w:space="0"/>
            </w:tcBorders>
          </w:tcPr>
          <w:p w14:paraId="09657361">
            <w:pPr>
              <w:jc w:val="right"/>
            </w:pPr>
            <w:r>
              <w:t>18,176,243.33</w:t>
            </w:r>
          </w:p>
        </w:tc>
        <w:tc>
          <w:tcPr>
            <w:tcW w:w="1652" w:type="pct"/>
            <w:tcBorders>
              <w:top w:val="single" w:color="auto" w:sz="4" w:space="0"/>
              <w:left w:val="single" w:color="auto" w:sz="4" w:space="0"/>
              <w:bottom w:val="single" w:color="auto" w:sz="4" w:space="0"/>
              <w:right w:val="single" w:color="auto" w:sz="4" w:space="0"/>
            </w:tcBorders>
          </w:tcPr>
          <w:p w14:paraId="14080F42">
            <w:pPr>
              <w:jc w:val="right"/>
            </w:pPr>
            <w:r>
              <w:t>3,426,285.30</w:t>
            </w:r>
          </w:p>
        </w:tc>
      </w:tr>
      <w:tr w14:paraId="5668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29C245B9">
            <w:r>
              <w:rPr>
                <w:rFonts w:hint="eastAsia"/>
              </w:rPr>
              <w:t>其中：1年以内分项</w:t>
            </w:r>
          </w:p>
        </w:tc>
        <w:tc>
          <w:tcPr>
            <w:tcW w:w="1652" w:type="pct"/>
            <w:tcBorders>
              <w:top w:val="single" w:color="auto" w:sz="4" w:space="0"/>
              <w:left w:val="single" w:color="auto" w:sz="4" w:space="0"/>
              <w:bottom w:val="single" w:color="auto" w:sz="4" w:space="0"/>
              <w:right w:val="single" w:color="auto" w:sz="4" w:space="0"/>
            </w:tcBorders>
          </w:tcPr>
          <w:p w14:paraId="1CF98567">
            <w:pPr>
              <w:jc w:val="right"/>
            </w:pPr>
          </w:p>
        </w:tc>
        <w:tc>
          <w:tcPr>
            <w:tcW w:w="1652" w:type="pct"/>
            <w:tcBorders>
              <w:top w:val="single" w:color="auto" w:sz="4" w:space="0"/>
              <w:left w:val="single" w:color="auto" w:sz="4" w:space="0"/>
              <w:bottom w:val="single" w:color="auto" w:sz="4" w:space="0"/>
              <w:right w:val="single" w:color="auto" w:sz="4" w:space="0"/>
            </w:tcBorders>
          </w:tcPr>
          <w:p w14:paraId="2B7F86ED">
            <w:pPr>
              <w:jc w:val="right"/>
            </w:pPr>
          </w:p>
        </w:tc>
      </w:tr>
      <w:tr w14:paraId="7B98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702EACE7">
            <w:r>
              <w:rPr>
                <w:rFonts w:hint="eastAsia"/>
              </w:rPr>
              <w:t>1年以内</w:t>
            </w:r>
          </w:p>
        </w:tc>
        <w:tc>
          <w:tcPr>
            <w:tcW w:w="1652" w:type="pct"/>
            <w:tcBorders>
              <w:top w:val="single" w:color="auto" w:sz="4" w:space="0"/>
              <w:left w:val="single" w:color="auto" w:sz="4" w:space="0"/>
              <w:bottom w:val="single" w:color="auto" w:sz="4" w:space="0"/>
              <w:right w:val="single" w:color="auto" w:sz="4" w:space="0"/>
            </w:tcBorders>
          </w:tcPr>
          <w:p w14:paraId="49ABFA93">
            <w:pPr>
              <w:jc w:val="right"/>
            </w:pPr>
            <w:r>
              <w:t>18,176,243.33</w:t>
            </w:r>
          </w:p>
        </w:tc>
        <w:tc>
          <w:tcPr>
            <w:tcW w:w="1652" w:type="pct"/>
            <w:tcBorders>
              <w:top w:val="single" w:color="auto" w:sz="4" w:space="0"/>
              <w:left w:val="single" w:color="auto" w:sz="4" w:space="0"/>
              <w:bottom w:val="single" w:color="auto" w:sz="4" w:space="0"/>
              <w:right w:val="single" w:color="auto" w:sz="4" w:space="0"/>
            </w:tcBorders>
          </w:tcPr>
          <w:p w14:paraId="65B8BF87">
            <w:pPr>
              <w:jc w:val="right"/>
            </w:pPr>
            <w:r>
              <w:t>3,426,285.30</w:t>
            </w:r>
          </w:p>
        </w:tc>
      </w:tr>
      <w:tr w14:paraId="16DA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52C94269">
            <w:r>
              <w:rPr>
                <w:rFonts w:hint="eastAsia"/>
              </w:rPr>
              <w:t>1年以内小计</w:t>
            </w:r>
          </w:p>
        </w:tc>
        <w:tc>
          <w:tcPr>
            <w:tcW w:w="1652" w:type="pct"/>
            <w:tcBorders>
              <w:top w:val="single" w:color="auto" w:sz="4" w:space="0"/>
              <w:left w:val="single" w:color="auto" w:sz="4" w:space="0"/>
              <w:bottom w:val="single" w:color="auto" w:sz="4" w:space="0"/>
              <w:right w:val="single" w:color="auto" w:sz="4" w:space="0"/>
            </w:tcBorders>
          </w:tcPr>
          <w:p w14:paraId="0E05A3B1">
            <w:pPr>
              <w:jc w:val="right"/>
            </w:pPr>
            <w:r>
              <w:t>18,176,243.33</w:t>
            </w:r>
          </w:p>
        </w:tc>
        <w:tc>
          <w:tcPr>
            <w:tcW w:w="1652" w:type="pct"/>
            <w:tcBorders>
              <w:top w:val="single" w:color="auto" w:sz="4" w:space="0"/>
              <w:left w:val="single" w:color="auto" w:sz="4" w:space="0"/>
              <w:bottom w:val="single" w:color="auto" w:sz="4" w:space="0"/>
              <w:right w:val="single" w:color="auto" w:sz="4" w:space="0"/>
            </w:tcBorders>
          </w:tcPr>
          <w:p w14:paraId="09658636">
            <w:pPr>
              <w:jc w:val="right"/>
            </w:pPr>
            <w:r>
              <w:t>3,426,285.30</w:t>
            </w:r>
          </w:p>
        </w:tc>
      </w:tr>
      <w:tr w14:paraId="0EE8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268BE4A0">
            <w:pPr>
              <w:rPr>
                <w:color w:val="000000" w:themeColor="text1"/>
                <w14:textFill>
                  <w14:solidFill>
                    <w14:schemeClr w14:val="tx1"/>
                  </w14:solidFill>
                </w14:textFill>
              </w:rPr>
            </w:pPr>
            <w:r>
              <w:rPr>
                <w:rFonts w:hint="eastAsia"/>
                <w:color w:val="000000" w:themeColor="text1"/>
                <w14:textFill>
                  <w14:solidFill>
                    <w14:schemeClr w14:val="tx1"/>
                  </w14:solidFill>
                </w14:textFill>
              </w:rPr>
              <w:t>1至2年</w:t>
            </w:r>
          </w:p>
        </w:tc>
        <w:tc>
          <w:tcPr>
            <w:tcW w:w="1652" w:type="pct"/>
            <w:tcBorders>
              <w:top w:val="single" w:color="auto" w:sz="4" w:space="0"/>
              <w:left w:val="single" w:color="auto" w:sz="4" w:space="0"/>
              <w:bottom w:val="single" w:color="auto" w:sz="4" w:space="0"/>
              <w:right w:val="single" w:color="auto" w:sz="4" w:space="0"/>
            </w:tcBorders>
          </w:tcPr>
          <w:p w14:paraId="5FCE8D23">
            <w:pPr>
              <w:jc w:val="right"/>
            </w:pPr>
          </w:p>
        </w:tc>
        <w:tc>
          <w:tcPr>
            <w:tcW w:w="1652" w:type="pct"/>
            <w:tcBorders>
              <w:top w:val="single" w:color="auto" w:sz="4" w:space="0"/>
              <w:left w:val="single" w:color="auto" w:sz="4" w:space="0"/>
              <w:bottom w:val="single" w:color="auto" w:sz="4" w:space="0"/>
              <w:right w:val="single" w:color="auto" w:sz="4" w:space="0"/>
            </w:tcBorders>
          </w:tcPr>
          <w:p w14:paraId="12096EB4">
            <w:pPr>
              <w:jc w:val="right"/>
            </w:pPr>
            <w:r>
              <w:t>4,729,529.26</w:t>
            </w:r>
          </w:p>
        </w:tc>
      </w:tr>
      <w:tr w14:paraId="67C8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104C52D6">
            <w:pPr>
              <w:rPr>
                <w:color w:val="000000" w:themeColor="text1"/>
                <w14:textFill>
                  <w14:solidFill>
                    <w14:schemeClr w14:val="tx1"/>
                  </w14:solidFill>
                </w14:textFill>
              </w:rPr>
            </w:pPr>
            <w:r>
              <w:rPr>
                <w:rFonts w:hint="eastAsia"/>
                <w:color w:val="000000" w:themeColor="text1"/>
                <w14:textFill>
                  <w14:solidFill>
                    <w14:schemeClr w14:val="tx1"/>
                  </w14:solidFill>
                </w14:textFill>
              </w:rPr>
              <w:t>2至3年</w:t>
            </w:r>
          </w:p>
        </w:tc>
        <w:tc>
          <w:tcPr>
            <w:tcW w:w="1652" w:type="pct"/>
            <w:tcBorders>
              <w:top w:val="single" w:color="auto" w:sz="4" w:space="0"/>
              <w:left w:val="single" w:color="auto" w:sz="4" w:space="0"/>
              <w:bottom w:val="single" w:color="auto" w:sz="4" w:space="0"/>
              <w:right w:val="single" w:color="auto" w:sz="4" w:space="0"/>
            </w:tcBorders>
          </w:tcPr>
          <w:p w14:paraId="5B12A240">
            <w:pPr>
              <w:jc w:val="right"/>
            </w:pPr>
            <w:r>
              <w:t>1,698,512.20</w:t>
            </w:r>
          </w:p>
        </w:tc>
        <w:tc>
          <w:tcPr>
            <w:tcW w:w="1652" w:type="pct"/>
            <w:tcBorders>
              <w:top w:val="single" w:color="auto" w:sz="4" w:space="0"/>
              <w:left w:val="single" w:color="auto" w:sz="4" w:space="0"/>
              <w:bottom w:val="single" w:color="auto" w:sz="4" w:space="0"/>
              <w:right w:val="single" w:color="auto" w:sz="4" w:space="0"/>
            </w:tcBorders>
          </w:tcPr>
          <w:p w14:paraId="74E7482A">
            <w:pPr>
              <w:jc w:val="right"/>
            </w:pPr>
            <w:r>
              <w:t>2,692.36</w:t>
            </w:r>
          </w:p>
        </w:tc>
      </w:tr>
      <w:tr w14:paraId="4EFB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0E4D5B46">
            <w:pPr>
              <w:rPr>
                <w:color w:val="000000" w:themeColor="text1"/>
                <w14:textFill>
                  <w14:solidFill>
                    <w14:schemeClr w14:val="tx1"/>
                  </w14:solidFill>
                </w14:textFill>
              </w:rPr>
            </w:pPr>
            <w:r>
              <w:rPr>
                <w:rFonts w:hint="eastAsia"/>
                <w:color w:val="000000" w:themeColor="text1"/>
                <w14:textFill>
                  <w14:solidFill>
                    <w14:schemeClr w14:val="tx1"/>
                  </w14:solidFill>
                </w14:textFill>
              </w:rPr>
              <w:t>3年以上</w:t>
            </w:r>
          </w:p>
        </w:tc>
        <w:tc>
          <w:tcPr>
            <w:tcW w:w="1652" w:type="pct"/>
            <w:tcBorders>
              <w:top w:val="single" w:color="auto" w:sz="4" w:space="0"/>
              <w:left w:val="single" w:color="auto" w:sz="4" w:space="0"/>
              <w:bottom w:val="single" w:color="auto" w:sz="4" w:space="0"/>
              <w:right w:val="single" w:color="auto" w:sz="4" w:space="0"/>
            </w:tcBorders>
          </w:tcPr>
          <w:p w14:paraId="48B35303">
            <w:pPr>
              <w:jc w:val="right"/>
            </w:pPr>
            <w:r>
              <w:t>1,796,142.67</w:t>
            </w:r>
          </w:p>
        </w:tc>
        <w:tc>
          <w:tcPr>
            <w:tcW w:w="1652" w:type="pct"/>
            <w:tcBorders>
              <w:top w:val="single" w:color="auto" w:sz="4" w:space="0"/>
              <w:left w:val="single" w:color="auto" w:sz="4" w:space="0"/>
              <w:bottom w:val="single" w:color="auto" w:sz="4" w:space="0"/>
              <w:right w:val="single" w:color="auto" w:sz="4" w:space="0"/>
            </w:tcBorders>
          </w:tcPr>
          <w:p w14:paraId="228477FA">
            <w:pPr>
              <w:jc w:val="right"/>
            </w:pPr>
            <w:r>
              <w:t>1,493,535.86</w:t>
            </w:r>
          </w:p>
        </w:tc>
      </w:tr>
      <w:tr w14:paraId="5044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vAlign w:val="center"/>
          </w:tcPr>
          <w:p w14:paraId="2DD912C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52" w:type="pct"/>
            <w:tcBorders>
              <w:top w:val="single" w:color="auto" w:sz="4" w:space="0"/>
              <w:left w:val="single" w:color="auto" w:sz="4" w:space="0"/>
              <w:bottom w:val="single" w:color="auto" w:sz="4" w:space="0"/>
              <w:right w:val="single" w:color="auto" w:sz="4" w:space="0"/>
            </w:tcBorders>
          </w:tcPr>
          <w:p w14:paraId="7BB16C0C">
            <w:pPr>
              <w:jc w:val="right"/>
            </w:pPr>
            <w:r>
              <w:t>21,670,898.20</w:t>
            </w:r>
          </w:p>
        </w:tc>
        <w:tc>
          <w:tcPr>
            <w:tcW w:w="1652" w:type="pct"/>
            <w:tcBorders>
              <w:top w:val="single" w:color="auto" w:sz="4" w:space="0"/>
              <w:left w:val="single" w:color="auto" w:sz="4" w:space="0"/>
              <w:bottom w:val="single" w:color="auto" w:sz="4" w:space="0"/>
              <w:right w:val="single" w:color="auto" w:sz="4" w:space="0"/>
            </w:tcBorders>
          </w:tcPr>
          <w:p w14:paraId="608B04D0">
            <w:pPr>
              <w:jc w:val="right"/>
            </w:pPr>
            <w:r>
              <w:t>9,652,042.78</w:t>
            </w:r>
          </w:p>
        </w:tc>
      </w:tr>
    </w:tbl>
    <w:p w14:paraId="7202C745">
      <w:pPr>
        <w:rPr>
          <w:color w:val="000000" w:themeColor="text1"/>
          <w14:textFill>
            <w14:solidFill>
              <w14:schemeClr w14:val="tx1"/>
            </w14:solidFill>
          </w14:textFill>
        </w:rPr>
      </w:pPr>
    </w:p>
    <w:bookmarkEnd w:id="231"/>
    <w:p w14:paraId="6FA3A62A">
      <w:pPr>
        <w:pStyle w:val="6"/>
        <w:numPr>
          <w:ilvl w:val="0"/>
          <w:numId w:val="61"/>
        </w:numPr>
      </w:pPr>
      <w:r>
        <w:rPr>
          <w:rFonts w:hint="eastAsia"/>
        </w:rPr>
        <w:t>按款项性质分类情况</w:t>
      </w:r>
    </w:p>
    <w:sdt>
      <w:sdtPr>
        <w:rPr>
          <w:color w:val="000000" w:themeColor="text1"/>
          <w14:textFill>
            <w14:solidFill>
              <w14:schemeClr w14:val="tx1"/>
            </w14:solidFill>
          </w14:textFill>
        </w:rPr>
        <w:alias w:val="是否适用：其他应收款按款项性质分类情况[双击切换]"/>
        <w:tag w:val="_GBC_43f55a27297f4f93b1b4f668134ac6be"/>
        <w:id w:val="377757934"/>
        <w:placeholder>
          <w:docPart w:val="GBC22222222222222222222222222222"/>
        </w:placeholder>
      </w:sdtPr>
      <w:sdtEndPr>
        <w:rPr>
          <w:color w:val="000000" w:themeColor="text1"/>
          <w14:textFill>
            <w14:solidFill>
              <w14:schemeClr w14:val="tx1"/>
            </w14:solidFill>
          </w14:textFill>
        </w:rPr>
      </w:sdtEndPr>
      <w:sdtContent>
        <w:p w14:paraId="742A7C1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CE74850">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其他应收款按款项性质分类情况"/>
          <w:tag w:val="_GBC_9a3af1171f5640cd83ea2c41e0145167"/>
          <w:id w:val="-191385375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其他应收款按款项性质分类情况"/>
          <w:tag w:val="_GBC_0d096e7260294092a6e9a8405d01bc70"/>
          <w:id w:val="1521194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0"/>
        <w:gridCol w:w="2906"/>
        <w:gridCol w:w="2917"/>
      </w:tblGrid>
      <w:tr w14:paraId="230F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1e66a0098cd34ad6a335156852121360"/>
            <w:id w:val="-1557473888"/>
          </w:sdtPr>
          <w:sdtContent>
            <w:tc>
              <w:tcPr>
                <w:tcW w:w="1700" w:type="pct"/>
                <w:vAlign w:val="center"/>
              </w:tcPr>
              <w:p w14:paraId="6FCDE35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款项性质</w:t>
                </w:r>
              </w:p>
            </w:tc>
          </w:sdtContent>
        </w:sdt>
        <w:sdt>
          <w:sdtPr>
            <w:tag w:val="_PLD_51fee06f6d3944a9bbc7bac249ed63b6"/>
            <w:id w:val="-841319792"/>
          </w:sdtPr>
          <w:sdtContent>
            <w:tc>
              <w:tcPr>
                <w:tcW w:w="1647" w:type="pct"/>
                <w:vAlign w:val="center"/>
              </w:tcPr>
              <w:p w14:paraId="4896E52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期末账面余额</w:t>
                </w:r>
              </w:p>
            </w:tc>
          </w:sdtContent>
        </w:sdt>
        <w:sdt>
          <w:sdtPr>
            <w:tag w:val="_PLD_0297dadecff24ff8926a98d0267a917b"/>
            <w:id w:val="1169673310"/>
          </w:sdtPr>
          <w:sdtContent>
            <w:tc>
              <w:tcPr>
                <w:tcW w:w="1653" w:type="pct"/>
                <w:vAlign w:val="center"/>
              </w:tcPr>
              <w:p w14:paraId="5FE303A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期初账面余额</w:t>
                </w:r>
              </w:p>
            </w:tc>
          </w:sdtContent>
        </w:sdt>
      </w:tr>
      <w:tr w14:paraId="3443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pct"/>
          </w:tcPr>
          <w:p w14:paraId="16C79648">
            <w:r>
              <w:rPr>
                <w:rFonts w:hint="eastAsia" w:ascii="宋体" w:hAnsi="宋体"/>
              </w:rPr>
              <w:t>单位往来款项</w:t>
            </w:r>
          </w:p>
        </w:tc>
        <w:tc>
          <w:tcPr>
            <w:tcW w:w="1647" w:type="pct"/>
          </w:tcPr>
          <w:p w14:paraId="01DD07B3">
            <w:pPr>
              <w:jc w:val="right"/>
            </w:pPr>
            <w:r>
              <w:t>18,450,346.09</w:t>
            </w:r>
          </w:p>
        </w:tc>
        <w:tc>
          <w:tcPr>
            <w:tcW w:w="1653" w:type="pct"/>
            <w:vAlign w:val="center"/>
          </w:tcPr>
          <w:p w14:paraId="177D12B4">
            <w:pPr>
              <w:jc w:val="right"/>
            </w:pPr>
            <w:r>
              <w:rPr>
                <w:rFonts w:hint="eastAsia" w:ascii="宋体" w:hAnsi="宋体"/>
                <w:color w:val="000000"/>
              </w:rPr>
              <w:t>6,780,052.31</w:t>
            </w:r>
          </w:p>
        </w:tc>
      </w:tr>
      <w:tr w14:paraId="7886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pct"/>
          </w:tcPr>
          <w:p w14:paraId="74B5313A">
            <w:r>
              <w:rPr>
                <w:rFonts w:hint="eastAsia" w:ascii="宋体" w:hAnsi="宋体"/>
              </w:rPr>
              <w:t>个人往来款项</w:t>
            </w:r>
          </w:p>
        </w:tc>
        <w:tc>
          <w:tcPr>
            <w:tcW w:w="1647" w:type="pct"/>
          </w:tcPr>
          <w:p w14:paraId="662E610C">
            <w:pPr>
              <w:jc w:val="right"/>
            </w:pPr>
            <w:r>
              <w:t>2,166,310.39</w:t>
            </w:r>
          </w:p>
        </w:tc>
        <w:tc>
          <w:tcPr>
            <w:tcW w:w="1653" w:type="pct"/>
            <w:vAlign w:val="center"/>
          </w:tcPr>
          <w:p w14:paraId="1C4E079E">
            <w:pPr>
              <w:jc w:val="right"/>
            </w:pPr>
            <w:r>
              <w:rPr>
                <w:rFonts w:hint="eastAsia" w:ascii="宋体" w:hAnsi="宋体"/>
                <w:color w:val="000000"/>
              </w:rPr>
              <w:t>1,758,380.71</w:t>
            </w:r>
          </w:p>
        </w:tc>
      </w:tr>
      <w:tr w14:paraId="1696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pct"/>
          </w:tcPr>
          <w:p w14:paraId="15993D6A">
            <w:r>
              <w:rPr>
                <w:rFonts w:hint="eastAsia" w:ascii="宋体" w:hAnsi="宋体"/>
              </w:rPr>
              <w:t>保证金及押金</w:t>
            </w:r>
          </w:p>
        </w:tc>
        <w:tc>
          <w:tcPr>
            <w:tcW w:w="1647" w:type="pct"/>
          </w:tcPr>
          <w:p w14:paraId="32D5D6A9">
            <w:pPr>
              <w:jc w:val="right"/>
            </w:pPr>
            <w:r>
              <w:t>1,054,241.72</w:t>
            </w:r>
          </w:p>
        </w:tc>
        <w:tc>
          <w:tcPr>
            <w:tcW w:w="1653" w:type="pct"/>
            <w:vAlign w:val="center"/>
          </w:tcPr>
          <w:p w14:paraId="5098F25A">
            <w:pPr>
              <w:jc w:val="right"/>
            </w:pPr>
            <w:r>
              <w:rPr>
                <w:rFonts w:hint="eastAsia" w:ascii="宋体" w:hAnsi="宋体"/>
                <w:color w:val="000000"/>
              </w:rPr>
              <w:t>1,113,609.76</w:t>
            </w:r>
          </w:p>
        </w:tc>
      </w:tr>
      <w:tr w14:paraId="4468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pct"/>
          </w:tcPr>
          <w:p w14:paraId="1D75D699">
            <w:pPr>
              <w:jc w:val="center"/>
              <w:rPr>
                <w:color w:val="000000" w:themeColor="text1"/>
                <w14:textFill>
                  <w14:solidFill>
                    <w14:schemeClr w14:val="tx1"/>
                  </w14:solidFill>
                </w14:textFill>
              </w:rPr>
            </w:pPr>
            <w:r>
              <w:rPr>
                <w:color w:val="000000" w:themeColor="text1"/>
                <w14:textFill>
                  <w14:solidFill>
                    <w14:schemeClr w14:val="tx1"/>
                  </w14:solidFill>
                </w14:textFill>
              </w:rPr>
              <w:t>合计</w:t>
            </w:r>
          </w:p>
        </w:tc>
        <w:tc>
          <w:tcPr>
            <w:tcW w:w="1647" w:type="pct"/>
          </w:tcPr>
          <w:p w14:paraId="4CB67709">
            <w:pPr>
              <w:jc w:val="right"/>
            </w:pPr>
            <w:r>
              <w:t>21,670,898.20</w:t>
            </w:r>
          </w:p>
        </w:tc>
        <w:tc>
          <w:tcPr>
            <w:tcW w:w="1653" w:type="pct"/>
            <w:vAlign w:val="center"/>
          </w:tcPr>
          <w:p w14:paraId="0F016ABD">
            <w:pPr>
              <w:jc w:val="right"/>
            </w:pPr>
            <w:r>
              <w:rPr>
                <w:rFonts w:hint="eastAsia" w:ascii="宋体" w:hAnsi="宋体"/>
                <w:color w:val="000000"/>
              </w:rPr>
              <w:t>9,652,042.78</w:t>
            </w:r>
          </w:p>
        </w:tc>
      </w:tr>
    </w:tbl>
    <w:p w14:paraId="7CC20FC6">
      <w:pPr>
        <w:rPr>
          <w:color w:val="000000" w:themeColor="text1"/>
          <w14:textFill>
            <w14:solidFill>
              <w14:schemeClr w14:val="tx1"/>
            </w14:solidFill>
          </w14:textFill>
        </w:rPr>
      </w:pPr>
    </w:p>
    <w:p w14:paraId="3BE42906">
      <w:pPr>
        <w:pStyle w:val="6"/>
        <w:numPr>
          <w:ilvl w:val="0"/>
          <w:numId w:val="61"/>
        </w:numPr>
      </w:pPr>
      <w:bookmarkStart w:id="232" w:name="_Hlk10469799"/>
      <w:r>
        <w:rPr>
          <w:rFonts w:hint="eastAsia"/>
        </w:rPr>
        <w:t>坏账准备计提情况</w:t>
      </w:r>
    </w:p>
    <w:sdt>
      <w:sdtPr>
        <w:rPr>
          <w:color w:val="000000" w:themeColor="text1"/>
          <w14:textFill>
            <w14:solidFill>
              <w14:schemeClr w14:val="tx1"/>
            </w14:solidFill>
          </w14:textFill>
        </w:rPr>
        <w:alias w:val="是否适用：其他应收款坏账准备调节表[双击切换]"/>
        <w:tag w:val="_GBC_29d0c5a1588a4f6589b1f8148c9ef180"/>
        <w:id w:val="-1637179608"/>
        <w:placeholder>
          <w:docPart w:val="GBC22222222222222222222222222222"/>
        </w:placeholder>
      </w:sdtPr>
      <w:sdtEndPr>
        <w:rPr>
          <w:color w:val="000000" w:themeColor="text1"/>
          <w14:textFill>
            <w14:solidFill>
              <w14:schemeClr w14:val="tx1"/>
            </w14:solidFill>
          </w14:textFill>
        </w:rPr>
      </w:sdtEndPr>
      <w:sdtContent>
        <w:p w14:paraId="3B069C0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B8BD800">
      <w:pPr>
        <w:rPr>
          <w:color w:val="000000" w:themeColor="text1"/>
          <w14:textFill>
            <w14:solidFill>
              <w14:schemeClr w14:val="tx1"/>
            </w14:solidFill>
          </w14:textFill>
        </w:rPr>
      </w:pPr>
    </w:p>
    <w:p w14:paraId="6EEA7581">
      <w:pPr>
        <w:rPr>
          <w:color w:val="000000" w:themeColor="text1"/>
          <w14:textFill>
            <w14:solidFill>
              <w14:schemeClr w14:val="tx1"/>
            </w14:solidFill>
          </w14:textFill>
        </w:rPr>
      </w:pPr>
    </w:p>
    <w:bookmarkEnd w:id="232"/>
    <w:p w14:paraId="33AAB94B">
      <w:pPr>
        <w:pStyle w:val="6"/>
        <w:numPr>
          <w:ilvl w:val="0"/>
          <w:numId w:val="61"/>
        </w:numPr>
      </w:pPr>
      <w:bookmarkStart w:id="233" w:name="_Hlk10469877"/>
      <w:r>
        <w:rPr>
          <w:rFonts w:hint="eastAsia"/>
        </w:rPr>
        <w:t>坏账准备的情况</w:t>
      </w:r>
    </w:p>
    <w:sdt>
      <w:sdtPr>
        <w:rPr>
          <w:color w:val="000000" w:themeColor="text1"/>
          <w14:textFill>
            <w14:solidFill>
              <w14:schemeClr w14:val="tx1"/>
            </w14:solidFill>
          </w14:textFill>
        </w:rPr>
        <w:alias w:val="是否适用：其他应收款坏账准备[双击切换]"/>
        <w:tag w:val="_GBC_b3f4f88802a54b1da539ba2563000c5c"/>
        <w:id w:val="677323688"/>
        <w:placeholder>
          <w:docPart w:val="GBC22222222222222222222222222222"/>
        </w:placeholder>
      </w:sdtPr>
      <w:sdtEndPr>
        <w:rPr>
          <w:color w:val="000000" w:themeColor="text1"/>
          <w14:textFill>
            <w14:solidFill>
              <w14:schemeClr w14:val="tx1"/>
            </w14:solidFill>
          </w14:textFill>
        </w:rPr>
      </w:sdtEndPr>
      <w:sdtContent>
        <w:p w14:paraId="12CA647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F7DF395">
      <w:pPr>
        <w:rPr>
          <w:color w:val="000000" w:themeColor="text1"/>
          <w14:textFill>
            <w14:solidFill>
              <w14:schemeClr w14:val="tx1"/>
            </w14:solidFill>
          </w14:textFill>
        </w:rPr>
      </w:pPr>
    </w:p>
    <w:p w14:paraId="797D3A37">
      <w:pPr>
        <w:rPr>
          <w:color w:val="000000" w:themeColor="text1"/>
          <w14:textFill>
            <w14:solidFill>
              <w14:schemeClr w14:val="tx1"/>
            </w14:solidFill>
          </w14:textFill>
        </w:rPr>
      </w:pPr>
      <w:bookmarkStart w:id="234" w:name="_Hlk167890685"/>
      <w:bookmarkStart w:id="235" w:name="_Hlk154157836"/>
      <w:r>
        <w:rPr>
          <w:rFonts w:hint="eastAsia"/>
          <w:color w:val="000000" w:themeColor="text1"/>
          <w14:textFill>
            <w14:solidFill>
              <w14:schemeClr w14:val="tx1"/>
            </w14:solidFill>
          </w14:textFill>
        </w:rPr>
        <w:t>其中本期坏账准备转回或收回金额重要的：</w:t>
      </w:r>
    </w:p>
    <w:sdt>
      <w:sdtPr>
        <w:rPr>
          <w:color w:val="000000" w:themeColor="text1"/>
          <w14:textFill>
            <w14:solidFill>
              <w14:schemeClr w14:val="tx1"/>
            </w14:solidFill>
          </w14:textFill>
        </w:rPr>
        <w:alias w:val="是否适用：其中本期其他应收账款坏账准备收回或转回金额重要的[双击切换]"/>
        <w:tag w:val="_GBC_eff381ff9a444ac19dde18c443ef3ff1"/>
        <w:id w:val="1946648074"/>
        <w:placeholder>
          <w:docPart w:val="GBC22222222222222222222222222222"/>
        </w:placeholder>
      </w:sdtPr>
      <w:sdtEndPr>
        <w:rPr>
          <w:color w:val="000000" w:themeColor="text1"/>
          <w14:textFill>
            <w14:solidFill>
              <w14:schemeClr w14:val="tx1"/>
            </w14:solidFill>
          </w14:textFill>
        </w:rPr>
      </w:sdtEndPr>
      <w:sdtContent>
        <w:p w14:paraId="547A43C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C076E49">
      <w:pPr>
        <w:rPr>
          <w:color w:val="000000" w:themeColor="text1"/>
          <w14:textFill>
            <w14:solidFill>
              <w14:schemeClr w14:val="tx1"/>
            </w14:solidFill>
          </w14:textFill>
        </w:rPr>
      </w:pPr>
    </w:p>
    <w:p w14:paraId="71873BA0">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其他应收款坏账准备情况的说明"/>
        <w:tag w:val="_GBC_11748f5205eb4dda805c8e59fe7ff0df"/>
        <w:id w:val="-184674372"/>
        <w:placeholder>
          <w:docPart w:val="GBC22222222222222222222222222222"/>
        </w:placeholder>
      </w:sdtPr>
      <w:sdtEndPr>
        <w:rPr>
          <w:color w:val="000000" w:themeColor="text1"/>
          <w14:textFill>
            <w14:solidFill>
              <w14:schemeClr w14:val="tx1"/>
            </w14:solidFill>
          </w14:textFill>
        </w:rPr>
      </w:sdtEndPr>
      <w:sdtContent>
        <w:p w14:paraId="6C075F82">
          <w:pPr>
            <w:spacing w:line="360" w:lineRule="auto"/>
            <w:ind w:firstLine="420" w:firstLineChars="200"/>
            <w:rPr>
              <w:color w:val="000000" w:themeColor="text1"/>
              <w14:textFill>
                <w14:solidFill>
                  <w14:schemeClr w14:val="tx1"/>
                </w14:solidFill>
              </w14:textFill>
            </w:rPr>
          </w:pPr>
          <w:sdt>
            <w:sdtPr>
              <w:rPr>
                <w:color w:val="000000" w:themeColor="text1"/>
                <w14:textFill>
                  <w14:solidFill>
                    <w14:schemeClr w14:val="tx1"/>
                  </w14:solidFill>
                </w14:textFill>
              </w:rPr>
              <w:alias w:val="其他应收款坏账准备情况的说明"/>
              <w:tag w:val="_GBC_11748f5205eb4dda805c8e59fe7ff0df"/>
              <w:id w:val="346305769"/>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公司报告期内无金融资产转移的方式终止确认的其他应收款金额，无转移其他应收款且继续涉入形成的资产、负债。</w:t>
              </w:r>
            </w:sdtContent>
          </w:sdt>
        </w:p>
      </w:sdtContent>
    </w:sdt>
    <w:bookmarkEnd w:id="234"/>
    <w:bookmarkEnd w:id="235"/>
    <w:p w14:paraId="71E7FE20">
      <w:pPr>
        <w:rPr>
          <w:color w:val="000000" w:themeColor="text1"/>
          <w14:textFill>
            <w14:solidFill>
              <w14:schemeClr w14:val="tx1"/>
            </w14:solidFill>
          </w14:textFill>
        </w:rPr>
      </w:pPr>
    </w:p>
    <w:p w14:paraId="197988E1">
      <w:pPr>
        <w:rPr>
          <w:color w:val="000000" w:themeColor="text1"/>
          <w14:textFill>
            <w14:solidFill>
              <w14:schemeClr w14:val="tx1"/>
            </w14:solidFill>
          </w14:textFill>
        </w:rPr>
      </w:pPr>
    </w:p>
    <w:bookmarkEnd w:id="233"/>
    <w:p w14:paraId="6C0D1439">
      <w:pPr>
        <w:pStyle w:val="6"/>
        <w:numPr>
          <w:ilvl w:val="0"/>
          <w:numId w:val="61"/>
        </w:numPr>
      </w:pPr>
      <w:r>
        <w:rPr>
          <w:rFonts w:hint="eastAsia"/>
        </w:rPr>
        <w:t>本期实际核销的其他应收款情况</w:t>
      </w:r>
    </w:p>
    <w:sdt>
      <w:sdtPr>
        <w:rPr>
          <w:color w:val="000000" w:themeColor="text1"/>
          <w14:textFill>
            <w14:solidFill>
              <w14:schemeClr w14:val="tx1"/>
            </w14:solidFill>
          </w14:textFill>
        </w:rPr>
        <w:alias w:val="是否适用：本期实际核销的其他应收款情况[双击切换]"/>
        <w:tag w:val="_GBC_99c0ad513e2447ba8b2267c169be5583"/>
        <w:id w:val="-924881498"/>
        <w:placeholder>
          <w:docPart w:val="GBC22222222222222222222222222222"/>
        </w:placeholder>
      </w:sdtPr>
      <w:sdtEndPr>
        <w:rPr>
          <w:color w:val="000000" w:themeColor="text1"/>
          <w14:textFill>
            <w14:solidFill>
              <w14:schemeClr w14:val="tx1"/>
            </w14:solidFill>
          </w14:textFill>
        </w:rPr>
      </w:sdtEndPr>
      <w:sdtContent>
        <w:p w14:paraId="69180B2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6D82D11">
      <w:pPr>
        <w:rPr>
          <w:color w:val="000000" w:themeColor="text1"/>
          <w14:textFill>
            <w14:solidFill>
              <w14:schemeClr w14:val="tx1"/>
            </w14:solidFill>
          </w14:textFill>
        </w:rPr>
      </w:pPr>
    </w:p>
    <w:p w14:paraId="5A6FA942">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其中重要的其他应收款核销情况：</w:t>
      </w:r>
    </w:p>
    <w:sdt>
      <w:sdtPr>
        <w:rPr>
          <w:color w:val="000000" w:themeColor="text1"/>
          <w14:textFill>
            <w14:solidFill>
              <w14:schemeClr w14:val="tx1"/>
            </w14:solidFill>
          </w14:textFill>
        </w:rPr>
        <w:alias w:val="是否适用：其中重要的其他应收款核销情况[双击切换]"/>
        <w:tag w:val="_GBC_18f34d9f47f24d07986c3f3568dd2c70"/>
        <w:id w:val="842432445"/>
        <w:placeholder>
          <w:docPart w:val="GBC22222222222222222222222222222"/>
        </w:placeholder>
      </w:sdtPr>
      <w:sdtEndPr>
        <w:rPr>
          <w:color w:val="000000" w:themeColor="text1"/>
          <w14:textFill>
            <w14:solidFill>
              <w14:schemeClr w14:val="tx1"/>
            </w14:solidFill>
          </w14:textFill>
        </w:rPr>
      </w:sdtEndPr>
      <w:sdtContent>
        <w:p w14:paraId="4EC7CE5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872642E">
      <w:pPr>
        <w:rPr>
          <w:color w:val="000000" w:themeColor="text1"/>
          <w14:textFill>
            <w14:solidFill>
              <w14:schemeClr w14:val="tx1"/>
            </w14:solidFill>
          </w14:textFill>
        </w:rPr>
      </w:pPr>
    </w:p>
    <w:p w14:paraId="6243E25B">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其他应收款核销说明：</w:t>
      </w:r>
    </w:p>
    <w:sdt>
      <w:sdtPr>
        <w:rPr>
          <w:b/>
          <w:bCs w:val="0"/>
          <w:color w:val="000000" w:themeColor="text1"/>
          <w14:textFill>
            <w14:solidFill>
              <w14:schemeClr w14:val="tx1"/>
            </w14:solidFill>
          </w14:textFill>
        </w:rPr>
        <w:alias w:val="是否适用：其他应收款冲销坏帐明细的说明[双击切换]"/>
        <w:tag w:val="_GBC_04f9a50bf0244ec4a466448325e84289"/>
        <w:id w:val="1934932857"/>
        <w:placeholder>
          <w:docPart w:val="GBC22222222222222222222222222222"/>
        </w:placeholder>
      </w:sdtPr>
      <w:sdtEndPr>
        <w:rPr>
          <w:b w:val="0"/>
          <w:bCs w:val="0"/>
          <w:color w:val="000000" w:themeColor="text1"/>
          <w14:textFill>
            <w14:solidFill>
              <w14:schemeClr w14:val="tx1"/>
            </w14:solidFill>
          </w14:textFill>
        </w:rPr>
      </w:sdtEndPr>
      <w:sdtContent>
        <w:p w14:paraId="452629AF">
          <w:pPr>
            <w:snapToGrid w:val="0"/>
            <w:spacing w:line="240" w:lineRule="atLeast"/>
            <w:rPr>
              <w:color w:val="000000" w:themeColor="text1"/>
              <w14:textFill>
                <w14:solidFill>
                  <w14:schemeClr w14:val="tx1"/>
                </w14:solidFill>
              </w14:textFill>
            </w:rPr>
          </w:pPr>
          <w:r>
            <w:rPr>
              <w:rFonts w:ascii="宋体" w:hAnsi="宋体"/>
              <w:bCs w:val="0"/>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bCs w:val="0"/>
              <w:color w:val="000000" w:themeColor="text1"/>
              <w14:textFill>
                <w14:solidFill>
                  <w14:schemeClr w14:val="tx1"/>
                </w14:solidFill>
              </w14:textFill>
            </w:rPr>
            <w:fldChar w:fldCharType="end"/>
          </w:r>
          <w:r>
            <w:rPr>
              <w:rFonts w:ascii="宋体" w:hAnsi="宋体"/>
              <w:bCs w:val="0"/>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bCs w:val="0"/>
              <w:color w:val="000000" w:themeColor="text1"/>
              <w14:textFill>
                <w14:solidFill>
                  <w14:schemeClr w14:val="tx1"/>
                </w14:solidFill>
              </w14:textFill>
            </w:rPr>
            <w:fldChar w:fldCharType="end"/>
          </w:r>
        </w:p>
      </w:sdtContent>
    </w:sdt>
    <w:p w14:paraId="6419F989">
      <w:pPr>
        <w:rPr>
          <w:color w:val="000000" w:themeColor="text1"/>
          <w14:textFill>
            <w14:solidFill>
              <w14:schemeClr w14:val="tx1"/>
            </w14:solidFill>
          </w14:textFill>
        </w:rPr>
      </w:pPr>
    </w:p>
    <w:p w14:paraId="5386EA3D">
      <w:pPr>
        <w:pStyle w:val="6"/>
        <w:numPr>
          <w:ilvl w:val="0"/>
          <w:numId w:val="61"/>
        </w:numPr>
      </w:pPr>
      <w:r>
        <w:rPr>
          <w:rFonts w:hint="eastAsia"/>
        </w:rPr>
        <w:t>按欠款方归集的期末余额前五名的其他应收款情况</w:t>
      </w:r>
    </w:p>
    <w:sdt>
      <w:sdtPr>
        <w:rPr>
          <w:color w:val="000000" w:themeColor="text1"/>
          <w14:textFill>
            <w14:solidFill>
              <w14:schemeClr w14:val="tx1"/>
            </w14:solidFill>
          </w14:textFill>
        </w:rPr>
        <w:alias w:val="是否适用：按欠款方归集的期末余额前五名的其他应收款情况[双击切换]"/>
        <w:tag w:val="_GBC_1ad831584f90441b93cce7d9b7baa3c9"/>
        <w:id w:val="-1340456594"/>
        <w:placeholder>
          <w:docPart w:val="GBC22222222222222222222222222222"/>
        </w:placeholder>
      </w:sdtPr>
      <w:sdtEndPr>
        <w:rPr>
          <w:color w:val="000000" w:themeColor="text1"/>
          <w14:textFill>
            <w14:solidFill>
              <w14:schemeClr w14:val="tx1"/>
            </w14:solidFill>
          </w14:textFill>
        </w:rPr>
      </w:sdtEndPr>
      <w:sdtContent>
        <w:p w14:paraId="79D50E7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D9898B5">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其他应收账款前五名欠款情况"/>
          <w:tag w:val="_GBC_1f85b3036b0644cbaf6c33311b7f159d"/>
          <w:id w:val="15299105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其他应收账款前五名欠款情况"/>
          <w:tag w:val="_GBC_bc5cf48306144a92af62fef51b293c5a"/>
          <w:id w:val="10582142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1" w:type="dxa"/>
          <w:bottom w:w="0" w:type="dxa"/>
          <w:right w:w="31" w:type="dxa"/>
        </w:tblCellMar>
      </w:tblPr>
      <w:tblGrid>
        <w:gridCol w:w="1489"/>
        <w:gridCol w:w="1400"/>
        <w:gridCol w:w="1713"/>
        <w:gridCol w:w="1309"/>
        <w:gridCol w:w="1285"/>
        <w:gridCol w:w="1627"/>
      </w:tblGrid>
      <w:tr w14:paraId="71FB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tag w:val="_PLD_6d371f7abd044db6abe05c7f74810d89"/>
            <w:id w:val="762036638"/>
          </w:sdtPr>
          <w:sdtContent>
            <w:tc>
              <w:tcPr>
                <w:tcW w:w="844" w:type="pct"/>
                <w:vAlign w:val="center"/>
              </w:tcPr>
              <w:p w14:paraId="622761D8">
                <w:pPr>
                  <w:ind w:right="10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单位名称</w:t>
                </w:r>
              </w:p>
            </w:tc>
          </w:sdtContent>
        </w:sdt>
        <w:sdt>
          <w:sdtPr>
            <w:tag w:val="_PLD_9561b3d624ee40c28568fb322a981ebc"/>
            <w:id w:val="774908507"/>
          </w:sdtPr>
          <w:sdtContent>
            <w:tc>
              <w:tcPr>
                <w:tcW w:w="793" w:type="pct"/>
                <w:vAlign w:val="center"/>
              </w:tcPr>
              <w:p w14:paraId="1BE192AF">
                <w:pPr>
                  <w:ind w:right="7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e2774c827e314521821234a0e399c2c1"/>
            <w:id w:val="879055820"/>
          </w:sdtPr>
          <w:sdtContent>
            <w:tc>
              <w:tcPr>
                <w:tcW w:w="971" w:type="pct"/>
                <w:vAlign w:val="center"/>
              </w:tcPr>
              <w:p w14:paraId="37C4F6A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占其他应收款期末余额合计数的比例(</w:t>
                </w:r>
                <w:r>
                  <w:rPr>
                    <w:color w:val="000000" w:themeColor="text1"/>
                    <w14:textFill>
                      <w14:solidFill>
                        <w14:schemeClr w14:val="tx1"/>
                      </w14:solidFill>
                    </w14:textFill>
                  </w:rPr>
                  <w:t>%)</w:t>
                </w:r>
              </w:p>
            </w:tc>
          </w:sdtContent>
        </w:sdt>
        <w:sdt>
          <w:sdtPr>
            <w:tag w:val="_PLD_538171446ab849ca976672ecf5055c60"/>
            <w:id w:val="369027839"/>
          </w:sdtPr>
          <w:sdtContent>
            <w:tc>
              <w:tcPr>
                <w:tcW w:w="742" w:type="pct"/>
                <w:vAlign w:val="center"/>
              </w:tcPr>
              <w:p w14:paraId="1A38200B">
                <w:pPr>
                  <w:ind w:right="7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款项的性质</w:t>
                </w:r>
              </w:p>
            </w:tc>
          </w:sdtContent>
        </w:sdt>
        <w:sdt>
          <w:sdtPr>
            <w:tag w:val="_PLD_a97392b37d5d4c709a23cfdece48161b"/>
            <w:id w:val="-1387329326"/>
          </w:sdtPr>
          <w:sdtContent>
            <w:tc>
              <w:tcPr>
                <w:tcW w:w="728" w:type="pct"/>
                <w:vAlign w:val="center"/>
              </w:tcPr>
              <w:p w14:paraId="76320DA0">
                <w:pPr>
                  <w:ind w:right="7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账龄</w:t>
                </w:r>
              </w:p>
            </w:tc>
          </w:sdtContent>
        </w:sdt>
        <w:sdt>
          <w:sdtPr>
            <w:tag w:val="_PLD_ac7ac1a39d1a46eb9269fc6979d54f6f"/>
            <w:id w:val="-1509755334"/>
          </w:sdtPr>
          <w:sdtContent>
            <w:tc>
              <w:tcPr>
                <w:tcW w:w="922" w:type="pct"/>
                <w:vAlign w:val="center"/>
              </w:tcPr>
              <w:p w14:paraId="7941A5D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坏账准备</w:t>
                </w:r>
              </w:p>
              <w:p w14:paraId="6684068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tr>
      <w:tr w14:paraId="0AF6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844" w:type="pct"/>
            <w:vAlign w:val="center"/>
          </w:tcPr>
          <w:p w14:paraId="636C4181">
            <w:pPr>
              <w:ind w:right="105"/>
            </w:pPr>
            <w:r>
              <w:rPr>
                <w:rFonts w:hint="eastAsia"/>
                <w:color w:val="000000"/>
                <w:sz w:val="22"/>
                <w:szCs w:val="22"/>
              </w:rPr>
              <w:t>荣成市国裕辉水产有限公司</w:t>
            </w:r>
          </w:p>
        </w:tc>
        <w:tc>
          <w:tcPr>
            <w:tcW w:w="793" w:type="pct"/>
            <w:vAlign w:val="center"/>
          </w:tcPr>
          <w:p w14:paraId="4B19CE1A">
            <w:pPr>
              <w:ind w:right="73"/>
              <w:jc w:val="right"/>
            </w:pPr>
            <w:r>
              <w:rPr>
                <w:color w:val="000000"/>
                <w:sz w:val="22"/>
                <w:szCs w:val="22"/>
              </w:rPr>
              <w:t>15,000,000.00</w:t>
            </w:r>
          </w:p>
        </w:tc>
        <w:tc>
          <w:tcPr>
            <w:tcW w:w="971" w:type="pct"/>
            <w:vAlign w:val="center"/>
          </w:tcPr>
          <w:p w14:paraId="380485ED">
            <w:pPr>
              <w:jc w:val="right"/>
            </w:pPr>
            <w:r>
              <w:rPr>
                <w:rFonts w:hint="eastAsia"/>
              </w:rPr>
              <w:t>77.57</w:t>
            </w:r>
          </w:p>
        </w:tc>
        <w:tc>
          <w:tcPr>
            <w:tcW w:w="742" w:type="pct"/>
            <w:vAlign w:val="center"/>
          </w:tcPr>
          <w:p w14:paraId="20929DB5">
            <w:pPr>
              <w:ind w:right="73"/>
            </w:pPr>
            <w:r>
              <w:rPr>
                <w:rFonts w:hint="eastAsia"/>
              </w:rPr>
              <w:t>代借款</w:t>
            </w:r>
          </w:p>
        </w:tc>
        <w:tc>
          <w:tcPr>
            <w:tcW w:w="728" w:type="pct"/>
            <w:vAlign w:val="center"/>
          </w:tcPr>
          <w:p w14:paraId="33B8DC9B">
            <w:pPr>
              <w:ind w:right="73"/>
            </w:pPr>
            <w:r>
              <w:rPr>
                <w:rFonts w:hint="eastAsia"/>
                <w:color w:val="000000"/>
                <w:sz w:val="22"/>
                <w:szCs w:val="22"/>
              </w:rPr>
              <w:t>1年内</w:t>
            </w:r>
          </w:p>
        </w:tc>
        <w:tc>
          <w:tcPr>
            <w:tcW w:w="922" w:type="pct"/>
            <w:vAlign w:val="center"/>
          </w:tcPr>
          <w:p w14:paraId="55F3F475">
            <w:pPr>
              <w:jc w:val="right"/>
            </w:pPr>
            <w:r>
              <w:rPr>
                <w:color w:val="000000"/>
                <w:sz w:val="22"/>
                <w:szCs w:val="22"/>
              </w:rPr>
              <w:t>750,000.00</w:t>
            </w:r>
          </w:p>
        </w:tc>
      </w:tr>
      <w:tr w14:paraId="5059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844" w:type="pct"/>
            <w:vAlign w:val="center"/>
          </w:tcPr>
          <w:p w14:paraId="2EE79865">
            <w:pPr>
              <w:ind w:right="105"/>
            </w:pPr>
            <w:r>
              <w:rPr>
                <w:rFonts w:hint="eastAsia"/>
                <w:color w:val="000000"/>
                <w:sz w:val="22"/>
                <w:szCs w:val="22"/>
              </w:rPr>
              <w:t>虎山镇政府</w:t>
            </w:r>
          </w:p>
        </w:tc>
        <w:tc>
          <w:tcPr>
            <w:tcW w:w="793" w:type="pct"/>
            <w:vAlign w:val="center"/>
          </w:tcPr>
          <w:p w14:paraId="05CE2A0B">
            <w:pPr>
              <w:ind w:right="73"/>
              <w:jc w:val="right"/>
            </w:pPr>
            <w:r>
              <w:rPr>
                <w:color w:val="000000"/>
                <w:sz w:val="22"/>
                <w:szCs w:val="22"/>
              </w:rPr>
              <w:t>757,851.74</w:t>
            </w:r>
          </w:p>
        </w:tc>
        <w:tc>
          <w:tcPr>
            <w:tcW w:w="971" w:type="pct"/>
            <w:vAlign w:val="center"/>
          </w:tcPr>
          <w:p w14:paraId="512FA92F">
            <w:pPr>
              <w:jc w:val="right"/>
            </w:pPr>
            <w:r>
              <w:rPr>
                <w:rFonts w:hint="eastAsia"/>
              </w:rPr>
              <w:t>3.92</w:t>
            </w:r>
          </w:p>
        </w:tc>
        <w:tc>
          <w:tcPr>
            <w:tcW w:w="742" w:type="pct"/>
            <w:vAlign w:val="center"/>
          </w:tcPr>
          <w:p w14:paraId="2C7A4AF7">
            <w:pPr>
              <w:ind w:right="73"/>
            </w:pPr>
            <w:r>
              <w:rPr>
                <w:rFonts w:hint="eastAsia"/>
                <w:color w:val="000000"/>
                <w:sz w:val="22"/>
                <w:szCs w:val="22"/>
              </w:rPr>
              <w:t>单位往来</w:t>
            </w:r>
          </w:p>
        </w:tc>
        <w:tc>
          <w:tcPr>
            <w:tcW w:w="728" w:type="pct"/>
            <w:vAlign w:val="center"/>
          </w:tcPr>
          <w:p w14:paraId="6A9AA5DE">
            <w:pPr>
              <w:ind w:right="73"/>
            </w:pPr>
            <w:r>
              <w:rPr>
                <w:rFonts w:hint="eastAsia"/>
                <w:color w:val="000000"/>
                <w:sz w:val="18"/>
                <w:szCs w:val="18"/>
              </w:rPr>
              <w:t>4-5年</w:t>
            </w:r>
          </w:p>
        </w:tc>
        <w:tc>
          <w:tcPr>
            <w:tcW w:w="922" w:type="pct"/>
            <w:vAlign w:val="center"/>
          </w:tcPr>
          <w:p w14:paraId="49DA2212">
            <w:pPr>
              <w:jc w:val="right"/>
            </w:pPr>
            <w:r>
              <w:rPr>
                <w:color w:val="000000"/>
                <w:sz w:val="22"/>
                <w:szCs w:val="22"/>
              </w:rPr>
              <w:t>378,925.87</w:t>
            </w:r>
          </w:p>
        </w:tc>
      </w:tr>
      <w:tr w14:paraId="58ED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844" w:type="pct"/>
            <w:vAlign w:val="center"/>
          </w:tcPr>
          <w:p w14:paraId="60C76960">
            <w:pPr>
              <w:ind w:right="105"/>
            </w:pPr>
            <w:r>
              <w:rPr>
                <w:rFonts w:hint="eastAsia"/>
                <w:color w:val="000000"/>
                <w:sz w:val="22"/>
                <w:szCs w:val="22"/>
              </w:rPr>
              <w:t>房建阳</w:t>
            </w:r>
          </w:p>
        </w:tc>
        <w:tc>
          <w:tcPr>
            <w:tcW w:w="793" w:type="pct"/>
            <w:vAlign w:val="center"/>
          </w:tcPr>
          <w:p w14:paraId="5D226203">
            <w:pPr>
              <w:ind w:right="73"/>
              <w:jc w:val="right"/>
            </w:pPr>
            <w:r>
              <w:rPr>
                <w:rFonts w:hint="eastAsia"/>
                <w:color w:val="000000"/>
                <w:sz w:val="22"/>
                <w:szCs w:val="22"/>
              </w:rPr>
              <w:t>418,488.11</w:t>
            </w:r>
          </w:p>
        </w:tc>
        <w:tc>
          <w:tcPr>
            <w:tcW w:w="971" w:type="pct"/>
            <w:vAlign w:val="center"/>
          </w:tcPr>
          <w:p w14:paraId="0B16FAA3">
            <w:pPr>
              <w:jc w:val="right"/>
            </w:pPr>
            <w:r>
              <w:rPr>
                <w:rFonts w:hint="eastAsia"/>
              </w:rPr>
              <w:t>2.16</w:t>
            </w:r>
          </w:p>
        </w:tc>
        <w:tc>
          <w:tcPr>
            <w:tcW w:w="742" w:type="pct"/>
            <w:vAlign w:val="center"/>
          </w:tcPr>
          <w:p w14:paraId="0B9A0820">
            <w:pPr>
              <w:ind w:right="73"/>
            </w:pPr>
            <w:r>
              <w:rPr>
                <w:rFonts w:hint="eastAsia"/>
                <w:color w:val="000000"/>
                <w:sz w:val="22"/>
                <w:szCs w:val="22"/>
              </w:rPr>
              <w:t>个人往来</w:t>
            </w:r>
          </w:p>
        </w:tc>
        <w:tc>
          <w:tcPr>
            <w:tcW w:w="728" w:type="pct"/>
            <w:vAlign w:val="center"/>
          </w:tcPr>
          <w:p w14:paraId="2F365CFD">
            <w:pPr>
              <w:ind w:right="73"/>
            </w:pPr>
            <w:r>
              <w:rPr>
                <w:rFonts w:hint="eastAsia"/>
                <w:color w:val="000000"/>
                <w:sz w:val="22"/>
                <w:szCs w:val="22"/>
              </w:rPr>
              <w:t>1年内</w:t>
            </w:r>
          </w:p>
        </w:tc>
        <w:tc>
          <w:tcPr>
            <w:tcW w:w="922" w:type="pct"/>
            <w:vAlign w:val="center"/>
          </w:tcPr>
          <w:p w14:paraId="539A1393">
            <w:pPr>
              <w:jc w:val="right"/>
            </w:pPr>
            <w:r>
              <w:rPr>
                <w:color w:val="000000"/>
                <w:sz w:val="22"/>
                <w:szCs w:val="22"/>
              </w:rPr>
              <w:t>20,924.41</w:t>
            </w:r>
          </w:p>
        </w:tc>
      </w:tr>
      <w:tr w14:paraId="6C5B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844" w:type="pct"/>
            <w:vAlign w:val="center"/>
          </w:tcPr>
          <w:p w14:paraId="4B1BE505">
            <w:pPr>
              <w:ind w:right="105"/>
            </w:pPr>
            <w:r>
              <w:rPr>
                <w:rFonts w:hint="eastAsia"/>
                <w:color w:val="000000"/>
                <w:sz w:val="22"/>
                <w:szCs w:val="22"/>
              </w:rPr>
              <w:t xml:space="preserve">北京惠买在线网络科技有限公司 </w:t>
            </w:r>
          </w:p>
        </w:tc>
        <w:tc>
          <w:tcPr>
            <w:tcW w:w="793" w:type="pct"/>
            <w:vAlign w:val="center"/>
          </w:tcPr>
          <w:p w14:paraId="082DCBB5">
            <w:pPr>
              <w:ind w:right="73"/>
              <w:jc w:val="right"/>
            </w:pPr>
            <w:r>
              <w:rPr>
                <w:color w:val="000000"/>
                <w:sz w:val="22"/>
                <w:szCs w:val="22"/>
              </w:rPr>
              <w:t>312,013.37</w:t>
            </w:r>
          </w:p>
        </w:tc>
        <w:tc>
          <w:tcPr>
            <w:tcW w:w="971" w:type="pct"/>
            <w:vAlign w:val="center"/>
          </w:tcPr>
          <w:p w14:paraId="5FEC9EE4">
            <w:pPr>
              <w:jc w:val="right"/>
            </w:pPr>
            <w:r>
              <w:rPr>
                <w:rFonts w:hint="eastAsia"/>
              </w:rPr>
              <w:t>1.61</w:t>
            </w:r>
          </w:p>
        </w:tc>
        <w:tc>
          <w:tcPr>
            <w:tcW w:w="742" w:type="pct"/>
            <w:vAlign w:val="center"/>
          </w:tcPr>
          <w:p w14:paraId="13987D41">
            <w:pPr>
              <w:ind w:right="73"/>
            </w:pPr>
            <w:r>
              <w:rPr>
                <w:rFonts w:hint="eastAsia"/>
                <w:color w:val="000000"/>
                <w:sz w:val="18"/>
                <w:szCs w:val="18"/>
              </w:rPr>
              <w:t>质保金</w:t>
            </w:r>
          </w:p>
        </w:tc>
        <w:tc>
          <w:tcPr>
            <w:tcW w:w="728" w:type="pct"/>
            <w:vAlign w:val="center"/>
          </w:tcPr>
          <w:p w14:paraId="5C09D3B8">
            <w:pPr>
              <w:ind w:right="73"/>
            </w:pPr>
            <w:r>
              <w:rPr>
                <w:rFonts w:hint="eastAsia"/>
                <w:color w:val="000000"/>
                <w:sz w:val="22"/>
                <w:szCs w:val="22"/>
              </w:rPr>
              <w:t>1年内</w:t>
            </w:r>
          </w:p>
        </w:tc>
        <w:tc>
          <w:tcPr>
            <w:tcW w:w="922" w:type="pct"/>
            <w:vAlign w:val="center"/>
          </w:tcPr>
          <w:p w14:paraId="000C2106">
            <w:pPr>
              <w:jc w:val="right"/>
            </w:pPr>
            <w:r>
              <w:rPr>
                <w:color w:val="000000"/>
                <w:sz w:val="22"/>
                <w:szCs w:val="22"/>
              </w:rPr>
              <w:t>15,600.67</w:t>
            </w:r>
          </w:p>
        </w:tc>
      </w:tr>
      <w:tr w14:paraId="2B38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844" w:type="pct"/>
            <w:vAlign w:val="center"/>
          </w:tcPr>
          <w:p w14:paraId="1DF631C5">
            <w:pPr>
              <w:ind w:right="105"/>
            </w:pPr>
            <w:r>
              <w:rPr>
                <w:rFonts w:hint="eastAsia"/>
                <w:color w:val="000000"/>
                <w:sz w:val="22"/>
                <w:szCs w:val="22"/>
              </w:rPr>
              <w:t xml:space="preserve">张焕岐 </w:t>
            </w:r>
          </w:p>
        </w:tc>
        <w:tc>
          <w:tcPr>
            <w:tcW w:w="793" w:type="pct"/>
            <w:vAlign w:val="center"/>
          </w:tcPr>
          <w:p w14:paraId="08E00CB7">
            <w:pPr>
              <w:ind w:right="73"/>
              <w:jc w:val="right"/>
            </w:pPr>
            <w:r>
              <w:rPr>
                <w:color w:val="000000"/>
                <w:sz w:val="22"/>
                <w:szCs w:val="22"/>
              </w:rPr>
              <w:t>257,978.47</w:t>
            </w:r>
          </w:p>
        </w:tc>
        <w:tc>
          <w:tcPr>
            <w:tcW w:w="971" w:type="pct"/>
            <w:vAlign w:val="center"/>
          </w:tcPr>
          <w:p w14:paraId="16547A29">
            <w:pPr>
              <w:jc w:val="right"/>
            </w:pPr>
            <w:r>
              <w:rPr>
                <w:rFonts w:hint="eastAsia"/>
              </w:rPr>
              <w:t>1.33</w:t>
            </w:r>
          </w:p>
        </w:tc>
        <w:tc>
          <w:tcPr>
            <w:tcW w:w="742" w:type="pct"/>
            <w:vAlign w:val="center"/>
          </w:tcPr>
          <w:p w14:paraId="41DF3AC8">
            <w:pPr>
              <w:ind w:right="73"/>
            </w:pPr>
            <w:r>
              <w:rPr>
                <w:rFonts w:hint="eastAsia"/>
                <w:color w:val="000000"/>
                <w:sz w:val="22"/>
                <w:szCs w:val="22"/>
              </w:rPr>
              <w:t>个人往来</w:t>
            </w:r>
          </w:p>
        </w:tc>
        <w:tc>
          <w:tcPr>
            <w:tcW w:w="728" w:type="pct"/>
            <w:vAlign w:val="center"/>
          </w:tcPr>
          <w:p w14:paraId="2BDED3DD">
            <w:pPr>
              <w:ind w:right="73"/>
            </w:pPr>
            <w:r>
              <w:rPr>
                <w:rFonts w:hint="eastAsia"/>
                <w:color w:val="000000"/>
                <w:sz w:val="22"/>
                <w:szCs w:val="22"/>
              </w:rPr>
              <w:t>5年以上</w:t>
            </w:r>
          </w:p>
        </w:tc>
        <w:tc>
          <w:tcPr>
            <w:tcW w:w="922" w:type="pct"/>
            <w:vAlign w:val="center"/>
          </w:tcPr>
          <w:p w14:paraId="1E728A85">
            <w:pPr>
              <w:jc w:val="right"/>
            </w:pPr>
            <w:r>
              <w:rPr>
                <w:color w:val="000000"/>
                <w:sz w:val="22"/>
                <w:szCs w:val="22"/>
              </w:rPr>
              <w:t>128,989.24</w:t>
            </w:r>
          </w:p>
        </w:tc>
      </w:tr>
      <w:tr w14:paraId="3EFF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844" w:type="pct"/>
          </w:tcPr>
          <w:p w14:paraId="408A5D11">
            <w:pPr>
              <w:ind w:right="10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793" w:type="pct"/>
          </w:tcPr>
          <w:p w14:paraId="17212F78">
            <w:pPr>
              <w:ind w:right="73"/>
              <w:jc w:val="right"/>
            </w:pPr>
            <w:r>
              <w:t>16,746,331.69</w:t>
            </w:r>
          </w:p>
        </w:tc>
        <w:tc>
          <w:tcPr>
            <w:tcW w:w="971" w:type="pct"/>
            <w:vAlign w:val="center"/>
          </w:tcPr>
          <w:p w14:paraId="6F26BD59">
            <w:pPr>
              <w:jc w:val="right"/>
            </w:pPr>
          </w:p>
        </w:tc>
        <w:tc>
          <w:tcPr>
            <w:tcW w:w="742" w:type="pct"/>
          </w:tcPr>
          <w:p w14:paraId="3C3AE65C">
            <w:pPr>
              <w:ind w:right="73"/>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728" w:type="pct"/>
          </w:tcPr>
          <w:p w14:paraId="3AA427F8">
            <w:pPr>
              <w:ind w:right="73"/>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922" w:type="pct"/>
          </w:tcPr>
          <w:p w14:paraId="469E390C">
            <w:pPr>
              <w:jc w:val="right"/>
            </w:pPr>
            <w:r>
              <w:t>1,294,440.19</w:t>
            </w:r>
          </w:p>
        </w:tc>
      </w:tr>
    </w:tbl>
    <w:p w14:paraId="6720B0C3">
      <w:pPr>
        <w:snapToGrid w:val="0"/>
        <w:spacing w:line="240" w:lineRule="atLeast"/>
        <w:rPr>
          <w:color w:val="000000" w:themeColor="text1"/>
          <w14:textFill>
            <w14:solidFill>
              <w14:schemeClr w14:val="tx1"/>
            </w14:solidFill>
          </w14:textFill>
        </w:rPr>
      </w:pPr>
    </w:p>
    <w:p w14:paraId="6C2A29A4">
      <w:pPr>
        <w:pStyle w:val="6"/>
        <w:numPr>
          <w:ilvl w:val="0"/>
          <w:numId w:val="61"/>
        </w:numPr>
        <w:rPr>
          <w:rFonts w:hint="eastAsia" w:ascii="宋体" w:hAnsi="宋体" w:cs="宋体"/>
          <w:color w:val="000000" w:themeColor="text1"/>
          <w:kern w:val="0"/>
          <w:szCs w:val="24"/>
          <w14:textFill>
            <w14:solidFill>
              <w14:schemeClr w14:val="tx1"/>
            </w14:solidFill>
          </w14:textFill>
        </w:rPr>
      </w:pPr>
      <w:bookmarkStart w:id="236" w:name="_Hlk167891115"/>
      <w:r>
        <w:rPr>
          <w:rFonts w:ascii="宋体" w:hAnsi="宋体" w:cs="宋体"/>
          <w:color w:val="000000" w:themeColor="text1"/>
          <w:kern w:val="0"/>
          <w:szCs w:val="24"/>
          <w14:textFill>
            <w14:solidFill>
              <w14:schemeClr w14:val="tx1"/>
            </w14:solidFill>
          </w14:textFill>
        </w:rPr>
        <w:t>因资金集中管理而列报于</w:t>
      </w:r>
      <w:r>
        <w:t>其他</w:t>
      </w:r>
      <w:r>
        <w:rPr>
          <w:rFonts w:ascii="宋体" w:hAnsi="宋体" w:cs="宋体"/>
          <w:color w:val="000000" w:themeColor="text1"/>
          <w:kern w:val="0"/>
          <w:szCs w:val="24"/>
          <w14:textFill>
            <w14:solidFill>
              <w14:schemeClr w14:val="tx1"/>
            </w14:solidFill>
          </w14:textFill>
        </w:rPr>
        <w:t>应收款</w:t>
      </w:r>
    </w:p>
    <w:sdt>
      <w:sdtPr>
        <w:rPr>
          <w:color w:val="000000" w:themeColor="text1"/>
          <w14:textFill>
            <w14:solidFill>
              <w14:schemeClr w14:val="tx1"/>
            </w14:solidFill>
          </w14:textFill>
        </w:rPr>
        <w:alias w:val="是否适用：因资金集中管理而列报于其他应收款[双击切换]"/>
        <w:tag w:val="_GBC_4dd617ad43cc44e08e5603fa324c6566"/>
        <w:id w:val="1973860507"/>
        <w:placeholder>
          <w:docPart w:val="GBC22222222222222222222222222222"/>
        </w:placeholder>
      </w:sdtPr>
      <w:sdtEndPr>
        <w:rPr>
          <w:color w:val="000000" w:themeColor="text1"/>
          <w14:textFill>
            <w14:solidFill>
              <w14:schemeClr w14:val="tx1"/>
            </w14:solidFill>
          </w14:textFill>
        </w:rPr>
      </w:sdtEndPr>
      <w:sdtContent>
        <w:p w14:paraId="2912EE89">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A19DE46">
      <w:pPr>
        <w:snapToGrid w:val="0"/>
        <w:spacing w:line="240" w:lineRule="atLeast"/>
        <w:rPr>
          <w:color w:val="000000" w:themeColor="text1"/>
          <w14:textFill>
            <w14:solidFill>
              <w14:schemeClr w14:val="tx1"/>
            </w14:solidFill>
          </w14:textFill>
        </w:rPr>
      </w:pPr>
    </w:p>
    <w:bookmarkEnd w:id="236"/>
    <w:p w14:paraId="5655BEF5">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r>
        <w:rPr>
          <w:color w:val="000000" w:themeColor="text1"/>
          <w14:textFill>
            <w14:solidFill>
              <w14:schemeClr w14:val="tx1"/>
            </w14:solidFill>
          </w14:textFill>
        </w:rPr>
        <w:t>说明：</w:t>
      </w:r>
    </w:p>
    <w:sdt>
      <w:sdtPr>
        <w:rPr>
          <w:color w:val="000000" w:themeColor="text1"/>
          <w14:textFill>
            <w14:solidFill>
              <w14:schemeClr w14:val="tx1"/>
            </w14:solidFill>
          </w14:textFill>
        </w:rPr>
        <w:alias w:val="是否适用：其他应收款的其他说明[双击切换]"/>
        <w:tag w:val="_GBC_55d570440c184744bd13a4938ba488d1"/>
        <w:id w:val="164138557"/>
        <w:placeholder>
          <w:docPart w:val="GBC22222222222222222222222222222"/>
        </w:placeholder>
      </w:sdtPr>
      <w:sdtEndPr>
        <w:rPr>
          <w:color w:val="000000" w:themeColor="text1"/>
          <w14:textFill>
            <w14:solidFill>
              <w14:schemeClr w14:val="tx1"/>
            </w14:solidFill>
          </w14:textFill>
        </w:rPr>
      </w:sdtEndPr>
      <w:sdtContent>
        <w:p w14:paraId="304EEC5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ECD3EEF">
      <w:pPr>
        <w:rPr>
          <w:color w:val="000000" w:themeColor="text1"/>
          <w14:textFill>
            <w14:solidFill>
              <w14:schemeClr w14:val="tx1"/>
            </w14:solidFill>
          </w14:textFill>
        </w:rPr>
      </w:pPr>
    </w:p>
    <w:p w14:paraId="6FBF37DD">
      <w:pPr>
        <w:rPr>
          <w:color w:val="000000" w:themeColor="text1"/>
          <w14:textFill>
            <w14:solidFill>
              <w14:schemeClr w14:val="tx1"/>
            </w14:solidFill>
          </w14:textFill>
        </w:rPr>
      </w:pPr>
    </w:p>
    <w:p w14:paraId="44D824BE">
      <w:pPr>
        <w:rPr>
          <w:color w:val="000000" w:themeColor="text1"/>
          <w14:textFill>
            <w14:solidFill>
              <w14:schemeClr w14:val="tx1"/>
            </w14:solidFill>
          </w14:textFill>
        </w:rPr>
      </w:pPr>
    </w:p>
    <w:p w14:paraId="02F450A9">
      <w:pPr>
        <w:pStyle w:val="4"/>
        <w:numPr>
          <w:ilvl w:val="0"/>
          <w:numId w:val="53"/>
        </w:numPr>
        <w:tabs>
          <w:tab w:val="left" w:pos="504"/>
        </w:tabs>
        <w:rPr>
          <w:rFonts w:hint="eastAsia"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存货</w:t>
      </w:r>
    </w:p>
    <w:p w14:paraId="71C72434">
      <w:pPr>
        <w:pStyle w:val="5"/>
        <w:numPr>
          <w:ilvl w:val="0"/>
          <w:numId w:val="62"/>
        </w:numPr>
        <w:tabs>
          <w:tab w:val="left" w:pos="630"/>
        </w:tabs>
        <w:rPr>
          <w:rFonts w:hint="eastAsia" w:ascii="宋体" w:hAnsi="宋体"/>
          <w:color w:val="000000" w:themeColor="text1"/>
          <w14:textFill>
            <w14:solidFill>
              <w14:schemeClr w14:val="tx1"/>
            </w14:solidFill>
          </w14:textFill>
        </w:rPr>
      </w:pPr>
      <w:bookmarkStart w:id="237" w:name="_Hlk10470159"/>
      <w:r>
        <w:rPr>
          <w:rFonts w:hint="eastAsia" w:ascii="宋体" w:hAnsi="宋体"/>
          <w:color w:val="000000" w:themeColor="text1"/>
          <w14:textFill>
            <w14:solidFill>
              <w14:schemeClr w14:val="tx1"/>
            </w14:solidFill>
          </w14:textFill>
        </w:rPr>
        <w:t>存货分类</w:t>
      </w:r>
    </w:p>
    <w:sdt>
      <w:sdtPr>
        <w:rPr>
          <w:color w:val="000000" w:themeColor="text1"/>
          <w14:textFill>
            <w14:solidFill>
              <w14:schemeClr w14:val="tx1"/>
            </w14:solidFill>
          </w14:textFill>
        </w:rPr>
        <w:alias w:val="是否适用：存货分类[双击切换]"/>
        <w:tag w:val="_GBC_06c46a03a226418fb8e5e84326c47750"/>
        <w:id w:val="1042173463"/>
        <w:placeholder>
          <w:docPart w:val="GBC22222222222222222222222222222"/>
        </w:placeholder>
      </w:sdtPr>
      <w:sdtEndPr>
        <w:rPr>
          <w:color w:val="000000" w:themeColor="text1"/>
          <w14:textFill>
            <w14:solidFill>
              <w14:schemeClr w14:val="tx1"/>
            </w14:solidFill>
          </w14:textFill>
        </w:rPr>
      </w:sdtEndPr>
      <w:sdtContent>
        <w:p w14:paraId="7FC4E3A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F5EDC94">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存货分类"/>
          <w:tag w:val="_GBC_cc6e1ec3be0141cbb25cf999a897b29b"/>
          <w:id w:val="4328716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存货分类"/>
          <w:tag w:val="_GBC_d85b2ad6790d4fa2ace1d773934cd4b3"/>
          <w:id w:val="6598074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1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1" w:type="dxa"/>
          <w:bottom w:w="0" w:type="dxa"/>
          <w:right w:w="31" w:type="dxa"/>
        </w:tblCellMar>
      </w:tblPr>
      <w:tblGrid>
        <w:gridCol w:w="1317"/>
        <w:gridCol w:w="1380"/>
        <w:gridCol w:w="1260"/>
        <w:gridCol w:w="1380"/>
        <w:gridCol w:w="1193"/>
        <w:gridCol w:w="1179"/>
        <w:gridCol w:w="1358"/>
      </w:tblGrid>
      <w:tr w14:paraId="31F1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tag w:val="_PLD_48d855cd658044389f8d1cbe0016be78"/>
            <w:id w:val="1391158642"/>
          </w:sdtPr>
          <w:sdtContent>
            <w:tc>
              <w:tcPr>
                <w:tcW w:w="770" w:type="pct"/>
                <w:vMerge w:val="restart"/>
                <w:vAlign w:val="center"/>
              </w:tcPr>
              <w:p w14:paraId="3541024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586606f595aa4fff8214f9b6209260b6"/>
            <w:id w:val="667140576"/>
          </w:sdtPr>
          <w:sdtContent>
            <w:tc>
              <w:tcPr>
                <w:tcW w:w="2044" w:type="pct"/>
                <w:gridSpan w:val="3"/>
                <w:vAlign w:val="center"/>
              </w:tcPr>
              <w:p w14:paraId="1A01B9A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a1bbc97888494137a790328386c2b9d8"/>
            <w:id w:val="300746513"/>
          </w:sdtPr>
          <w:sdtContent>
            <w:tc>
              <w:tcPr>
                <w:tcW w:w="2186" w:type="pct"/>
                <w:gridSpan w:val="3"/>
                <w:vAlign w:val="center"/>
              </w:tcPr>
              <w:p w14:paraId="4F3B532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3222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770" w:type="pct"/>
            <w:vMerge w:val="continue"/>
          </w:tcPr>
          <w:p w14:paraId="18637191">
            <w:pPr>
              <w:ind w:right="5"/>
              <w:jc w:val="center"/>
              <w:rPr>
                <w:color w:val="000000" w:themeColor="text1"/>
                <w14:textFill>
                  <w14:solidFill>
                    <w14:schemeClr w14:val="tx1"/>
                  </w14:solidFill>
                </w14:textFill>
              </w:rPr>
            </w:pPr>
          </w:p>
        </w:tc>
        <w:sdt>
          <w:sdtPr>
            <w:tag w:val="_PLD_60368d835c2843d99b5061f4c84f8d8e"/>
            <w:id w:val="1673981411"/>
          </w:sdtPr>
          <w:sdtContent>
            <w:tc>
              <w:tcPr>
                <w:tcW w:w="641" w:type="pct"/>
                <w:vAlign w:val="center"/>
              </w:tcPr>
              <w:p w14:paraId="3A08892A">
                <w:pPr>
                  <w:ind w:right="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tc>
          </w:sdtContent>
        </w:sdt>
        <w:tc>
          <w:tcPr>
            <w:tcW w:w="738" w:type="pct"/>
            <w:vAlign w:val="center"/>
          </w:tcPr>
          <w:p w14:paraId="7482E0A7">
            <w:pPr>
              <w:ind w:right="5"/>
              <w:jc w:val="center"/>
              <w:rPr>
                <w:color w:val="000000" w:themeColor="text1"/>
                <w14:textFill>
                  <w14:solidFill>
                    <w14:schemeClr w14:val="tx1"/>
                  </w14:solidFill>
                </w14:textFill>
              </w:rPr>
            </w:pPr>
            <w:sdt>
              <w:sdtPr>
                <w:tag w:val="_PLD_b5c53ce2a5004db988af9e72594f6b6a"/>
                <w:id w:val="-1908137216"/>
              </w:sdtPr>
              <w:sdtContent>
                <w:r>
                  <w:rPr>
                    <w:rFonts w:hint="eastAsia"/>
                    <w:color w:val="000000" w:themeColor="text1"/>
                    <w14:textFill>
                      <w14:solidFill>
                        <w14:schemeClr w14:val="tx1"/>
                      </w14:solidFill>
                    </w14:textFill>
                  </w:rPr>
                  <w:t>存货跌价准备</w:t>
                </w:r>
                <w:r>
                  <w:rPr>
                    <w:color w:val="000000" w:themeColor="text1"/>
                    <w14:textFill>
                      <w14:solidFill>
                        <w14:schemeClr w14:val="tx1"/>
                      </w14:solidFill>
                    </w14:textFill>
                  </w:rPr>
                  <w:t>/合同履约成本减值准备</w:t>
                </w:r>
              </w:sdtContent>
            </w:sdt>
          </w:p>
        </w:tc>
        <w:sdt>
          <w:sdtPr>
            <w:tag w:val="_PLD_f2691cf723784fbcbc9a900f61c6e250"/>
            <w:id w:val="149953695"/>
          </w:sdtPr>
          <w:sdtContent>
            <w:tc>
              <w:tcPr>
                <w:tcW w:w="664" w:type="pct"/>
                <w:vAlign w:val="center"/>
              </w:tcPr>
              <w:p w14:paraId="5BF1630C">
                <w:pPr>
                  <w:ind w:right="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账面价值</w:t>
                </w:r>
              </w:p>
            </w:tc>
          </w:sdtContent>
        </w:sdt>
        <w:sdt>
          <w:sdtPr>
            <w:tag w:val="_PLD_df34ec94af0b441bab962cb42fe65b1a"/>
            <w:id w:val="1356232514"/>
          </w:sdtPr>
          <w:sdtContent>
            <w:tc>
              <w:tcPr>
                <w:tcW w:w="701" w:type="pct"/>
                <w:vAlign w:val="center"/>
              </w:tcPr>
              <w:p w14:paraId="5671B147">
                <w:pPr>
                  <w:ind w:right="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tc>
          </w:sdtContent>
        </w:sdt>
        <w:tc>
          <w:tcPr>
            <w:tcW w:w="693" w:type="pct"/>
            <w:vAlign w:val="center"/>
          </w:tcPr>
          <w:p w14:paraId="62AADC8A">
            <w:pPr>
              <w:ind w:right="5"/>
              <w:jc w:val="center"/>
              <w:rPr>
                <w:color w:val="000000" w:themeColor="text1"/>
                <w14:textFill>
                  <w14:solidFill>
                    <w14:schemeClr w14:val="tx1"/>
                  </w14:solidFill>
                </w14:textFill>
              </w:rPr>
            </w:pPr>
            <w:sdt>
              <w:sdtPr>
                <w:tag w:val="_PLD_7a42c47b54924b47b9e161d8fd9fb840"/>
                <w:id w:val="1790781780"/>
              </w:sdtPr>
              <w:sdtContent>
                <w:r>
                  <w:rPr>
                    <w:rFonts w:hint="eastAsia"/>
                    <w:color w:val="000000" w:themeColor="text1"/>
                    <w14:textFill>
                      <w14:solidFill>
                        <w14:schemeClr w14:val="tx1"/>
                      </w14:solidFill>
                    </w14:textFill>
                  </w:rPr>
                  <w:t>存货跌价准备</w:t>
                </w:r>
                <w:r>
                  <w:rPr>
                    <w:color w:val="000000" w:themeColor="text1"/>
                    <w14:textFill>
                      <w14:solidFill>
                        <w14:schemeClr w14:val="tx1"/>
                      </w14:solidFill>
                    </w14:textFill>
                  </w:rPr>
                  <w:t>/合同履约成本减值准备</w:t>
                </w:r>
              </w:sdtContent>
            </w:sdt>
          </w:p>
        </w:tc>
        <w:sdt>
          <w:sdtPr>
            <w:tag w:val="_PLD_0db3a7f82db34583bb111dc2a8e88f8c"/>
            <w:id w:val="-1021313016"/>
          </w:sdtPr>
          <w:sdtContent>
            <w:tc>
              <w:tcPr>
                <w:tcW w:w="792" w:type="pct"/>
                <w:vAlign w:val="center"/>
              </w:tcPr>
              <w:p w14:paraId="4FDB7B9D">
                <w:pPr>
                  <w:ind w:right="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账面价值</w:t>
                </w:r>
              </w:p>
            </w:tc>
          </w:sdtContent>
        </w:sdt>
      </w:tr>
      <w:tr w14:paraId="2A2E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770" w:type="pct"/>
            <w:vAlign w:val="center"/>
          </w:tcPr>
          <w:p w14:paraId="6196A139">
            <w:pPr>
              <w:ind w:right="5"/>
              <w:rPr>
                <w:color w:val="000000" w:themeColor="text1"/>
                <w14:textFill>
                  <w14:solidFill>
                    <w14:schemeClr w14:val="tx1"/>
                  </w14:solidFill>
                </w14:textFill>
              </w:rPr>
            </w:pPr>
            <w:r>
              <w:rPr>
                <w:rFonts w:ascii="宋体" w:hAnsi="宋体"/>
                <w:bCs w:val="0"/>
                <w:sz w:val="18"/>
                <w:szCs w:val="18"/>
              </w:rPr>
              <w:t>原材料</w:t>
            </w:r>
          </w:p>
        </w:tc>
        <w:tc>
          <w:tcPr>
            <w:tcW w:w="641" w:type="pct"/>
          </w:tcPr>
          <w:p w14:paraId="6AB3FC25">
            <w:pPr>
              <w:ind w:right="5"/>
              <w:jc w:val="right"/>
            </w:pPr>
            <w:r>
              <w:t>18,668,500.01</w:t>
            </w:r>
          </w:p>
        </w:tc>
        <w:tc>
          <w:tcPr>
            <w:tcW w:w="738" w:type="pct"/>
          </w:tcPr>
          <w:p w14:paraId="15DCFBA0">
            <w:pPr>
              <w:ind w:right="5"/>
              <w:jc w:val="right"/>
            </w:pPr>
          </w:p>
        </w:tc>
        <w:tc>
          <w:tcPr>
            <w:tcW w:w="664" w:type="pct"/>
          </w:tcPr>
          <w:p w14:paraId="59ADD6FB">
            <w:pPr>
              <w:ind w:right="5"/>
              <w:jc w:val="right"/>
            </w:pPr>
            <w:r>
              <w:t>18,668,500.01</w:t>
            </w:r>
          </w:p>
        </w:tc>
        <w:tc>
          <w:tcPr>
            <w:tcW w:w="701" w:type="pct"/>
            <w:vAlign w:val="center"/>
          </w:tcPr>
          <w:p w14:paraId="7D1D3B50">
            <w:pPr>
              <w:ind w:right="5"/>
              <w:jc w:val="right"/>
            </w:pPr>
            <w:r>
              <w:rPr>
                <w:color w:val="000000"/>
                <w:sz w:val="18"/>
                <w:szCs w:val="18"/>
              </w:rPr>
              <w:t>18,947,269.38</w:t>
            </w:r>
          </w:p>
        </w:tc>
        <w:tc>
          <w:tcPr>
            <w:tcW w:w="693" w:type="pct"/>
            <w:vAlign w:val="center"/>
          </w:tcPr>
          <w:p w14:paraId="65796DFC">
            <w:pPr>
              <w:ind w:right="5"/>
              <w:jc w:val="right"/>
            </w:pPr>
          </w:p>
        </w:tc>
        <w:tc>
          <w:tcPr>
            <w:tcW w:w="792" w:type="pct"/>
            <w:vAlign w:val="center"/>
          </w:tcPr>
          <w:p w14:paraId="7E7D5B8C">
            <w:pPr>
              <w:ind w:right="5"/>
              <w:jc w:val="right"/>
            </w:pPr>
            <w:r>
              <w:rPr>
                <w:color w:val="000000"/>
                <w:sz w:val="18"/>
                <w:szCs w:val="18"/>
              </w:rPr>
              <w:t>18,947,269.38</w:t>
            </w:r>
          </w:p>
        </w:tc>
      </w:tr>
      <w:tr w14:paraId="0BAC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770" w:type="pct"/>
            <w:vAlign w:val="center"/>
          </w:tcPr>
          <w:p w14:paraId="42958186">
            <w:pPr>
              <w:ind w:right="5"/>
              <w:rPr>
                <w:color w:val="000000" w:themeColor="text1"/>
                <w14:textFill>
                  <w14:solidFill>
                    <w14:schemeClr w14:val="tx1"/>
                  </w14:solidFill>
                </w14:textFill>
              </w:rPr>
            </w:pPr>
            <w:r>
              <w:rPr>
                <w:rFonts w:ascii="宋体" w:hAnsi="宋体"/>
                <w:bCs w:val="0"/>
                <w:sz w:val="18"/>
                <w:szCs w:val="18"/>
              </w:rPr>
              <w:t>库存商品</w:t>
            </w:r>
          </w:p>
        </w:tc>
        <w:tc>
          <w:tcPr>
            <w:tcW w:w="641" w:type="pct"/>
          </w:tcPr>
          <w:p w14:paraId="7C96C7D8">
            <w:pPr>
              <w:ind w:right="5"/>
              <w:jc w:val="right"/>
            </w:pPr>
            <w:r>
              <w:t>35,728,729.15</w:t>
            </w:r>
          </w:p>
        </w:tc>
        <w:tc>
          <w:tcPr>
            <w:tcW w:w="738" w:type="pct"/>
          </w:tcPr>
          <w:p w14:paraId="3F7DA553">
            <w:pPr>
              <w:ind w:right="5"/>
              <w:jc w:val="right"/>
            </w:pPr>
            <w:r>
              <w:t>308,911.82</w:t>
            </w:r>
          </w:p>
        </w:tc>
        <w:tc>
          <w:tcPr>
            <w:tcW w:w="664" w:type="pct"/>
          </w:tcPr>
          <w:p w14:paraId="523C44BB">
            <w:pPr>
              <w:ind w:right="5"/>
              <w:jc w:val="right"/>
            </w:pPr>
            <w:r>
              <w:t>35,419,817.33</w:t>
            </w:r>
          </w:p>
        </w:tc>
        <w:tc>
          <w:tcPr>
            <w:tcW w:w="701" w:type="pct"/>
            <w:vAlign w:val="center"/>
          </w:tcPr>
          <w:p w14:paraId="6D25A321">
            <w:pPr>
              <w:ind w:right="5"/>
              <w:jc w:val="right"/>
            </w:pPr>
            <w:r>
              <w:rPr>
                <w:color w:val="000000"/>
                <w:sz w:val="18"/>
                <w:szCs w:val="18"/>
              </w:rPr>
              <w:t>54,297,090.51</w:t>
            </w:r>
          </w:p>
        </w:tc>
        <w:tc>
          <w:tcPr>
            <w:tcW w:w="693" w:type="pct"/>
            <w:vAlign w:val="center"/>
          </w:tcPr>
          <w:p w14:paraId="57F02A17">
            <w:pPr>
              <w:ind w:right="5"/>
              <w:jc w:val="right"/>
            </w:pPr>
            <w:r>
              <w:rPr>
                <w:color w:val="000000"/>
                <w:sz w:val="18"/>
                <w:szCs w:val="18"/>
              </w:rPr>
              <w:t>887,226.25</w:t>
            </w:r>
          </w:p>
        </w:tc>
        <w:tc>
          <w:tcPr>
            <w:tcW w:w="792" w:type="pct"/>
            <w:vAlign w:val="center"/>
          </w:tcPr>
          <w:p w14:paraId="338B8CFF">
            <w:pPr>
              <w:ind w:right="5"/>
              <w:jc w:val="right"/>
            </w:pPr>
            <w:r>
              <w:rPr>
                <w:color w:val="000000"/>
                <w:sz w:val="18"/>
                <w:szCs w:val="18"/>
              </w:rPr>
              <w:t>53,409,864.26</w:t>
            </w:r>
          </w:p>
        </w:tc>
      </w:tr>
      <w:tr w14:paraId="3691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770" w:type="pct"/>
            <w:vAlign w:val="center"/>
          </w:tcPr>
          <w:p w14:paraId="03497DE3">
            <w:pPr>
              <w:ind w:right="5"/>
              <w:rPr>
                <w:color w:val="000000" w:themeColor="text1"/>
                <w14:textFill>
                  <w14:solidFill>
                    <w14:schemeClr w14:val="tx1"/>
                  </w14:solidFill>
                </w14:textFill>
              </w:rPr>
            </w:pPr>
            <w:r>
              <w:rPr>
                <w:rFonts w:ascii="宋体" w:hAnsi="宋体"/>
                <w:bCs w:val="0"/>
                <w:sz w:val="18"/>
                <w:szCs w:val="18"/>
              </w:rPr>
              <w:t>消耗性生物资产</w:t>
            </w:r>
          </w:p>
        </w:tc>
        <w:tc>
          <w:tcPr>
            <w:tcW w:w="641" w:type="pct"/>
          </w:tcPr>
          <w:p w14:paraId="356F0F55">
            <w:pPr>
              <w:ind w:right="5"/>
              <w:jc w:val="right"/>
            </w:pPr>
            <w:r>
              <w:t>490,144,895.55</w:t>
            </w:r>
          </w:p>
        </w:tc>
        <w:tc>
          <w:tcPr>
            <w:tcW w:w="738" w:type="pct"/>
          </w:tcPr>
          <w:p w14:paraId="00AC0D9F">
            <w:pPr>
              <w:ind w:right="5"/>
              <w:jc w:val="right"/>
            </w:pPr>
          </w:p>
        </w:tc>
        <w:tc>
          <w:tcPr>
            <w:tcW w:w="664" w:type="pct"/>
          </w:tcPr>
          <w:p w14:paraId="639339CB">
            <w:pPr>
              <w:ind w:right="5"/>
              <w:jc w:val="right"/>
            </w:pPr>
            <w:r>
              <w:t>490,144,895.55</w:t>
            </w:r>
          </w:p>
        </w:tc>
        <w:tc>
          <w:tcPr>
            <w:tcW w:w="701" w:type="pct"/>
            <w:vAlign w:val="center"/>
          </w:tcPr>
          <w:p w14:paraId="221D00F5">
            <w:pPr>
              <w:ind w:right="5"/>
              <w:jc w:val="right"/>
            </w:pPr>
            <w:r>
              <w:rPr>
                <w:color w:val="000000"/>
                <w:sz w:val="18"/>
                <w:szCs w:val="18"/>
              </w:rPr>
              <w:t>494,390,638.94</w:t>
            </w:r>
          </w:p>
        </w:tc>
        <w:tc>
          <w:tcPr>
            <w:tcW w:w="693" w:type="pct"/>
            <w:vAlign w:val="center"/>
          </w:tcPr>
          <w:p w14:paraId="4DBA7EA3">
            <w:pPr>
              <w:ind w:right="5"/>
              <w:jc w:val="right"/>
            </w:pPr>
          </w:p>
        </w:tc>
        <w:tc>
          <w:tcPr>
            <w:tcW w:w="792" w:type="pct"/>
            <w:vAlign w:val="center"/>
          </w:tcPr>
          <w:p w14:paraId="0698FF92">
            <w:pPr>
              <w:ind w:right="5"/>
              <w:jc w:val="right"/>
            </w:pPr>
            <w:r>
              <w:rPr>
                <w:color w:val="000000"/>
                <w:sz w:val="18"/>
                <w:szCs w:val="18"/>
              </w:rPr>
              <w:t>494,390,638.94</w:t>
            </w:r>
          </w:p>
        </w:tc>
      </w:tr>
      <w:tr w14:paraId="0828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770" w:type="pct"/>
            <w:vAlign w:val="center"/>
          </w:tcPr>
          <w:p w14:paraId="7C92AE8B">
            <w:pPr>
              <w:autoSpaceDE w:val="0"/>
              <w:autoSpaceDN w:val="0"/>
              <w:adjustRightInd w:val="0"/>
              <w:rPr>
                <w:color w:val="000000" w:themeColor="text1"/>
                <w14:textFill>
                  <w14:solidFill>
                    <w14:schemeClr w14:val="tx1"/>
                  </w14:solidFill>
                </w14:textFill>
              </w:rPr>
            </w:pPr>
            <w:r>
              <w:rPr>
                <w:rFonts w:ascii="宋体" w:hAnsi="宋体"/>
                <w:bCs w:val="0"/>
                <w:sz w:val="18"/>
                <w:szCs w:val="18"/>
              </w:rPr>
              <w:t>自制半成品</w:t>
            </w:r>
          </w:p>
        </w:tc>
        <w:tc>
          <w:tcPr>
            <w:tcW w:w="641" w:type="pct"/>
          </w:tcPr>
          <w:p w14:paraId="223F0861">
            <w:pPr>
              <w:jc w:val="right"/>
            </w:pPr>
            <w:r>
              <w:t>144,818,424.74</w:t>
            </w:r>
          </w:p>
        </w:tc>
        <w:tc>
          <w:tcPr>
            <w:tcW w:w="738" w:type="pct"/>
          </w:tcPr>
          <w:p w14:paraId="67312AB5">
            <w:pPr>
              <w:jc w:val="right"/>
            </w:pPr>
          </w:p>
        </w:tc>
        <w:tc>
          <w:tcPr>
            <w:tcW w:w="664" w:type="pct"/>
          </w:tcPr>
          <w:p w14:paraId="644047CE">
            <w:pPr>
              <w:jc w:val="right"/>
            </w:pPr>
            <w:r>
              <w:t>144,818,424.74</w:t>
            </w:r>
          </w:p>
        </w:tc>
        <w:tc>
          <w:tcPr>
            <w:tcW w:w="701" w:type="pct"/>
            <w:vAlign w:val="center"/>
          </w:tcPr>
          <w:p w14:paraId="110F92D0">
            <w:pPr>
              <w:ind w:right="5"/>
              <w:jc w:val="right"/>
            </w:pPr>
            <w:r>
              <w:rPr>
                <w:color w:val="000000"/>
                <w:sz w:val="18"/>
                <w:szCs w:val="18"/>
              </w:rPr>
              <w:t>198,816,455.32</w:t>
            </w:r>
          </w:p>
        </w:tc>
        <w:tc>
          <w:tcPr>
            <w:tcW w:w="693" w:type="pct"/>
            <w:vAlign w:val="center"/>
          </w:tcPr>
          <w:p w14:paraId="1D7FFB66">
            <w:pPr>
              <w:ind w:right="5"/>
              <w:jc w:val="right"/>
            </w:pPr>
          </w:p>
        </w:tc>
        <w:tc>
          <w:tcPr>
            <w:tcW w:w="792" w:type="pct"/>
            <w:vAlign w:val="center"/>
          </w:tcPr>
          <w:p w14:paraId="51DC369E">
            <w:pPr>
              <w:ind w:right="5"/>
              <w:jc w:val="right"/>
            </w:pPr>
            <w:r>
              <w:rPr>
                <w:color w:val="000000"/>
                <w:sz w:val="18"/>
                <w:szCs w:val="18"/>
              </w:rPr>
              <w:t>198,816,455.32</w:t>
            </w:r>
          </w:p>
        </w:tc>
      </w:tr>
      <w:tr w14:paraId="6862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770" w:type="pct"/>
            <w:vAlign w:val="center"/>
          </w:tcPr>
          <w:p w14:paraId="0B035A7A">
            <w:pPr>
              <w:autoSpaceDE w:val="0"/>
              <w:autoSpaceDN w:val="0"/>
              <w:adjustRightInd w:val="0"/>
              <w:rPr>
                <w:color w:val="000000" w:themeColor="text1"/>
                <w14:textFill>
                  <w14:solidFill>
                    <w14:schemeClr w14:val="tx1"/>
                  </w14:solidFill>
                </w14:textFill>
              </w:rPr>
            </w:pPr>
            <w:r>
              <w:rPr>
                <w:rFonts w:ascii="宋体" w:hAnsi="宋体"/>
                <w:bCs w:val="0"/>
                <w:sz w:val="18"/>
                <w:szCs w:val="18"/>
              </w:rPr>
              <w:t>低值易耗品</w:t>
            </w:r>
          </w:p>
        </w:tc>
        <w:tc>
          <w:tcPr>
            <w:tcW w:w="641" w:type="pct"/>
          </w:tcPr>
          <w:p w14:paraId="1AB2B345">
            <w:pPr>
              <w:jc w:val="right"/>
            </w:pPr>
            <w:r>
              <w:t>16,764,766.54</w:t>
            </w:r>
          </w:p>
        </w:tc>
        <w:tc>
          <w:tcPr>
            <w:tcW w:w="738" w:type="pct"/>
          </w:tcPr>
          <w:p w14:paraId="54941357">
            <w:pPr>
              <w:jc w:val="right"/>
            </w:pPr>
          </w:p>
        </w:tc>
        <w:tc>
          <w:tcPr>
            <w:tcW w:w="664" w:type="pct"/>
          </w:tcPr>
          <w:p w14:paraId="4FB6D010">
            <w:pPr>
              <w:jc w:val="right"/>
            </w:pPr>
            <w:r>
              <w:t>16,764,766.54</w:t>
            </w:r>
          </w:p>
        </w:tc>
        <w:tc>
          <w:tcPr>
            <w:tcW w:w="701" w:type="pct"/>
            <w:vAlign w:val="center"/>
          </w:tcPr>
          <w:p w14:paraId="3358DF63">
            <w:pPr>
              <w:ind w:right="5"/>
              <w:jc w:val="right"/>
            </w:pPr>
            <w:r>
              <w:rPr>
                <w:color w:val="000000"/>
                <w:sz w:val="18"/>
                <w:szCs w:val="18"/>
              </w:rPr>
              <w:t>16,859,069.79</w:t>
            </w:r>
          </w:p>
        </w:tc>
        <w:tc>
          <w:tcPr>
            <w:tcW w:w="693" w:type="pct"/>
            <w:vAlign w:val="center"/>
          </w:tcPr>
          <w:p w14:paraId="737EB02E">
            <w:pPr>
              <w:ind w:right="5"/>
              <w:jc w:val="right"/>
            </w:pPr>
          </w:p>
        </w:tc>
        <w:tc>
          <w:tcPr>
            <w:tcW w:w="792" w:type="pct"/>
            <w:vAlign w:val="center"/>
          </w:tcPr>
          <w:p w14:paraId="5E39BF08">
            <w:pPr>
              <w:ind w:right="5"/>
              <w:jc w:val="right"/>
            </w:pPr>
            <w:r>
              <w:rPr>
                <w:color w:val="000000"/>
                <w:sz w:val="18"/>
                <w:szCs w:val="18"/>
              </w:rPr>
              <w:t>16,859,069.79</w:t>
            </w:r>
          </w:p>
        </w:tc>
      </w:tr>
      <w:tr w14:paraId="27FB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770" w:type="pct"/>
            <w:vAlign w:val="center"/>
          </w:tcPr>
          <w:p w14:paraId="27B59266">
            <w:pPr>
              <w:autoSpaceDE w:val="0"/>
              <w:autoSpaceDN w:val="0"/>
              <w:adjustRightInd w:val="0"/>
              <w:rPr>
                <w:color w:val="000000" w:themeColor="text1"/>
                <w14:textFill>
                  <w14:solidFill>
                    <w14:schemeClr w14:val="tx1"/>
                  </w14:solidFill>
                </w14:textFill>
              </w:rPr>
            </w:pPr>
            <w:r>
              <w:rPr>
                <w:rFonts w:ascii="宋体" w:hAnsi="宋体"/>
                <w:bCs w:val="0"/>
                <w:sz w:val="18"/>
                <w:szCs w:val="18"/>
              </w:rPr>
              <w:t>包装物</w:t>
            </w:r>
          </w:p>
        </w:tc>
        <w:tc>
          <w:tcPr>
            <w:tcW w:w="641" w:type="pct"/>
          </w:tcPr>
          <w:p w14:paraId="7BBE22DA">
            <w:pPr>
              <w:ind w:right="5"/>
              <w:jc w:val="right"/>
            </w:pPr>
            <w:r>
              <w:t>2,834,923.55</w:t>
            </w:r>
          </w:p>
        </w:tc>
        <w:tc>
          <w:tcPr>
            <w:tcW w:w="738" w:type="pct"/>
          </w:tcPr>
          <w:p w14:paraId="484BF031">
            <w:pPr>
              <w:ind w:right="5"/>
              <w:jc w:val="right"/>
            </w:pPr>
          </w:p>
        </w:tc>
        <w:tc>
          <w:tcPr>
            <w:tcW w:w="664" w:type="pct"/>
          </w:tcPr>
          <w:p w14:paraId="244A7054">
            <w:pPr>
              <w:ind w:right="5"/>
              <w:jc w:val="right"/>
            </w:pPr>
            <w:r>
              <w:t>2,834,923.55</w:t>
            </w:r>
          </w:p>
        </w:tc>
        <w:tc>
          <w:tcPr>
            <w:tcW w:w="701" w:type="pct"/>
            <w:vAlign w:val="center"/>
          </w:tcPr>
          <w:p w14:paraId="56C408E7">
            <w:pPr>
              <w:ind w:right="5"/>
              <w:jc w:val="right"/>
            </w:pPr>
            <w:r>
              <w:rPr>
                <w:color w:val="000000"/>
                <w:sz w:val="18"/>
                <w:szCs w:val="18"/>
              </w:rPr>
              <w:t>2,746,207.98</w:t>
            </w:r>
          </w:p>
        </w:tc>
        <w:tc>
          <w:tcPr>
            <w:tcW w:w="693" w:type="pct"/>
            <w:vAlign w:val="center"/>
          </w:tcPr>
          <w:p w14:paraId="39965D36">
            <w:pPr>
              <w:ind w:right="5"/>
              <w:jc w:val="right"/>
            </w:pPr>
          </w:p>
        </w:tc>
        <w:tc>
          <w:tcPr>
            <w:tcW w:w="792" w:type="pct"/>
            <w:vAlign w:val="center"/>
          </w:tcPr>
          <w:p w14:paraId="5882AB8B">
            <w:pPr>
              <w:ind w:right="5"/>
              <w:jc w:val="right"/>
            </w:pPr>
            <w:r>
              <w:rPr>
                <w:color w:val="000000"/>
                <w:sz w:val="18"/>
                <w:szCs w:val="18"/>
              </w:rPr>
              <w:t>2,746,207.98</w:t>
            </w:r>
          </w:p>
        </w:tc>
      </w:tr>
      <w:tr w14:paraId="7C3E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770" w:type="pct"/>
          </w:tcPr>
          <w:p w14:paraId="057FFA6E">
            <w:pPr>
              <w:ind w:right="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641" w:type="pct"/>
          </w:tcPr>
          <w:p w14:paraId="19B6FB25">
            <w:pPr>
              <w:ind w:right="5"/>
              <w:jc w:val="right"/>
            </w:pPr>
            <w:r>
              <w:t>708,960,239.54</w:t>
            </w:r>
          </w:p>
        </w:tc>
        <w:tc>
          <w:tcPr>
            <w:tcW w:w="738" w:type="pct"/>
          </w:tcPr>
          <w:p w14:paraId="1BCD823A">
            <w:pPr>
              <w:ind w:right="5"/>
              <w:jc w:val="right"/>
            </w:pPr>
            <w:r>
              <w:t>308,911.82</w:t>
            </w:r>
          </w:p>
        </w:tc>
        <w:tc>
          <w:tcPr>
            <w:tcW w:w="664" w:type="pct"/>
          </w:tcPr>
          <w:p w14:paraId="36099EFF">
            <w:pPr>
              <w:ind w:right="5"/>
              <w:jc w:val="right"/>
            </w:pPr>
            <w:r>
              <w:t>708,651,327.72</w:t>
            </w:r>
          </w:p>
        </w:tc>
        <w:tc>
          <w:tcPr>
            <w:tcW w:w="701" w:type="pct"/>
            <w:vAlign w:val="center"/>
          </w:tcPr>
          <w:p w14:paraId="2A2571C2">
            <w:pPr>
              <w:ind w:right="5"/>
              <w:jc w:val="right"/>
            </w:pPr>
            <w:r>
              <w:rPr>
                <w:b/>
                <w:bCs w:val="0"/>
                <w:color w:val="000000"/>
                <w:sz w:val="18"/>
                <w:szCs w:val="18"/>
              </w:rPr>
              <w:t>786,056,731.92</w:t>
            </w:r>
          </w:p>
        </w:tc>
        <w:tc>
          <w:tcPr>
            <w:tcW w:w="693" w:type="pct"/>
            <w:vAlign w:val="center"/>
          </w:tcPr>
          <w:p w14:paraId="7989E023">
            <w:pPr>
              <w:ind w:right="5"/>
              <w:jc w:val="right"/>
            </w:pPr>
            <w:r>
              <w:rPr>
                <w:b/>
                <w:bCs w:val="0"/>
                <w:color w:val="000000"/>
                <w:sz w:val="18"/>
                <w:szCs w:val="18"/>
              </w:rPr>
              <w:t>887,226.25</w:t>
            </w:r>
          </w:p>
        </w:tc>
        <w:tc>
          <w:tcPr>
            <w:tcW w:w="792" w:type="pct"/>
            <w:vAlign w:val="center"/>
          </w:tcPr>
          <w:p w14:paraId="3968958D">
            <w:pPr>
              <w:ind w:right="5"/>
              <w:jc w:val="right"/>
            </w:pPr>
            <w:r>
              <w:rPr>
                <w:b/>
                <w:bCs w:val="0"/>
                <w:color w:val="000000"/>
                <w:sz w:val="18"/>
                <w:szCs w:val="18"/>
              </w:rPr>
              <w:t>785,169,505.67</w:t>
            </w:r>
          </w:p>
        </w:tc>
      </w:tr>
    </w:tbl>
    <w:p w14:paraId="7645DDCB">
      <w:pPr>
        <w:rPr>
          <w:color w:val="000000" w:themeColor="text1"/>
          <w14:textFill>
            <w14:solidFill>
              <w14:schemeClr w14:val="tx1"/>
            </w14:solidFill>
          </w14:textFill>
        </w:rPr>
      </w:pPr>
    </w:p>
    <w:bookmarkEnd w:id="237"/>
    <w:p w14:paraId="715A98C6">
      <w:pPr>
        <w:pStyle w:val="5"/>
        <w:numPr>
          <w:ilvl w:val="0"/>
          <w:numId w:val="62"/>
        </w:numPr>
        <w:tabs>
          <w:tab w:val="left" w:pos="630"/>
        </w:tabs>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确认为存货的数据资源</w:t>
      </w:r>
    </w:p>
    <w:sdt>
      <w:sdtPr>
        <w:rPr>
          <w:rFonts w:hint="eastAsia"/>
          <w:color w:val="000000" w:themeColor="text1"/>
          <w14:textFill>
            <w14:solidFill>
              <w14:schemeClr w14:val="tx1"/>
            </w14:solidFill>
          </w14:textFill>
        </w:rPr>
        <w:alias w:val="是否适用：确认为存货的数据资源[双击切换]"/>
        <w:tag w:val="_GBC_b3f6ef82894a4eb29036b70065be8671"/>
        <w:id w:val="1952504248"/>
        <w:placeholder>
          <w:docPart w:val="GBC22222222222222222222222222222"/>
        </w:placeholder>
      </w:sdtPr>
      <w:sdtEndPr>
        <w:rPr>
          <w:rFonts w:hint="eastAsia"/>
          <w:color w:val="000000" w:themeColor="text1"/>
          <w14:textFill>
            <w14:solidFill>
              <w14:schemeClr w14:val="tx1"/>
            </w14:solidFill>
          </w14:textFill>
        </w:rPr>
      </w:sdtEndPr>
      <w:sdtContent>
        <w:p w14:paraId="3BA3D0A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EA7BE0A">
      <w:pPr>
        <w:rPr>
          <w:color w:val="000000" w:themeColor="text1"/>
          <w14:textFill>
            <w14:solidFill>
              <w14:schemeClr w14:val="tx1"/>
            </w14:solidFill>
          </w14:textFill>
        </w:rPr>
      </w:pPr>
    </w:p>
    <w:p w14:paraId="34327EB8">
      <w:pPr>
        <w:rPr>
          <w:color w:val="000000" w:themeColor="text1"/>
          <w14:textFill>
            <w14:solidFill>
              <w14:schemeClr w14:val="tx1"/>
            </w14:solidFill>
          </w14:textFill>
        </w:rPr>
      </w:pPr>
    </w:p>
    <w:p w14:paraId="103420B4">
      <w:pPr>
        <w:pStyle w:val="5"/>
        <w:numPr>
          <w:ilvl w:val="0"/>
          <w:numId w:val="62"/>
        </w:numPr>
        <w:tabs>
          <w:tab w:val="left" w:pos="630"/>
        </w:tabs>
        <w:rPr>
          <w:rFonts w:hint="eastAsia" w:ascii="宋体" w:hAnsi="宋体"/>
          <w:color w:val="000000" w:themeColor="text1"/>
          <w14:textFill>
            <w14:solidFill>
              <w14:schemeClr w14:val="tx1"/>
            </w14:solidFill>
          </w14:textFill>
        </w:rPr>
      </w:pPr>
      <w:bookmarkStart w:id="238" w:name="_Hlk10470459"/>
      <w:r>
        <w:rPr>
          <w:rFonts w:hint="eastAsia" w:ascii="宋体" w:hAnsi="宋体"/>
          <w:color w:val="000000" w:themeColor="text1"/>
          <w14:textFill>
            <w14:solidFill>
              <w14:schemeClr w14:val="tx1"/>
            </w14:solidFill>
          </w14:textFill>
        </w:rPr>
        <w:t>存货跌价准备及合同履约成本减值准备</w:t>
      </w:r>
    </w:p>
    <w:sdt>
      <w:sdtPr>
        <w:rPr>
          <w:color w:val="000000" w:themeColor="text1"/>
          <w14:textFill>
            <w14:solidFill>
              <w14:schemeClr w14:val="tx1"/>
            </w14:solidFill>
          </w14:textFill>
        </w:rPr>
        <w:alias w:val="是否适用：存货跌价准备[双击切换]"/>
        <w:tag w:val="_GBC_b9bd4a0fa089468ebded8bb61a86fbae"/>
        <w:id w:val="-1504203474"/>
        <w:placeholder>
          <w:docPart w:val="GBC22222222222222222222222222222"/>
        </w:placeholder>
      </w:sdtPr>
      <w:sdtEndPr>
        <w:rPr>
          <w:color w:val="000000" w:themeColor="text1"/>
          <w14:textFill>
            <w14:solidFill>
              <w14:schemeClr w14:val="tx1"/>
            </w14:solidFill>
          </w14:textFill>
        </w:rPr>
      </w:sdtEndPr>
      <w:sdtContent>
        <w:p w14:paraId="3AD7544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1C94584">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存货跌价准备"/>
          <w:tag w:val="_GBC_42225a9505da4f598594afea08f9738b"/>
          <w:id w:val="77699878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存货跌价准备"/>
          <w:tag w:val="_GBC_4de434e29d00482b8b3175d1e7874ff2"/>
          <w:id w:val="-374361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8"/>
        <w:gridCol w:w="1267"/>
        <w:gridCol w:w="1258"/>
        <w:gridCol w:w="1258"/>
        <w:gridCol w:w="1258"/>
        <w:gridCol w:w="1258"/>
        <w:gridCol w:w="1266"/>
      </w:tblGrid>
      <w:tr w14:paraId="2261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sdt>
          <w:sdtPr>
            <w:tag w:val="_PLD_08d27e088675483b81e6b09cfaf565b8"/>
            <w:id w:val="1148315224"/>
          </w:sdtPr>
          <w:sdtContent>
            <w:tc>
              <w:tcPr>
                <w:tcW w:w="713" w:type="pct"/>
                <w:vMerge w:val="restart"/>
                <w:tcBorders>
                  <w:top w:val="single" w:color="auto" w:sz="4" w:space="0"/>
                  <w:left w:val="single" w:color="auto" w:sz="4" w:space="0"/>
                  <w:bottom w:val="single" w:color="auto" w:sz="4" w:space="0"/>
                  <w:right w:val="single" w:color="auto" w:sz="4" w:space="0"/>
                </w:tcBorders>
                <w:vAlign w:val="center"/>
              </w:tcPr>
              <w:p w14:paraId="517CC05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631ae60526c9437f842913d632c47f24"/>
            <w:id w:val="402715836"/>
          </w:sdtPr>
          <w:sdtContent>
            <w:tc>
              <w:tcPr>
                <w:tcW w:w="718" w:type="pct"/>
                <w:vMerge w:val="restart"/>
                <w:tcBorders>
                  <w:top w:val="single" w:color="auto" w:sz="4" w:space="0"/>
                  <w:left w:val="single" w:color="auto" w:sz="4" w:space="0"/>
                  <w:bottom w:val="single" w:color="auto" w:sz="4" w:space="0"/>
                  <w:right w:val="single" w:color="auto" w:sz="4" w:space="0"/>
                </w:tcBorders>
                <w:vAlign w:val="center"/>
              </w:tcPr>
              <w:p w14:paraId="39EC300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sdt>
          <w:sdtPr>
            <w:tag w:val="_PLD_bc39054479074b8ab34cb8519780a5f1"/>
            <w:id w:val="1216092667"/>
          </w:sdtPr>
          <w:sdtContent>
            <w:tc>
              <w:tcPr>
                <w:tcW w:w="1426" w:type="pct"/>
                <w:gridSpan w:val="2"/>
                <w:tcBorders>
                  <w:top w:val="single" w:color="auto" w:sz="4" w:space="0"/>
                  <w:left w:val="single" w:color="auto" w:sz="4" w:space="0"/>
                  <w:right w:val="single" w:color="auto" w:sz="4" w:space="0"/>
                </w:tcBorders>
                <w:vAlign w:val="center"/>
              </w:tcPr>
              <w:p w14:paraId="34FAAB7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本期增加金额</w:t>
                </w:r>
              </w:p>
            </w:tc>
          </w:sdtContent>
        </w:sdt>
        <w:sdt>
          <w:sdtPr>
            <w:tag w:val="_PLD_a4a235b43e524c0c98a604df05693747"/>
            <w:id w:val="142632396"/>
          </w:sdtPr>
          <w:sdtContent>
            <w:tc>
              <w:tcPr>
                <w:tcW w:w="1426" w:type="pct"/>
                <w:gridSpan w:val="2"/>
                <w:tcBorders>
                  <w:top w:val="single" w:color="auto" w:sz="4" w:space="0"/>
                  <w:left w:val="single" w:color="auto" w:sz="4" w:space="0"/>
                  <w:right w:val="single" w:color="auto" w:sz="4" w:space="0"/>
                </w:tcBorders>
                <w:vAlign w:val="center"/>
              </w:tcPr>
              <w:p w14:paraId="0F91064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本期减少金额</w:t>
                </w:r>
              </w:p>
            </w:tc>
          </w:sdtContent>
        </w:sdt>
        <w:sdt>
          <w:sdtPr>
            <w:tag w:val="_PLD_fcea706dd57f438c8205de888401e160"/>
            <w:id w:val="-1580049785"/>
          </w:sdtPr>
          <w:sdtContent>
            <w:tc>
              <w:tcPr>
                <w:tcW w:w="717" w:type="pct"/>
                <w:vMerge w:val="restart"/>
                <w:tcBorders>
                  <w:top w:val="single" w:color="auto" w:sz="4" w:space="0"/>
                  <w:left w:val="single" w:color="auto" w:sz="4" w:space="0"/>
                  <w:bottom w:val="single" w:color="auto" w:sz="4" w:space="0"/>
                  <w:right w:val="single" w:color="auto" w:sz="4" w:space="0"/>
                </w:tcBorders>
                <w:vAlign w:val="center"/>
              </w:tcPr>
              <w:p w14:paraId="49AA393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tr>
      <w:tr w14:paraId="43C1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13" w:type="pct"/>
            <w:vMerge w:val="continue"/>
            <w:tcBorders>
              <w:top w:val="single" w:color="auto" w:sz="4" w:space="0"/>
              <w:left w:val="single" w:color="auto" w:sz="4" w:space="0"/>
              <w:bottom w:val="single" w:color="auto" w:sz="4" w:space="0"/>
              <w:right w:val="single" w:color="auto" w:sz="4" w:space="0"/>
            </w:tcBorders>
          </w:tcPr>
          <w:p w14:paraId="1F684A07">
            <w:pPr>
              <w:jc w:val="center"/>
              <w:rPr>
                <w:color w:val="000000" w:themeColor="text1"/>
                <w14:textFill>
                  <w14:solidFill>
                    <w14:schemeClr w14:val="tx1"/>
                  </w14:solidFill>
                </w14:textFill>
              </w:rPr>
            </w:pPr>
          </w:p>
        </w:tc>
        <w:tc>
          <w:tcPr>
            <w:tcW w:w="718" w:type="pct"/>
            <w:vMerge w:val="continue"/>
            <w:tcBorders>
              <w:top w:val="single" w:color="auto" w:sz="4" w:space="0"/>
              <w:left w:val="single" w:color="auto" w:sz="4" w:space="0"/>
              <w:bottom w:val="single" w:color="auto" w:sz="4" w:space="0"/>
              <w:right w:val="single" w:color="auto" w:sz="4" w:space="0"/>
            </w:tcBorders>
          </w:tcPr>
          <w:p w14:paraId="7EECC023">
            <w:pPr>
              <w:jc w:val="center"/>
              <w:rPr>
                <w:color w:val="000000" w:themeColor="text1"/>
                <w14:textFill>
                  <w14:solidFill>
                    <w14:schemeClr w14:val="tx1"/>
                  </w14:solidFill>
                </w14:textFill>
              </w:rPr>
            </w:pPr>
          </w:p>
        </w:tc>
        <w:sdt>
          <w:sdtPr>
            <w:tag w:val="_PLD_9355443eafab4f4a862c075a55d7e279"/>
            <w:id w:val="851999920"/>
          </w:sdtPr>
          <w:sdtContent>
            <w:tc>
              <w:tcPr>
                <w:tcW w:w="713" w:type="pct"/>
                <w:tcBorders>
                  <w:left w:val="single" w:color="auto" w:sz="4" w:space="0"/>
                  <w:bottom w:val="single" w:color="auto" w:sz="4" w:space="0"/>
                  <w:right w:val="single" w:color="auto" w:sz="4" w:space="0"/>
                </w:tcBorders>
                <w:vAlign w:val="center"/>
              </w:tcPr>
              <w:p w14:paraId="5B93F77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计提</w:t>
                </w:r>
              </w:p>
            </w:tc>
          </w:sdtContent>
        </w:sdt>
        <w:sdt>
          <w:sdtPr>
            <w:tag w:val="_PLD_e67cdd42c79245c980edb6a9d839ecd0"/>
            <w:id w:val="-1125931585"/>
          </w:sdtPr>
          <w:sdtContent>
            <w:tc>
              <w:tcPr>
                <w:tcW w:w="713" w:type="pct"/>
                <w:tcBorders>
                  <w:left w:val="single" w:color="auto" w:sz="4" w:space="0"/>
                  <w:bottom w:val="single" w:color="auto" w:sz="4" w:space="0"/>
                  <w:right w:val="single" w:color="auto" w:sz="4" w:space="0"/>
                </w:tcBorders>
                <w:vAlign w:val="center"/>
              </w:tcPr>
              <w:p w14:paraId="568ABBD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sdtContent>
        </w:sdt>
        <w:sdt>
          <w:sdtPr>
            <w:tag w:val="_PLD_d2a5b409858c40b5a77dea8d7f7c8500"/>
            <w:id w:val="-445472639"/>
          </w:sdtPr>
          <w:sdtContent>
            <w:tc>
              <w:tcPr>
                <w:tcW w:w="713" w:type="pct"/>
                <w:tcBorders>
                  <w:top w:val="single" w:color="auto" w:sz="4" w:space="0"/>
                  <w:left w:val="single" w:color="auto" w:sz="4" w:space="0"/>
                  <w:bottom w:val="single" w:color="auto" w:sz="4" w:space="0"/>
                  <w:right w:val="single" w:color="auto" w:sz="4" w:space="0"/>
                </w:tcBorders>
                <w:vAlign w:val="center"/>
              </w:tcPr>
              <w:p w14:paraId="23553F3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转回或转销</w:t>
                </w:r>
              </w:p>
            </w:tc>
          </w:sdtContent>
        </w:sdt>
        <w:sdt>
          <w:sdtPr>
            <w:tag w:val="_PLD_a0a39eeb19a049d18a777b0dc41ab25e"/>
            <w:id w:val="-562016221"/>
          </w:sdtPr>
          <w:sdtContent>
            <w:tc>
              <w:tcPr>
                <w:tcW w:w="713" w:type="pct"/>
                <w:tcBorders>
                  <w:top w:val="single" w:color="auto" w:sz="4" w:space="0"/>
                  <w:left w:val="single" w:color="auto" w:sz="4" w:space="0"/>
                  <w:bottom w:val="single" w:color="auto" w:sz="4" w:space="0"/>
                  <w:right w:val="single" w:color="auto" w:sz="4" w:space="0"/>
                </w:tcBorders>
                <w:vAlign w:val="center"/>
              </w:tcPr>
              <w:p w14:paraId="1866CA1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sdtContent>
        </w:sdt>
        <w:tc>
          <w:tcPr>
            <w:tcW w:w="717" w:type="pct"/>
            <w:vMerge w:val="continue"/>
            <w:tcBorders>
              <w:top w:val="single" w:color="auto" w:sz="4" w:space="0"/>
              <w:left w:val="single" w:color="auto" w:sz="4" w:space="0"/>
              <w:bottom w:val="single" w:color="auto" w:sz="4" w:space="0"/>
              <w:right w:val="single" w:color="auto" w:sz="4" w:space="0"/>
            </w:tcBorders>
            <w:vAlign w:val="center"/>
          </w:tcPr>
          <w:p w14:paraId="3A64B006">
            <w:pPr>
              <w:jc w:val="center"/>
              <w:rPr>
                <w:color w:val="000000" w:themeColor="text1"/>
                <w14:textFill>
                  <w14:solidFill>
                    <w14:schemeClr w14:val="tx1"/>
                  </w14:solidFill>
                </w14:textFill>
              </w:rPr>
            </w:pPr>
          </w:p>
        </w:tc>
      </w:tr>
      <w:tr w14:paraId="1FF9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3" w:type="pct"/>
            <w:tcBorders>
              <w:top w:val="single" w:color="auto" w:sz="4" w:space="0"/>
              <w:left w:val="single" w:color="auto" w:sz="4" w:space="0"/>
              <w:bottom w:val="single" w:color="auto" w:sz="4" w:space="0"/>
              <w:right w:val="single" w:color="auto" w:sz="4" w:space="0"/>
            </w:tcBorders>
          </w:tcPr>
          <w:p w14:paraId="0948A92C">
            <w:pPr>
              <w:rPr>
                <w:color w:val="000000" w:themeColor="text1"/>
                <w14:textFill>
                  <w14:solidFill>
                    <w14:schemeClr w14:val="tx1"/>
                  </w14:solidFill>
                </w14:textFill>
              </w:rPr>
            </w:pPr>
            <w:r>
              <w:rPr>
                <w:rFonts w:hint="eastAsia"/>
                <w:color w:val="000000" w:themeColor="text1"/>
                <w14:textFill>
                  <w14:solidFill>
                    <w14:schemeClr w14:val="tx1"/>
                  </w14:solidFill>
                </w14:textFill>
              </w:rPr>
              <w:t>库存商品</w:t>
            </w:r>
          </w:p>
        </w:tc>
        <w:tc>
          <w:tcPr>
            <w:tcW w:w="718" w:type="pct"/>
            <w:tcBorders>
              <w:top w:val="single" w:color="auto" w:sz="4" w:space="0"/>
              <w:left w:val="single" w:color="auto" w:sz="4" w:space="0"/>
              <w:bottom w:val="single" w:color="auto" w:sz="4" w:space="0"/>
              <w:right w:val="single" w:color="auto" w:sz="4" w:space="0"/>
            </w:tcBorders>
          </w:tcPr>
          <w:p w14:paraId="438EB76E">
            <w:pPr>
              <w:ind w:right="5"/>
              <w:jc w:val="right"/>
            </w:pPr>
            <w:r>
              <w:t>887,226.25</w:t>
            </w:r>
          </w:p>
        </w:tc>
        <w:tc>
          <w:tcPr>
            <w:tcW w:w="713" w:type="pct"/>
            <w:tcBorders>
              <w:top w:val="single" w:color="auto" w:sz="4" w:space="0"/>
              <w:left w:val="single" w:color="auto" w:sz="4" w:space="0"/>
              <w:bottom w:val="single" w:color="auto" w:sz="4" w:space="0"/>
              <w:right w:val="single" w:color="auto" w:sz="4" w:space="0"/>
            </w:tcBorders>
          </w:tcPr>
          <w:p w14:paraId="551FC483">
            <w:pPr>
              <w:jc w:val="right"/>
            </w:pPr>
          </w:p>
        </w:tc>
        <w:tc>
          <w:tcPr>
            <w:tcW w:w="713" w:type="pct"/>
            <w:tcBorders>
              <w:top w:val="single" w:color="auto" w:sz="4" w:space="0"/>
              <w:left w:val="single" w:color="auto" w:sz="4" w:space="0"/>
              <w:bottom w:val="single" w:color="auto" w:sz="4" w:space="0"/>
              <w:right w:val="single" w:color="auto" w:sz="4" w:space="0"/>
            </w:tcBorders>
          </w:tcPr>
          <w:p w14:paraId="3EC2AF5B">
            <w:pPr>
              <w:jc w:val="right"/>
            </w:pPr>
          </w:p>
        </w:tc>
        <w:tc>
          <w:tcPr>
            <w:tcW w:w="713" w:type="pct"/>
            <w:tcBorders>
              <w:top w:val="single" w:color="auto" w:sz="4" w:space="0"/>
              <w:left w:val="single" w:color="auto" w:sz="4" w:space="0"/>
              <w:bottom w:val="single" w:color="auto" w:sz="4" w:space="0"/>
              <w:right w:val="single" w:color="auto" w:sz="4" w:space="0"/>
            </w:tcBorders>
          </w:tcPr>
          <w:p w14:paraId="4DCE00C3">
            <w:pPr>
              <w:jc w:val="right"/>
            </w:pPr>
            <w:r>
              <w:t>578,314.43</w:t>
            </w:r>
          </w:p>
        </w:tc>
        <w:tc>
          <w:tcPr>
            <w:tcW w:w="713" w:type="pct"/>
            <w:tcBorders>
              <w:left w:val="single" w:color="auto" w:sz="4" w:space="0"/>
              <w:right w:val="single" w:color="auto" w:sz="4" w:space="0"/>
            </w:tcBorders>
          </w:tcPr>
          <w:p w14:paraId="73001659">
            <w:pPr>
              <w:jc w:val="right"/>
            </w:pPr>
          </w:p>
        </w:tc>
        <w:tc>
          <w:tcPr>
            <w:tcW w:w="717" w:type="pct"/>
            <w:tcBorders>
              <w:top w:val="single" w:color="auto" w:sz="4" w:space="0"/>
              <w:left w:val="single" w:color="auto" w:sz="4" w:space="0"/>
              <w:bottom w:val="single" w:color="auto" w:sz="4" w:space="0"/>
              <w:right w:val="single" w:color="auto" w:sz="4" w:space="0"/>
            </w:tcBorders>
          </w:tcPr>
          <w:p w14:paraId="6566488B">
            <w:pPr>
              <w:ind w:right="5"/>
              <w:jc w:val="right"/>
            </w:pPr>
            <w:r>
              <w:t>308,911.82</w:t>
            </w:r>
          </w:p>
        </w:tc>
      </w:tr>
      <w:tr w14:paraId="1FF1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3" w:type="pct"/>
            <w:tcBorders>
              <w:top w:val="single" w:color="auto" w:sz="4" w:space="0"/>
              <w:left w:val="single" w:color="auto" w:sz="4" w:space="0"/>
              <w:bottom w:val="single" w:color="auto" w:sz="4" w:space="0"/>
              <w:right w:val="single" w:color="auto" w:sz="4" w:space="0"/>
            </w:tcBorders>
          </w:tcPr>
          <w:p w14:paraId="6AEED98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718" w:type="pct"/>
            <w:tcBorders>
              <w:top w:val="single" w:color="auto" w:sz="4" w:space="0"/>
              <w:left w:val="single" w:color="auto" w:sz="4" w:space="0"/>
              <w:bottom w:val="single" w:color="auto" w:sz="4" w:space="0"/>
              <w:right w:val="single" w:color="auto" w:sz="4" w:space="0"/>
            </w:tcBorders>
          </w:tcPr>
          <w:p w14:paraId="681D20FB">
            <w:pPr>
              <w:ind w:right="5"/>
              <w:jc w:val="right"/>
            </w:pPr>
            <w:r>
              <w:t>887,226.25</w:t>
            </w:r>
          </w:p>
        </w:tc>
        <w:tc>
          <w:tcPr>
            <w:tcW w:w="713" w:type="pct"/>
            <w:tcBorders>
              <w:top w:val="single" w:color="auto" w:sz="4" w:space="0"/>
              <w:left w:val="single" w:color="auto" w:sz="4" w:space="0"/>
              <w:bottom w:val="single" w:color="auto" w:sz="4" w:space="0"/>
              <w:right w:val="single" w:color="auto" w:sz="4" w:space="0"/>
            </w:tcBorders>
          </w:tcPr>
          <w:p w14:paraId="40873BE3">
            <w:pPr>
              <w:jc w:val="right"/>
            </w:pPr>
          </w:p>
        </w:tc>
        <w:tc>
          <w:tcPr>
            <w:tcW w:w="713" w:type="pct"/>
            <w:tcBorders>
              <w:top w:val="single" w:color="auto" w:sz="4" w:space="0"/>
              <w:left w:val="single" w:color="auto" w:sz="4" w:space="0"/>
              <w:bottom w:val="single" w:color="auto" w:sz="4" w:space="0"/>
              <w:right w:val="single" w:color="auto" w:sz="4" w:space="0"/>
            </w:tcBorders>
          </w:tcPr>
          <w:p w14:paraId="1F11533A">
            <w:pPr>
              <w:jc w:val="right"/>
            </w:pPr>
          </w:p>
        </w:tc>
        <w:tc>
          <w:tcPr>
            <w:tcW w:w="713" w:type="pct"/>
            <w:tcBorders>
              <w:top w:val="single" w:color="auto" w:sz="4" w:space="0"/>
              <w:left w:val="single" w:color="auto" w:sz="4" w:space="0"/>
              <w:bottom w:val="single" w:color="auto" w:sz="4" w:space="0"/>
              <w:right w:val="single" w:color="auto" w:sz="4" w:space="0"/>
            </w:tcBorders>
          </w:tcPr>
          <w:p w14:paraId="76B290CA">
            <w:pPr>
              <w:jc w:val="right"/>
            </w:pPr>
            <w:r>
              <w:t>578,314.43</w:t>
            </w:r>
          </w:p>
        </w:tc>
        <w:tc>
          <w:tcPr>
            <w:tcW w:w="713" w:type="pct"/>
            <w:tcBorders>
              <w:left w:val="single" w:color="auto" w:sz="4" w:space="0"/>
              <w:bottom w:val="single" w:color="auto" w:sz="4" w:space="0"/>
              <w:right w:val="single" w:color="auto" w:sz="4" w:space="0"/>
            </w:tcBorders>
          </w:tcPr>
          <w:p w14:paraId="3B69827B">
            <w:pPr>
              <w:jc w:val="right"/>
            </w:pPr>
          </w:p>
        </w:tc>
        <w:tc>
          <w:tcPr>
            <w:tcW w:w="717" w:type="pct"/>
            <w:tcBorders>
              <w:top w:val="single" w:color="auto" w:sz="4" w:space="0"/>
              <w:left w:val="single" w:color="auto" w:sz="4" w:space="0"/>
              <w:bottom w:val="single" w:color="auto" w:sz="4" w:space="0"/>
              <w:right w:val="single" w:color="auto" w:sz="4" w:space="0"/>
            </w:tcBorders>
          </w:tcPr>
          <w:p w14:paraId="59BF6E24">
            <w:pPr>
              <w:ind w:right="5"/>
              <w:jc w:val="right"/>
            </w:pPr>
            <w:r>
              <w:t>308,911.82</w:t>
            </w:r>
          </w:p>
        </w:tc>
      </w:tr>
    </w:tbl>
    <w:p w14:paraId="05B873D4">
      <w:pPr>
        <w:rPr>
          <w:color w:val="000000" w:themeColor="text1"/>
          <w14:textFill>
            <w14:solidFill>
              <w14:schemeClr w14:val="tx1"/>
            </w14:solidFill>
          </w14:textFill>
        </w:rPr>
      </w:pPr>
    </w:p>
    <w:bookmarkEnd w:id="238"/>
    <w:p w14:paraId="10404111">
      <w:pPr>
        <w:rPr>
          <w:color w:val="000000" w:themeColor="text1"/>
          <w14:textFill>
            <w14:solidFill>
              <w14:schemeClr w14:val="tx1"/>
            </w14:solidFill>
          </w14:textFill>
        </w:rPr>
      </w:pPr>
      <w:bookmarkStart w:id="239" w:name="_Hlk167891635"/>
      <w:r>
        <w:rPr>
          <w:color w:val="000000" w:themeColor="text1"/>
          <w14:textFill>
            <w14:solidFill>
              <w14:schemeClr w14:val="tx1"/>
            </w14:solidFill>
          </w14:textFill>
        </w:rPr>
        <w:t>本期转回或转销存货跌价准备的原因</w:t>
      </w:r>
    </w:p>
    <w:sdt>
      <w:sdtPr>
        <w:rPr>
          <w:color w:val="000000" w:themeColor="text1"/>
          <w14:textFill>
            <w14:solidFill>
              <w14:schemeClr w14:val="tx1"/>
            </w14:solidFill>
          </w14:textFill>
        </w:rPr>
        <w:alias w:val="是否适用：本期转回或转销存货跌价准备的原因[双击切换]"/>
        <w:tag w:val="_GBC_e27c6ef344f148c18ae56422278eafd6"/>
        <w:id w:val="-1718500575"/>
        <w:placeholder>
          <w:docPart w:val="GBC22222222222222222222222222222"/>
        </w:placeholder>
      </w:sdtPr>
      <w:sdtEndPr>
        <w:rPr>
          <w:color w:val="000000" w:themeColor="text1"/>
          <w14:textFill>
            <w14:solidFill>
              <w14:schemeClr w14:val="tx1"/>
            </w14:solidFill>
          </w14:textFill>
        </w:rPr>
      </w:sdtEndPr>
      <w:sdtContent>
        <w:p w14:paraId="0C0CF3B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本期转回或转销存货跌价准备的原因"/>
        <w:tag w:val="_GBC_b6115b54c210477298ccbc4d1a5a3bfc"/>
        <w:id w:val="614335282"/>
        <w:placeholder>
          <w:docPart w:val="GBC22222222222222222222222222222"/>
        </w:placeholder>
      </w:sdtPr>
      <w:sdtEndPr>
        <w:rPr>
          <w:color w:val="000000" w:themeColor="text1"/>
          <w14:textFill>
            <w14:solidFill>
              <w14:schemeClr w14:val="tx1"/>
            </w14:solidFill>
          </w14:textFill>
        </w:rPr>
      </w:sdtEndPr>
      <w:sdtContent>
        <w:p w14:paraId="3096E302">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公司报告期末存货跌价准备按存货账面余额与其可变现净值的差额进行计提。</w:t>
          </w:r>
        </w:p>
        <w:p w14:paraId="67EF1C81">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上期计提跌价准备的存货本期实现销售后将相应跌价准备予以转销。</w:t>
          </w:r>
        </w:p>
      </w:sdtContent>
    </w:sdt>
    <w:p w14:paraId="5B257D51">
      <w:pPr>
        <w:rPr>
          <w:color w:val="000000" w:themeColor="text1"/>
          <w14:textFill>
            <w14:solidFill>
              <w14:schemeClr w14:val="tx1"/>
            </w14:solidFill>
          </w14:textFill>
        </w:rPr>
      </w:pPr>
    </w:p>
    <w:p w14:paraId="48458150">
      <w:pPr>
        <w:rPr>
          <w:color w:val="000000" w:themeColor="text1"/>
          <w14:textFill>
            <w14:solidFill>
              <w14:schemeClr w14:val="tx1"/>
            </w14:solidFill>
          </w14:textFill>
        </w:rPr>
      </w:pPr>
      <w:r>
        <w:rPr>
          <w:rFonts w:hint="eastAsia"/>
          <w:color w:val="000000" w:themeColor="text1"/>
          <w14:textFill>
            <w14:solidFill>
              <w14:schemeClr w14:val="tx1"/>
            </w14:solidFill>
          </w14:textFill>
        </w:rPr>
        <w:t>按组合计提存货跌价准备</w:t>
      </w:r>
    </w:p>
    <w:sdt>
      <w:sdtPr>
        <w:rPr>
          <w:color w:val="000000" w:themeColor="text1"/>
          <w14:textFill>
            <w14:solidFill>
              <w14:schemeClr w14:val="tx1"/>
            </w14:solidFill>
          </w14:textFill>
        </w:rPr>
        <w:alias w:val="是否适用：按组合计提存货跌价准备[双击切换]"/>
        <w:tag w:val="_GBC_f0fab92eec8647d68c06a12b3bc75549"/>
        <w:id w:val="-522779916"/>
        <w:placeholder>
          <w:docPart w:val="GBC22222222222222222222222222222"/>
        </w:placeholder>
      </w:sdtPr>
      <w:sdtEndPr>
        <w:rPr>
          <w:color w:val="000000" w:themeColor="text1"/>
          <w14:textFill>
            <w14:solidFill>
              <w14:schemeClr w14:val="tx1"/>
            </w14:solidFill>
          </w14:textFill>
        </w:rPr>
      </w:sdtEndPr>
      <w:sdtContent>
        <w:p w14:paraId="09291FC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C6687BA">
      <w:pPr>
        <w:rPr>
          <w:color w:val="000000" w:themeColor="text1"/>
          <w14:textFill>
            <w14:solidFill>
              <w14:schemeClr w14:val="tx1"/>
            </w14:solidFill>
          </w14:textFill>
        </w:rPr>
      </w:pPr>
    </w:p>
    <w:p w14:paraId="09B528D5">
      <w:pPr>
        <w:rPr>
          <w:color w:val="000000" w:themeColor="text1"/>
          <w14:textFill>
            <w14:solidFill>
              <w14:schemeClr w14:val="tx1"/>
            </w14:solidFill>
          </w14:textFill>
        </w:rPr>
      </w:pPr>
      <w:r>
        <w:rPr>
          <w:rFonts w:hint="eastAsia"/>
          <w:color w:val="000000" w:themeColor="text1"/>
          <w14:textFill>
            <w14:solidFill>
              <w14:schemeClr w14:val="tx1"/>
            </w14:solidFill>
          </w14:textFill>
        </w:rPr>
        <w:t>按组合计提存货跌价准备的计提标准</w:t>
      </w:r>
    </w:p>
    <w:sdt>
      <w:sdtPr>
        <w:rPr>
          <w:color w:val="000000" w:themeColor="text1"/>
          <w14:textFill>
            <w14:solidFill>
              <w14:schemeClr w14:val="tx1"/>
            </w14:solidFill>
          </w14:textFill>
        </w:rPr>
        <w:alias w:val="是否适用：按组合计提存货跌价准备的计提标准[双击切换]"/>
        <w:tag w:val="_GBC_d204ec862c304c1f8d4ec4644591e14e"/>
        <w:id w:val="-1963728133"/>
        <w:placeholder>
          <w:docPart w:val="GBC22222222222222222222222222222"/>
        </w:placeholder>
      </w:sdtPr>
      <w:sdtEndPr>
        <w:rPr>
          <w:color w:val="000000" w:themeColor="text1"/>
          <w14:textFill>
            <w14:solidFill>
              <w14:schemeClr w14:val="tx1"/>
            </w14:solidFill>
          </w14:textFill>
        </w:rPr>
      </w:sdtEndPr>
      <w:sdtContent>
        <w:p w14:paraId="4D98E86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E17B364">
      <w:pPr>
        <w:rPr>
          <w:color w:val="000000" w:themeColor="text1"/>
          <w14:textFill>
            <w14:solidFill>
              <w14:schemeClr w14:val="tx1"/>
            </w14:solidFill>
          </w14:textFill>
        </w:rPr>
      </w:pPr>
    </w:p>
    <w:bookmarkEnd w:id="239"/>
    <w:p w14:paraId="6E4A0194">
      <w:pPr>
        <w:pStyle w:val="5"/>
        <w:numPr>
          <w:ilvl w:val="0"/>
          <w:numId w:val="62"/>
        </w:numPr>
        <w:tabs>
          <w:tab w:val="left" w:pos="630"/>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存货期末余额含有的借款费用资本化金额及其计算标准和依据</w:t>
      </w:r>
    </w:p>
    <w:sdt>
      <w:sdtPr>
        <w:rPr>
          <w:rFonts w:hint="eastAsia"/>
          <w:color w:val="000000" w:themeColor="text1"/>
          <w14:textFill>
            <w14:solidFill>
              <w14:schemeClr w14:val="tx1"/>
            </w14:solidFill>
          </w14:textFill>
        </w:rPr>
        <w:alias w:val="是否适用：存货期末余额含有借款费用资本化金额的说明[双击切换]"/>
        <w:tag w:val="_GBC_c4216db560c643b38b29d44401d464c9"/>
        <w:id w:val="84727371"/>
        <w:placeholder>
          <w:docPart w:val="GBC22222222222222222222222222222"/>
        </w:placeholder>
      </w:sdtPr>
      <w:sdtEndPr>
        <w:rPr>
          <w:rFonts w:hint="eastAsia"/>
          <w:color w:val="000000" w:themeColor="text1"/>
          <w14:textFill>
            <w14:solidFill>
              <w14:schemeClr w14:val="tx1"/>
            </w14:solidFill>
          </w14:textFill>
        </w:rPr>
      </w:sdtEndPr>
      <w:sdtContent>
        <w:p w14:paraId="29E0D97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202B1BF">
      <w:pPr>
        <w:rPr>
          <w:color w:val="000000" w:themeColor="text1"/>
          <w14:textFill>
            <w14:solidFill>
              <w14:schemeClr w14:val="tx1"/>
            </w14:solidFill>
          </w14:textFill>
        </w:rPr>
      </w:pPr>
    </w:p>
    <w:p w14:paraId="2C69C33B">
      <w:pPr>
        <w:pStyle w:val="5"/>
        <w:numPr>
          <w:ilvl w:val="0"/>
          <w:numId w:val="62"/>
        </w:numPr>
        <w:tabs>
          <w:tab w:val="left" w:pos="630"/>
        </w:tabs>
        <w:rPr>
          <w:rFonts w:hint="eastAsia" w:ascii="宋体" w:hAnsi="宋体"/>
          <w:color w:val="000000" w:themeColor="text1"/>
          <w14:textFill>
            <w14:solidFill>
              <w14:schemeClr w14:val="tx1"/>
            </w14:solidFill>
          </w14:textFill>
        </w:rPr>
      </w:pPr>
      <w:bookmarkStart w:id="240" w:name="_Hlk10470641"/>
      <w:r>
        <w:rPr>
          <w:rFonts w:hint="eastAsia" w:ascii="宋体" w:hAnsi="宋体"/>
          <w:color w:val="000000" w:themeColor="text1"/>
          <w14:textFill>
            <w14:solidFill>
              <w14:schemeClr w14:val="tx1"/>
            </w14:solidFill>
          </w14:textFill>
        </w:rPr>
        <w:t>合同履约成本本期摊销金额的说明</w:t>
      </w:r>
    </w:p>
    <w:sdt>
      <w:sdtPr>
        <w:rPr>
          <w:color w:val="000000" w:themeColor="text1"/>
          <w14:textFill>
            <w14:solidFill>
              <w14:schemeClr w14:val="tx1"/>
            </w14:solidFill>
          </w14:textFill>
        </w:rPr>
        <w:alias w:val="是否适用：合同履约成本本期摊销金额的说明[双击切换]"/>
        <w:tag w:val="_GBC_cd3513a7790e48d4a2a156e8ad6a629a"/>
        <w:id w:val="1913657101"/>
        <w:placeholder>
          <w:docPart w:val="GBC22222222222222222222222222222"/>
        </w:placeholder>
      </w:sdtPr>
      <w:sdtEndPr>
        <w:rPr>
          <w:color w:val="000000" w:themeColor="text1"/>
          <w14:textFill>
            <w14:solidFill>
              <w14:schemeClr w14:val="tx1"/>
            </w14:solidFill>
          </w14:textFill>
        </w:rPr>
      </w:sdtEndPr>
      <w:sdtContent>
        <w:p w14:paraId="187F76C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240"/>
    <w:p w14:paraId="6CFCE2B2">
      <w:pPr>
        <w:rPr>
          <w:color w:val="000000" w:themeColor="text1"/>
          <w14:textFill>
            <w14:solidFill>
              <w14:schemeClr w14:val="tx1"/>
            </w14:solidFill>
          </w14:textFill>
        </w:rPr>
      </w:pPr>
    </w:p>
    <w:p w14:paraId="3C91B329">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存货的其他说明[双击切换]"/>
        <w:tag w:val="_GBC_bd31680428a448ecb64fdd4cbab90a42"/>
        <w:id w:val="-1435437116"/>
        <w:placeholder>
          <w:docPart w:val="GBC22222222222222222222222222222"/>
        </w:placeholder>
      </w:sdtPr>
      <w:sdtEndPr>
        <w:rPr>
          <w:color w:val="000000" w:themeColor="text1"/>
          <w14:textFill>
            <w14:solidFill>
              <w14:schemeClr w14:val="tx1"/>
            </w14:solidFill>
          </w14:textFill>
        </w:rPr>
      </w:sdtEndPr>
      <w:sdtContent>
        <w:p w14:paraId="6F66CDE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5F7289C">
      <w:pPr>
        <w:rPr>
          <w:color w:val="000000" w:themeColor="text1"/>
          <w14:textFill>
            <w14:solidFill>
              <w14:schemeClr w14:val="tx1"/>
            </w14:solidFill>
          </w14:textFill>
        </w:rPr>
      </w:pPr>
    </w:p>
    <w:p w14:paraId="772858D6">
      <w:pPr>
        <w:rPr>
          <w:color w:val="000000" w:themeColor="text1"/>
          <w14:textFill>
            <w14:solidFill>
              <w14:schemeClr w14:val="tx1"/>
            </w14:solidFill>
          </w14:textFill>
        </w:rPr>
      </w:pPr>
    </w:p>
    <w:p w14:paraId="05DDB9F9">
      <w:pPr>
        <w:pStyle w:val="4"/>
        <w:numPr>
          <w:ilvl w:val="0"/>
          <w:numId w:val="53"/>
        </w:numPr>
        <w:tabs>
          <w:tab w:val="left" w:pos="504"/>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持有待售资产</w:t>
      </w:r>
    </w:p>
    <w:sdt>
      <w:sdtPr>
        <w:rPr>
          <w:color w:val="000000" w:themeColor="text1"/>
          <w14:textFill>
            <w14:solidFill>
              <w14:schemeClr w14:val="tx1"/>
            </w14:solidFill>
          </w14:textFill>
        </w:rPr>
        <w:alias w:val="是否适用：划分为持有待售的资产[双击切换]"/>
        <w:tag w:val="_GBC_a6517e0f93e04b1caa2e45201c8133b1"/>
        <w:id w:val="-2051681690"/>
        <w:placeholder>
          <w:docPart w:val="GBC22222222222222222222222222222"/>
        </w:placeholder>
      </w:sdtPr>
      <w:sdtEndPr>
        <w:rPr>
          <w:color w:val="000000" w:themeColor="text1"/>
          <w14:textFill>
            <w14:solidFill>
              <w14:schemeClr w14:val="tx1"/>
            </w14:solidFill>
          </w14:textFill>
        </w:rPr>
      </w:sdtEndPr>
      <w:sdtContent>
        <w:p w14:paraId="26343C0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22C1223">
      <w:pPr>
        <w:rPr>
          <w:color w:val="000000" w:themeColor="text1"/>
          <w14:textFill>
            <w14:solidFill>
              <w14:schemeClr w14:val="tx1"/>
            </w14:solidFill>
          </w14:textFill>
        </w:rPr>
      </w:pPr>
    </w:p>
    <w:p w14:paraId="6FC080FC">
      <w:pPr>
        <w:ind w:right="210"/>
        <w:rPr>
          <w:color w:val="000000" w:themeColor="text1"/>
          <w14:textFill>
            <w14:solidFill>
              <w14:schemeClr w14:val="tx1"/>
            </w14:solidFill>
          </w14:textFill>
        </w:rPr>
      </w:pPr>
    </w:p>
    <w:p w14:paraId="47212D33">
      <w:pPr>
        <w:pStyle w:val="4"/>
        <w:numPr>
          <w:ilvl w:val="0"/>
          <w:numId w:val="53"/>
        </w:numPr>
        <w:tabs>
          <w:tab w:val="left" w:pos="504"/>
        </w:tabs>
        <w:rPr>
          <w:rFonts w:hint="eastAsia" w:ascii="宋体" w:hAnsi="宋体"/>
          <w:color w:val="000000" w:themeColor="text1"/>
          <w14:textFill>
            <w14:solidFill>
              <w14:schemeClr w14:val="tx1"/>
            </w14:solidFill>
          </w14:textFill>
        </w:rPr>
      </w:pPr>
      <w:bookmarkStart w:id="241" w:name="_Hlk167891796"/>
      <w:bookmarkStart w:id="242" w:name="_Hlk10471081"/>
      <w:r>
        <w:rPr>
          <w:rFonts w:hint="eastAsia" w:ascii="宋体" w:hAnsi="宋体"/>
          <w:color w:val="000000" w:themeColor="text1"/>
          <w14:textFill>
            <w14:solidFill>
              <w14:schemeClr w14:val="tx1"/>
            </w14:solidFill>
          </w14:textFill>
        </w:rPr>
        <w:t>一年内到期的非流动资产</w:t>
      </w:r>
    </w:p>
    <w:sdt>
      <w:sdtPr>
        <w:rPr>
          <w:color w:val="000000" w:themeColor="text1"/>
          <w14:textFill>
            <w14:solidFill>
              <w14:schemeClr w14:val="tx1"/>
            </w14:solidFill>
          </w14:textFill>
        </w:rPr>
        <w:alias w:val="是否适用：一年内到期的非流动资产[双击切换]"/>
        <w:tag w:val="_GBC_3c3df002388d4bbe8dd8d4df7fe26ebc"/>
        <w:id w:val="869424942"/>
        <w:placeholder>
          <w:docPart w:val="GBC22222222222222222222222222222"/>
        </w:placeholder>
      </w:sdtPr>
      <w:sdtEndPr>
        <w:rPr>
          <w:color w:val="000000" w:themeColor="text1"/>
          <w14:textFill>
            <w14:solidFill>
              <w14:schemeClr w14:val="tx1"/>
            </w14:solidFill>
          </w14:textFill>
        </w:rPr>
      </w:sdtEndPr>
      <w:sdtContent>
        <w:p w14:paraId="5ECFCC6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4E255B3">
      <w:pPr>
        <w:ind w:right="21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一年内到期的非流动资产"/>
          <w:tag w:val="_GBC_14922dae03f44c28ac9ffa1215012f9c"/>
          <w:id w:val="-13939684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一年内到期的非流动资产"/>
          <w:tag w:val="_GBC_82f0c618fc25413492c788e363214691"/>
          <w:id w:val="-4998853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6"/>
        <w:gridCol w:w="2825"/>
        <w:gridCol w:w="2792"/>
      </w:tblGrid>
      <w:tr w14:paraId="3B81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3dd3ecdefaa34ef4b20ed16dfc08362c"/>
            <w:id w:val="483669935"/>
          </w:sdtPr>
          <w:sdtContent>
            <w:tc>
              <w:tcPr>
                <w:tcW w:w="1817" w:type="pct"/>
                <w:vAlign w:val="center"/>
              </w:tcPr>
              <w:p w14:paraId="59FEA7A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480b5377d1d84a9c8b0deaaf24f342ff"/>
            <w:id w:val="-1875074020"/>
          </w:sdtPr>
          <w:sdtContent>
            <w:tc>
              <w:tcPr>
                <w:tcW w:w="1601" w:type="pct"/>
                <w:vAlign w:val="center"/>
              </w:tcPr>
              <w:p w14:paraId="197222D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a67b2de4a1a3451da84cbef4312398ed"/>
            <w:id w:val="472643952"/>
          </w:sdtPr>
          <w:sdtContent>
            <w:tc>
              <w:tcPr>
                <w:tcW w:w="1582" w:type="pct"/>
                <w:vAlign w:val="center"/>
              </w:tcPr>
              <w:p w14:paraId="4AAF209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23A9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pct"/>
          </w:tcPr>
          <w:p w14:paraId="671BD9DF">
            <w:pPr>
              <w:rPr>
                <w:color w:val="000000" w:themeColor="text1"/>
                <w14:textFill>
                  <w14:solidFill>
                    <w14:schemeClr w14:val="tx1"/>
                  </w14:solidFill>
                </w14:textFill>
              </w:rPr>
            </w:pPr>
            <w:r>
              <w:rPr>
                <w:rFonts w:hint="eastAsia" w:ascii="宋体" w:hAnsi="宋体"/>
              </w:rPr>
              <w:t>一年内到期的大额存单及利息</w:t>
            </w:r>
          </w:p>
        </w:tc>
        <w:tc>
          <w:tcPr>
            <w:tcW w:w="1601" w:type="pct"/>
            <w:vAlign w:val="center"/>
          </w:tcPr>
          <w:p w14:paraId="32823B58">
            <w:pPr>
              <w:jc w:val="right"/>
            </w:pPr>
            <w:r>
              <w:t>82,107,335.27</w:t>
            </w:r>
          </w:p>
        </w:tc>
        <w:tc>
          <w:tcPr>
            <w:tcW w:w="1582" w:type="pct"/>
            <w:vAlign w:val="center"/>
          </w:tcPr>
          <w:p w14:paraId="492B780F">
            <w:pPr>
              <w:jc w:val="right"/>
            </w:pPr>
            <w:r>
              <w:t>42,392,840.50</w:t>
            </w:r>
          </w:p>
        </w:tc>
      </w:tr>
      <w:tr w14:paraId="5F06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pct"/>
          </w:tcPr>
          <w:p w14:paraId="3FD8177F">
            <w:pPr>
              <w:rPr>
                <w:color w:val="000000" w:themeColor="text1"/>
                <w14:textFill>
                  <w14:solidFill>
                    <w14:schemeClr w14:val="tx1"/>
                  </w14:solidFill>
                </w14:textFill>
              </w:rPr>
            </w:pPr>
            <w:r>
              <w:rPr>
                <w:rFonts w:hint="eastAsia" w:ascii="宋体" w:hAnsi="宋体"/>
              </w:rPr>
              <w:t>一年内到期的长期应收款</w:t>
            </w:r>
          </w:p>
        </w:tc>
        <w:tc>
          <w:tcPr>
            <w:tcW w:w="1601" w:type="pct"/>
            <w:vAlign w:val="center"/>
          </w:tcPr>
          <w:p w14:paraId="600A2D9D">
            <w:pPr>
              <w:jc w:val="right"/>
            </w:pPr>
            <w:r>
              <w:t>1,600,000.00</w:t>
            </w:r>
          </w:p>
        </w:tc>
        <w:tc>
          <w:tcPr>
            <w:tcW w:w="1582" w:type="pct"/>
            <w:vAlign w:val="center"/>
          </w:tcPr>
          <w:p w14:paraId="0184CF02">
            <w:pPr>
              <w:jc w:val="right"/>
            </w:pPr>
            <w:r>
              <w:t>7,100,000.00</w:t>
            </w:r>
          </w:p>
        </w:tc>
      </w:tr>
      <w:tr w14:paraId="5B15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pct"/>
            <w:vAlign w:val="bottom"/>
          </w:tcPr>
          <w:p w14:paraId="00718CAF">
            <w:pPr>
              <w:snapToGrid w:val="0"/>
              <w:ind w:left="-107" w:leftChars="-51"/>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01" w:type="pct"/>
          </w:tcPr>
          <w:p w14:paraId="1F2EBB44">
            <w:pPr>
              <w:snapToGrid w:val="0"/>
              <w:jc w:val="right"/>
            </w:pPr>
            <w:r>
              <w:rPr>
                <w:rFonts w:hint="eastAsia"/>
              </w:rPr>
              <w:t>8</w:t>
            </w:r>
            <w:r>
              <w:t>3,707,335.27</w:t>
            </w:r>
          </w:p>
        </w:tc>
        <w:tc>
          <w:tcPr>
            <w:tcW w:w="1582" w:type="pct"/>
          </w:tcPr>
          <w:p w14:paraId="5ED2E131">
            <w:pPr>
              <w:snapToGrid w:val="0"/>
              <w:jc w:val="right"/>
            </w:pPr>
            <w:r>
              <w:t>49,492,840.50</w:t>
            </w:r>
          </w:p>
        </w:tc>
      </w:tr>
    </w:tbl>
    <w:p w14:paraId="73BFE7BA">
      <w:pPr>
        <w:ind w:right="210"/>
        <w:rPr>
          <w:color w:val="000000" w:themeColor="text1"/>
          <w14:textFill>
            <w14:solidFill>
              <w14:schemeClr w14:val="tx1"/>
            </w14:solidFill>
          </w14:textFill>
        </w:rPr>
      </w:pPr>
    </w:p>
    <w:bookmarkEnd w:id="241"/>
    <w:p w14:paraId="2429CF92">
      <w:pPr>
        <w:pStyle w:val="5"/>
        <w:rPr>
          <w:color w:val="000000" w:themeColor="text1"/>
          <w14:textFill>
            <w14:solidFill>
              <w14:schemeClr w14:val="tx1"/>
            </w14:solidFill>
          </w14:textFill>
        </w:rPr>
      </w:pPr>
      <w:bookmarkStart w:id="243" w:name="_Hlk167891921"/>
      <w:r>
        <w:rPr>
          <w:rFonts w:hint="eastAsia"/>
          <w:color w:val="000000" w:themeColor="text1"/>
          <w14:textFill>
            <w14:solidFill>
              <w14:schemeClr w14:val="tx1"/>
            </w14:solidFill>
          </w14:textFill>
        </w:rPr>
        <w:t>一年内到期的债权投资</w:t>
      </w:r>
    </w:p>
    <w:sdt>
      <w:sdtPr>
        <w:rPr>
          <w:color w:val="000000" w:themeColor="text1"/>
          <w14:textFill>
            <w14:solidFill>
              <w14:schemeClr w14:val="tx1"/>
            </w14:solidFill>
          </w14:textFill>
        </w:rPr>
        <w:alias w:val="是否适用：一年内到期的债权投资[双击切换]"/>
        <w:tag w:val="_GBC_ed748eccf06845059b7b75fbb321c08e"/>
        <w:id w:val="-1208720079"/>
        <w:placeholder>
          <w:docPart w:val="GBC22222222222222222222222222222"/>
        </w:placeholder>
      </w:sdtPr>
      <w:sdtEndPr>
        <w:rPr>
          <w:color w:val="000000" w:themeColor="text1"/>
          <w14:textFill>
            <w14:solidFill>
              <w14:schemeClr w14:val="tx1"/>
            </w14:solidFill>
          </w14:textFill>
        </w:rPr>
      </w:sdtEndPr>
      <w:sdtContent>
        <w:p w14:paraId="730CD76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3621DDF">
      <w:pPr>
        <w:ind w:right="210"/>
        <w:rPr>
          <w:color w:val="000000" w:themeColor="text1"/>
          <w14:textFill>
            <w14:solidFill>
              <w14:schemeClr w14:val="tx1"/>
            </w14:solidFill>
          </w14:textFill>
        </w:rPr>
      </w:pPr>
    </w:p>
    <w:p w14:paraId="3620A7A3">
      <w:pPr>
        <w:ind w:right="210"/>
        <w:rPr>
          <w:color w:val="000000" w:themeColor="text1"/>
          <w14:textFill>
            <w14:solidFill>
              <w14:schemeClr w14:val="tx1"/>
            </w14:solidFill>
          </w14:textFill>
        </w:rPr>
      </w:pPr>
    </w:p>
    <w:p w14:paraId="1DCBF7D3">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一年内到期的其他债权投资</w:t>
      </w:r>
    </w:p>
    <w:sdt>
      <w:sdtPr>
        <w:rPr>
          <w:color w:val="000000" w:themeColor="text1"/>
          <w14:textFill>
            <w14:solidFill>
              <w14:schemeClr w14:val="tx1"/>
            </w14:solidFill>
          </w14:textFill>
        </w:rPr>
        <w:alias w:val="是否适用：一年内到期的其他债权投资[双击切换]"/>
        <w:tag w:val="_GBC_4fffef07e644478cae129eff5661f608"/>
        <w:id w:val="2100368913"/>
        <w:placeholder>
          <w:docPart w:val="GBC22222222222222222222222222222"/>
        </w:placeholder>
      </w:sdtPr>
      <w:sdtEndPr>
        <w:rPr>
          <w:color w:val="000000" w:themeColor="text1"/>
          <w14:textFill>
            <w14:solidFill>
              <w14:schemeClr w14:val="tx1"/>
            </w14:solidFill>
          </w14:textFill>
        </w:rPr>
      </w:sdtEndPr>
      <w:sdtContent>
        <w:p w14:paraId="34EF2AC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85C11DE">
      <w:pPr>
        <w:rPr>
          <w:color w:val="000000" w:themeColor="text1"/>
          <w14:textFill>
            <w14:solidFill>
              <w14:schemeClr w14:val="tx1"/>
            </w14:solidFill>
          </w14:textFill>
        </w:rPr>
      </w:pPr>
    </w:p>
    <w:p w14:paraId="1F26365C">
      <w:pPr>
        <w:ind w:right="210"/>
        <w:rPr>
          <w:color w:val="000000" w:themeColor="text1"/>
          <w14:textFill>
            <w14:solidFill>
              <w14:schemeClr w14:val="tx1"/>
            </w14:solidFill>
          </w14:textFill>
        </w:rPr>
      </w:pPr>
    </w:p>
    <w:p w14:paraId="1800308E">
      <w:pPr>
        <w:ind w:right="210"/>
        <w:rPr>
          <w:color w:val="000000" w:themeColor="text1"/>
          <w14:textFill>
            <w14:solidFill>
              <w14:schemeClr w14:val="tx1"/>
            </w14:solidFill>
          </w14:textFill>
        </w:rPr>
      </w:pPr>
      <w:r>
        <w:rPr>
          <w:rFonts w:hint="eastAsia"/>
          <w:color w:val="000000" w:themeColor="text1"/>
          <w14:textFill>
            <w14:solidFill>
              <w14:schemeClr w14:val="tx1"/>
            </w14:solidFill>
          </w14:textFill>
        </w:rPr>
        <w:t>一年内到期的非流动资产的其他说明</w:t>
      </w:r>
    </w:p>
    <w:sdt>
      <w:sdtPr>
        <w:rPr>
          <w:color w:val="000000" w:themeColor="text1"/>
          <w14:textFill>
            <w14:solidFill>
              <w14:schemeClr w14:val="tx1"/>
            </w14:solidFill>
          </w14:textFill>
        </w:rPr>
        <w:alias w:val="一年内到期的非流动资产其他说明"/>
        <w:tag w:val="_GBC_218c0d81bbcc4458a19aa7e5806bac06"/>
        <w:id w:val="-1528088735"/>
        <w:placeholder>
          <w:docPart w:val="GBC22222222222222222222222222222"/>
        </w:placeholder>
      </w:sdtPr>
      <w:sdtEndPr>
        <w:rPr>
          <w:color w:val="000000" w:themeColor="text1"/>
          <w14:textFill>
            <w14:solidFill>
              <w14:schemeClr w14:val="tx1"/>
            </w14:solidFill>
          </w14:textFill>
        </w:rPr>
      </w:sdtEndPr>
      <w:sdtContent>
        <w:p w14:paraId="5A5375DA">
          <w:pPr>
            <w:ind w:right="210"/>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4EDD03DC">
      <w:pPr>
        <w:ind w:right="210"/>
        <w:rPr>
          <w:color w:val="000000" w:themeColor="text1"/>
          <w14:textFill>
            <w14:solidFill>
              <w14:schemeClr w14:val="tx1"/>
            </w14:solidFill>
          </w14:textFill>
        </w:rPr>
      </w:pPr>
    </w:p>
    <w:bookmarkEnd w:id="242"/>
    <w:bookmarkEnd w:id="243"/>
    <w:p w14:paraId="0FE9FCB2">
      <w:pPr>
        <w:pStyle w:val="4"/>
        <w:numPr>
          <w:ilvl w:val="0"/>
          <w:numId w:val="53"/>
        </w:numPr>
        <w:tabs>
          <w:tab w:val="left" w:pos="504"/>
        </w:tabs>
        <w:rPr>
          <w:rFonts w:hint="eastAsia" w:ascii="宋体" w:hAnsi="宋体"/>
          <w:color w:val="000000" w:themeColor="text1"/>
          <w14:textFill>
            <w14:solidFill>
              <w14:schemeClr w14:val="tx1"/>
            </w14:solidFill>
          </w14:textFill>
        </w:rPr>
      </w:pPr>
      <w:bookmarkStart w:id="244" w:name="_Hlk10471163"/>
      <w:r>
        <w:rPr>
          <w:rFonts w:hint="eastAsia" w:ascii="宋体" w:hAnsi="宋体"/>
          <w:color w:val="000000" w:themeColor="text1"/>
          <w14:textFill>
            <w14:solidFill>
              <w14:schemeClr w14:val="tx1"/>
            </w14:solidFill>
          </w14:textFill>
        </w:rPr>
        <w:t>其他流动资产</w:t>
      </w:r>
    </w:p>
    <w:sdt>
      <w:sdtPr>
        <w:rPr>
          <w:color w:val="000000" w:themeColor="text1"/>
          <w14:textFill>
            <w14:solidFill>
              <w14:schemeClr w14:val="tx1"/>
            </w14:solidFill>
          </w14:textFill>
        </w:rPr>
        <w:alias w:val="是否适用：其他流动资产[双击切换]"/>
        <w:tag w:val="_GBC_7733d50365e24328b41020152f88028d"/>
        <w:id w:val="-451705415"/>
        <w:lock w:val="contentLocked"/>
        <w:placeholder>
          <w:docPart w:val="GBC22222222222222222222222222222"/>
        </w:placeholder>
      </w:sdtPr>
      <w:sdtEndPr>
        <w:rPr>
          <w:color w:val="000000" w:themeColor="text1"/>
          <w14:textFill>
            <w14:solidFill>
              <w14:schemeClr w14:val="tx1"/>
            </w14:solidFill>
          </w14:textFill>
        </w:rPr>
      </w:sdtEndPr>
      <w:sdtContent>
        <w:p w14:paraId="1E8FF01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2FB4BE6">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其他流动资产"/>
          <w:tag w:val="_GBC_d0c62fc75d164678ad203d9ddb106538"/>
          <w:id w:val="18512976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其他流动资产"/>
          <w:tag w:val="_GBC_9196143d56d24a9ea7f7e31ce8a09024"/>
          <w:id w:val="194026250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4"/>
        <w:gridCol w:w="2845"/>
        <w:gridCol w:w="2774"/>
      </w:tblGrid>
      <w:tr w14:paraId="7BA7D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15bbfc7d41df4300abcae2e424cc6572"/>
            <w:id w:val="-1982912335"/>
          </w:sdtPr>
          <w:sdtContent>
            <w:tc>
              <w:tcPr>
                <w:tcW w:w="1816" w:type="pct"/>
                <w:vAlign w:val="center"/>
              </w:tcPr>
              <w:p w14:paraId="4D9B7558">
                <w:pPr>
                  <w:jc w:val="center"/>
                  <w:rPr>
                    <w:color w:val="000000" w:themeColor="text1"/>
                    <w14:textFill>
                      <w14:solidFill>
                        <w14:schemeClr w14:val="tx1"/>
                      </w14:solidFill>
                    </w14:textFill>
                  </w:rPr>
                </w:pPr>
                <w:bookmarkStart w:id="245" w:name="_Hlk533421736"/>
                <w:r>
                  <w:rPr>
                    <w:rFonts w:hint="eastAsia"/>
                    <w:color w:val="000000" w:themeColor="text1"/>
                    <w14:textFill>
                      <w14:solidFill>
                        <w14:schemeClr w14:val="tx1"/>
                      </w14:solidFill>
                    </w14:textFill>
                  </w:rPr>
                  <w:t>项目</w:t>
                </w:r>
              </w:p>
            </w:tc>
          </w:sdtContent>
        </w:sdt>
        <w:sdt>
          <w:sdtPr>
            <w:tag w:val="_PLD_d2a222194eae4e958db2401139170ea2"/>
            <w:id w:val="1421062554"/>
          </w:sdtPr>
          <w:sdtContent>
            <w:tc>
              <w:tcPr>
                <w:tcW w:w="1612" w:type="pct"/>
                <w:vAlign w:val="center"/>
              </w:tcPr>
              <w:p w14:paraId="5FF1930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0f3815799e9d4216b9506517d8e9b90c"/>
            <w:id w:val="-967815071"/>
          </w:sdtPr>
          <w:sdtContent>
            <w:tc>
              <w:tcPr>
                <w:tcW w:w="1572" w:type="pct"/>
                <w:vAlign w:val="center"/>
              </w:tcPr>
              <w:p w14:paraId="51A32AA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1C37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pct"/>
            <w:vAlign w:val="center"/>
          </w:tcPr>
          <w:p w14:paraId="71BE1FF2">
            <w:pPr>
              <w:rPr>
                <w:color w:val="000000" w:themeColor="text1"/>
                <w14:textFill>
                  <w14:solidFill>
                    <w14:schemeClr w14:val="tx1"/>
                  </w14:solidFill>
                </w14:textFill>
              </w:rPr>
            </w:pPr>
            <w:r>
              <w:rPr>
                <w:rFonts w:hint="eastAsia"/>
                <w:color w:val="000000" w:themeColor="text1"/>
                <w14:textFill>
                  <w14:solidFill>
                    <w14:schemeClr w14:val="tx1"/>
                  </w14:solidFill>
                </w14:textFill>
              </w:rPr>
              <w:t>留抵增值税</w:t>
            </w:r>
          </w:p>
        </w:tc>
        <w:tc>
          <w:tcPr>
            <w:tcW w:w="1612" w:type="pct"/>
            <w:vAlign w:val="center"/>
          </w:tcPr>
          <w:p w14:paraId="25DC756F">
            <w:pPr>
              <w:jc w:val="right"/>
            </w:pPr>
            <w:r>
              <w:t>14,997,506.40</w:t>
            </w:r>
          </w:p>
        </w:tc>
        <w:tc>
          <w:tcPr>
            <w:tcW w:w="1572" w:type="pct"/>
            <w:vAlign w:val="center"/>
          </w:tcPr>
          <w:p w14:paraId="1591FA2B">
            <w:pPr>
              <w:jc w:val="right"/>
            </w:pPr>
            <w:r>
              <w:t>28,089,041.53</w:t>
            </w:r>
          </w:p>
        </w:tc>
      </w:tr>
      <w:tr w14:paraId="77FF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pct"/>
            <w:vAlign w:val="center"/>
          </w:tcPr>
          <w:p w14:paraId="06B1C93A">
            <w:pPr>
              <w:rPr>
                <w:color w:val="000000" w:themeColor="text1"/>
                <w14:textFill>
                  <w14:solidFill>
                    <w14:schemeClr w14:val="tx1"/>
                  </w14:solidFill>
                </w14:textFill>
              </w:rPr>
            </w:pPr>
            <w:r>
              <w:rPr>
                <w:rFonts w:hint="eastAsia"/>
                <w:color w:val="000000" w:themeColor="text1"/>
                <w14:textFill>
                  <w14:solidFill>
                    <w14:schemeClr w14:val="tx1"/>
                  </w14:solidFill>
                </w14:textFill>
              </w:rPr>
              <w:t>预缴所得税</w:t>
            </w:r>
          </w:p>
        </w:tc>
        <w:tc>
          <w:tcPr>
            <w:tcW w:w="1612" w:type="pct"/>
            <w:vAlign w:val="center"/>
          </w:tcPr>
          <w:p w14:paraId="6D81754F">
            <w:pPr>
              <w:jc w:val="right"/>
            </w:pPr>
            <w:r>
              <w:t>1,211.99</w:t>
            </w:r>
          </w:p>
        </w:tc>
        <w:tc>
          <w:tcPr>
            <w:tcW w:w="1572" w:type="pct"/>
            <w:vAlign w:val="center"/>
          </w:tcPr>
          <w:p w14:paraId="1A7E3D3B">
            <w:pPr>
              <w:jc w:val="right"/>
            </w:pPr>
            <w:r>
              <w:t>1,211.99</w:t>
            </w:r>
          </w:p>
        </w:tc>
      </w:tr>
      <w:tr w14:paraId="7B2B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pct"/>
            <w:vAlign w:val="center"/>
          </w:tcPr>
          <w:p w14:paraId="5708FCE0">
            <w:pPr>
              <w:snapToGrid w:val="0"/>
              <w:ind w:left="-107" w:leftChars="-51"/>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12" w:type="pct"/>
          </w:tcPr>
          <w:p w14:paraId="0ED9FDA9">
            <w:pPr>
              <w:snapToGrid w:val="0"/>
              <w:jc w:val="right"/>
            </w:pPr>
            <w:r>
              <w:t>14,998,718.39</w:t>
            </w:r>
          </w:p>
        </w:tc>
        <w:tc>
          <w:tcPr>
            <w:tcW w:w="1572" w:type="pct"/>
            <w:vAlign w:val="center"/>
          </w:tcPr>
          <w:p w14:paraId="5BE4FF87">
            <w:pPr>
              <w:snapToGrid w:val="0"/>
              <w:jc w:val="right"/>
            </w:pPr>
            <w:r>
              <w:t>28,090,253.52</w:t>
            </w:r>
          </w:p>
        </w:tc>
      </w:tr>
    </w:tbl>
    <w:p w14:paraId="5B89F91C">
      <w:pPr>
        <w:rPr>
          <w:color w:val="000000" w:themeColor="text1"/>
          <w14:textFill>
            <w14:solidFill>
              <w14:schemeClr w14:val="tx1"/>
            </w14:solidFill>
          </w14:textFill>
        </w:rPr>
      </w:pPr>
    </w:p>
    <w:bookmarkEnd w:id="245"/>
    <w:p w14:paraId="57269D7C">
      <w:r>
        <w:rPr>
          <w:rFonts w:hint="eastAsia"/>
        </w:rPr>
        <w:t>补偿性资产相关信息</w:t>
      </w:r>
    </w:p>
    <w:sdt>
      <w:sdtPr>
        <w:rPr>
          <w:rFonts w:hint="eastAsia" w:ascii="宋体" w:hAnsi="宋体"/>
          <w:color w:val="000000"/>
        </w:rPr>
        <w:alias w:val="是否适用：其他流动资产补偿性资产相关信息的说明[双击切换]"/>
        <w:tag w:val="_GBC_d23e85a0e221493d9e095d75249c50f5"/>
        <w:id w:val="-457187466"/>
        <w:placeholder>
          <w:docPart w:val="GBC22222222222222222222222222222"/>
        </w:placeholder>
      </w:sdtPr>
      <w:sdtEndPr>
        <w:rPr>
          <w:rFonts w:hint="eastAsia" w:ascii="宋体" w:hAnsi="宋体"/>
          <w:color w:val="000000"/>
        </w:rPr>
      </w:sdtEndPr>
      <w:sdtContent>
        <w:p w14:paraId="31113DAF">
          <w:pPr>
            <w:rPr>
              <w:color w:val="000000"/>
            </w:rPr>
          </w:pPr>
          <w:r>
            <w:rPr>
              <w:rFonts w:hint="eastAsia" w:ascii="宋体" w:hAnsi="宋体"/>
              <w:color w:val="000000"/>
            </w:rPr>
            <w:fldChar w:fldCharType="begin"/>
          </w:r>
          <w:r>
            <w:rPr>
              <w:rFonts w:hint="eastAsia" w:ascii="宋体" w:hAnsi="宋体"/>
              <w:color w:val="000000"/>
            </w:rPr>
            <w:instrText xml:space="preserve"> MACROBUTTON  SnrToggleCheckbox □适用 </w:instrText>
          </w:r>
          <w:r>
            <w:rPr>
              <w:rFonts w:hint="eastAsia" w:ascii="宋体" w:hAnsi="宋体"/>
              <w:color w:val="000000"/>
            </w:rPr>
            <w:fldChar w:fldCharType="end"/>
          </w:r>
          <w:r>
            <w:rPr>
              <w:rFonts w:hint="eastAsia" w:ascii="宋体" w:hAnsi="宋体"/>
              <w:color w:val="000000"/>
            </w:rPr>
            <w:fldChar w:fldCharType="begin"/>
          </w:r>
          <w:r>
            <w:rPr>
              <w:rFonts w:hint="eastAsia" w:ascii="宋体" w:hAnsi="宋体"/>
              <w:color w:val="000000"/>
            </w:rPr>
            <w:instrText xml:space="preserve"> MACROBUTTON  SnrToggleCheckbox √不适用 </w:instrText>
          </w:r>
          <w:r>
            <w:rPr>
              <w:rFonts w:hint="eastAsia" w:ascii="宋体" w:hAnsi="宋体"/>
              <w:color w:val="000000"/>
            </w:rPr>
            <w:fldChar w:fldCharType="end"/>
          </w:r>
        </w:p>
      </w:sdtContent>
    </w:sdt>
    <w:p w14:paraId="7D7825C8">
      <w:pPr>
        <w:rPr>
          <w:color w:val="000000"/>
        </w:rPr>
      </w:pPr>
    </w:p>
    <w:p w14:paraId="054E673D">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rFonts w:hint="eastAsia"/>
          <w:color w:val="000000" w:themeColor="text1"/>
          <w14:textFill>
            <w14:solidFill>
              <w14:schemeClr w14:val="tx1"/>
            </w14:solidFill>
          </w14:textFill>
        </w:rPr>
        <w:alias w:val="其他流动资产说明"/>
        <w:tag w:val="_GBC_7955e529151148f394eed0e26977270b"/>
        <w:id w:val="853771224"/>
        <w:placeholder>
          <w:docPart w:val="GBC22222222222222222222222222222"/>
        </w:placeholder>
      </w:sdtPr>
      <w:sdtEndPr>
        <w:rPr>
          <w:rFonts w:hint="eastAsia"/>
          <w:color w:val="000000" w:themeColor="text1"/>
          <w14:textFill>
            <w14:solidFill>
              <w14:schemeClr w14:val="tx1"/>
            </w14:solidFill>
          </w14:textFill>
        </w:rPr>
      </w:sdtEndPr>
      <w:sdtContent>
        <w:p w14:paraId="2BDB531F">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18109C70">
      <w:pPr>
        <w:ind w:right="210"/>
        <w:rPr>
          <w:color w:val="000000" w:themeColor="text1"/>
          <w14:textFill>
            <w14:solidFill>
              <w14:schemeClr w14:val="tx1"/>
            </w14:solidFill>
          </w14:textFill>
        </w:rPr>
      </w:pPr>
    </w:p>
    <w:bookmarkEnd w:id="244"/>
    <w:p w14:paraId="504E35CD">
      <w:pPr>
        <w:pStyle w:val="4"/>
        <w:numPr>
          <w:ilvl w:val="0"/>
          <w:numId w:val="53"/>
        </w:numPr>
        <w:tabs>
          <w:tab w:val="left" w:pos="504"/>
        </w:tabs>
        <w:rPr>
          <w:rFonts w:hint="eastAsia" w:ascii="宋体" w:hAnsi="宋体"/>
          <w:color w:val="000000" w:themeColor="text1"/>
          <w14:textFill>
            <w14:solidFill>
              <w14:schemeClr w14:val="tx1"/>
            </w14:solidFill>
          </w14:textFill>
        </w:rPr>
      </w:pPr>
      <w:bookmarkStart w:id="246" w:name="_Hlk10471390"/>
      <w:r>
        <w:rPr>
          <w:rFonts w:hint="eastAsia" w:ascii="宋体" w:hAnsi="宋体"/>
          <w:color w:val="000000" w:themeColor="text1"/>
          <w14:textFill>
            <w14:solidFill>
              <w14:schemeClr w14:val="tx1"/>
            </w14:solidFill>
          </w14:textFill>
        </w:rPr>
        <w:t>债权投资</w:t>
      </w:r>
    </w:p>
    <w:p w14:paraId="6372CD64">
      <w:pPr>
        <w:pStyle w:val="5"/>
        <w:numPr>
          <w:ilvl w:val="3"/>
          <w:numId w:val="63"/>
        </w:numPr>
        <w:ind w:left="426" w:hanging="42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债权投资情况</w:t>
      </w:r>
    </w:p>
    <w:sdt>
      <w:sdtPr>
        <w:rPr>
          <w:color w:val="000000" w:themeColor="text1"/>
          <w14:textFill>
            <w14:solidFill>
              <w14:schemeClr w14:val="tx1"/>
            </w14:solidFill>
          </w14:textFill>
        </w:rPr>
        <w:alias w:val="是否适用：以摊余成本计量的长期债权投资[双击切换]"/>
        <w:tag w:val="_GBC_22cb0188d98c4d37a97e0c6a9e34e10d"/>
        <w:id w:val="1509090772"/>
        <w:placeholder>
          <w:docPart w:val="GBC22222222222222222222222222222"/>
        </w:placeholder>
      </w:sdtPr>
      <w:sdtEndPr>
        <w:rPr>
          <w:color w:val="000000" w:themeColor="text1"/>
          <w14:textFill>
            <w14:solidFill>
              <w14:schemeClr w14:val="tx1"/>
            </w14:solidFill>
          </w14:textFill>
        </w:rPr>
      </w:sdtEndPr>
      <w:sdtContent>
        <w:p w14:paraId="58421BE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C7B87F4">
      <w:pPr>
        <w:rPr>
          <w:color w:val="000000" w:themeColor="text1"/>
          <w14:textFill>
            <w14:solidFill>
              <w14:schemeClr w14:val="tx1"/>
            </w14:solidFill>
          </w14:textFill>
        </w:rPr>
      </w:pPr>
    </w:p>
    <w:bookmarkEnd w:id="246"/>
    <w:p w14:paraId="7B343FAF">
      <w:pPr>
        <w:rPr>
          <w:color w:val="000000" w:themeColor="text1"/>
          <w14:textFill>
            <w14:solidFill>
              <w14:schemeClr w14:val="tx1"/>
            </w14:solidFill>
          </w14:textFill>
        </w:rPr>
      </w:pPr>
      <w:bookmarkStart w:id="247" w:name="_Hlk167892259"/>
      <w:bookmarkStart w:id="248" w:name="_Hlk153455457"/>
      <w:r>
        <w:rPr>
          <w:rFonts w:hint="eastAsia"/>
          <w:color w:val="000000" w:themeColor="text1"/>
          <w14:textFill>
            <w14:solidFill>
              <w14:schemeClr w14:val="tx1"/>
            </w14:solidFill>
          </w14:textFill>
        </w:rPr>
        <w:t>债权投资减值准备本期变动情况</w:t>
      </w:r>
    </w:p>
    <w:sdt>
      <w:sdtPr>
        <w:rPr>
          <w:color w:val="000000" w:themeColor="text1"/>
          <w14:textFill>
            <w14:solidFill>
              <w14:schemeClr w14:val="tx1"/>
            </w14:solidFill>
          </w14:textFill>
        </w:rPr>
        <w:alias w:val="是否适用：减值准备本期变动情况[双击切换]"/>
        <w:tag w:val="_GBC_50b72791ac8a452f88456ab4da535bab"/>
        <w:id w:val="-1996941787"/>
        <w:placeholder>
          <w:docPart w:val="GBC22222222222222222222222222222"/>
        </w:placeholder>
      </w:sdtPr>
      <w:sdtEndPr>
        <w:rPr>
          <w:color w:val="000000" w:themeColor="text1"/>
          <w14:textFill>
            <w14:solidFill>
              <w14:schemeClr w14:val="tx1"/>
            </w14:solidFill>
          </w14:textFill>
        </w:rPr>
      </w:sdtEndPr>
      <w:sdtContent>
        <w:p w14:paraId="42FC8DD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DDAEB6B">
      <w:pPr>
        <w:rPr>
          <w:color w:val="000000" w:themeColor="text1"/>
          <w14:textFill>
            <w14:solidFill>
              <w14:schemeClr w14:val="tx1"/>
            </w14:solidFill>
          </w14:textFill>
        </w:rPr>
      </w:pPr>
    </w:p>
    <w:bookmarkEnd w:id="247"/>
    <w:bookmarkEnd w:id="248"/>
    <w:p w14:paraId="6DDAD51C">
      <w:pPr>
        <w:pStyle w:val="5"/>
        <w:numPr>
          <w:ilvl w:val="3"/>
          <w:numId w:val="63"/>
        </w:numPr>
        <w:ind w:left="426" w:hanging="426"/>
        <w:rPr>
          <w:color w:val="000000" w:themeColor="text1"/>
          <w14:textFill>
            <w14:solidFill>
              <w14:schemeClr w14:val="tx1"/>
            </w14:solidFill>
          </w14:textFill>
        </w:rPr>
      </w:pPr>
      <w:bookmarkStart w:id="249" w:name="_Hlk532994191"/>
      <w:bookmarkStart w:id="250" w:name="_Hlk167892342"/>
      <w:r>
        <w:rPr>
          <w:rFonts w:hint="eastAsia"/>
          <w:color w:val="000000" w:themeColor="text1"/>
          <w14:textFill>
            <w14:solidFill>
              <w14:schemeClr w14:val="tx1"/>
            </w14:solidFill>
          </w14:textFill>
        </w:rPr>
        <w:t>期末重要的债权投资</w:t>
      </w:r>
    </w:p>
    <w:sdt>
      <w:sdtPr>
        <w:rPr>
          <w:color w:val="000000" w:themeColor="text1"/>
          <w14:textFill>
            <w14:solidFill>
              <w14:schemeClr w14:val="tx1"/>
            </w14:solidFill>
          </w14:textFill>
        </w:rPr>
        <w:alias w:val="是否适用：重要的债权投资[双击切换]"/>
        <w:tag w:val="_GBC_dfd6ab7a86864614a29dc0fb3c650c26"/>
        <w:id w:val="1627810887"/>
        <w:placeholder>
          <w:docPart w:val="GBC22222222222222222222222222222"/>
        </w:placeholder>
      </w:sdtPr>
      <w:sdtEndPr>
        <w:rPr>
          <w:color w:val="000000" w:themeColor="text1"/>
          <w14:textFill>
            <w14:solidFill>
              <w14:schemeClr w14:val="tx1"/>
            </w14:solidFill>
          </w14:textFill>
        </w:rPr>
      </w:sdtEndPr>
      <w:sdtContent>
        <w:p w14:paraId="31FFBC8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D05FA43">
      <w:pPr>
        <w:rPr>
          <w:color w:val="000000" w:themeColor="text1"/>
          <w14:textFill>
            <w14:solidFill>
              <w14:schemeClr w14:val="tx1"/>
            </w14:solidFill>
          </w14:textFill>
        </w:rPr>
      </w:pPr>
    </w:p>
    <w:bookmarkEnd w:id="249"/>
    <w:bookmarkEnd w:id="250"/>
    <w:p w14:paraId="3AF1918B">
      <w:pPr>
        <w:pStyle w:val="5"/>
        <w:numPr>
          <w:ilvl w:val="3"/>
          <w:numId w:val="63"/>
        </w:numPr>
        <w:ind w:left="426" w:hanging="426"/>
        <w:rPr>
          <w:rFonts w:hint="eastAsia" w:ascii="宋体" w:hAnsi="宋体"/>
          <w:color w:val="000000" w:themeColor="text1"/>
          <w14:textFill>
            <w14:solidFill>
              <w14:schemeClr w14:val="tx1"/>
            </w14:solidFill>
          </w14:textFill>
        </w:rPr>
      </w:pPr>
      <w:bookmarkStart w:id="251" w:name="_Hlk10471472"/>
      <w:bookmarkStart w:id="252" w:name="_Hlk10471485"/>
      <w:r>
        <w:rPr>
          <w:rFonts w:hint="eastAsia" w:ascii="宋体" w:hAnsi="宋体" w:cs="宋体"/>
          <w:color w:val="000000" w:themeColor="text1"/>
          <w:kern w:val="0"/>
          <w:szCs w:val="24"/>
          <w14:textFill>
            <w14:solidFill>
              <w14:schemeClr w14:val="tx1"/>
            </w14:solidFill>
          </w14:textFill>
        </w:rPr>
        <w:t>减值准备计提情况</w:t>
      </w:r>
      <w:bookmarkEnd w:id="251"/>
    </w:p>
    <w:sdt>
      <w:sdtPr>
        <w:rPr>
          <w:color w:val="000000" w:themeColor="text1"/>
          <w14:textFill>
            <w14:solidFill>
              <w14:schemeClr w14:val="tx1"/>
            </w14:solidFill>
          </w14:textFill>
        </w:rPr>
        <w:alias w:val="是否适用：债权投资减值准备调节表[双击切换]"/>
        <w:tag w:val="_GBC_415a5cd43ad14136b13ac09b150da06f"/>
        <w:id w:val="-120768550"/>
        <w:placeholder>
          <w:docPart w:val="GBC22222222222222222222222222222"/>
        </w:placeholder>
      </w:sdtPr>
      <w:sdtEndPr>
        <w:rPr>
          <w:color w:val="000000" w:themeColor="text1"/>
          <w14:textFill>
            <w14:solidFill>
              <w14:schemeClr w14:val="tx1"/>
            </w14:solidFill>
          </w14:textFill>
        </w:rPr>
      </w:sdtEndPr>
      <w:sdtContent>
        <w:p w14:paraId="2C85C88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9A0AA22">
      <w:pPr>
        <w:rPr>
          <w:color w:val="000000" w:themeColor="text1"/>
          <w14:textFill>
            <w14:solidFill>
              <w14:schemeClr w14:val="tx1"/>
            </w14:solidFill>
          </w14:textFill>
        </w:rPr>
      </w:pPr>
    </w:p>
    <w:p w14:paraId="236AD1B7">
      <w:pPr>
        <w:rPr>
          <w:color w:val="000000" w:themeColor="text1"/>
          <w14:textFill>
            <w14:solidFill>
              <w14:schemeClr w14:val="tx1"/>
            </w14:solidFill>
          </w14:textFill>
        </w:rPr>
      </w:pPr>
      <w:r>
        <w:rPr>
          <w:rFonts w:hint="eastAsia"/>
          <w:color w:val="000000" w:themeColor="text1"/>
          <w14:textFill>
            <w14:solidFill>
              <w14:schemeClr w14:val="tx1"/>
            </w14:solidFill>
          </w14:textFill>
        </w:rPr>
        <w:t>各阶段划分依据和减值准备计提比例：</w:t>
      </w:r>
    </w:p>
    <w:sdt>
      <w:sdtPr>
        <w:rPr>
          <w:color w:val="000000" w:themeColor="text1"/>
          <w14:textFill>
            <w14:solidFill>
              <w14:schemeClr w14:val="tx1"/>
            </w14:solidFill>
          </w14:textFill>
        </w:rPr>
        <w:alias w:val="债权投资各阶段划分依据和减值准备计提比例"/>
        <w:tag w:val="_GBC_251143413a6c4bb19036ef59ee403126"/>
        <w:id w:val="481276789"/>
        <w:placeholder>
          <w:docPart w:val="GBC22222222222222222222222222222"/>
        </w:placeholder>
      </w:sdtPr>
      <w:sdtEndPr>
        <w:rPr>
          <w:color w:val="000000" w:themeColor="text1"/>
          <w14:textFill>
            <w14:solidFill>
              <w14:schemeClr w14:val="tx1"/>
            </w14:solidFill>
          </w14:textFill>
        </w:rPr>
      </w:sdtEndPr>
      <w:sdtContent>
        <w:p w14:paraId="53FC17D2">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092AB1ED">
      <w:pPr>
        <w:rPr>
          <w:color w:val="000000" w:themeColor="text1"/>
          <w14:textFill>
            <w14:solidFill>
              <w14:schemeClr w14:val="tx1"/>
            </w14:solidFill>
          </w14:textFill>
        </w:rPr>
      </w:pPr>
    </w:p>
    <w:p w14:paraId="45F89462">
      <w:pPr>
        <w:rPr>
          <w:color w:val="000000" w:themeColor="text1"/>
          <w14:textFill>
            <w14:solidFill>
              <w14:schemeClr w14:val="tx1"/>
            </w14:solidFill>
          </w14:textFill>
        </w:rPr>
      </w:pPr>
    </w:p>
    <w:p w14:paraId="6C6151C9">
      <w:pPr>
        <w:pStyle w:val="72"/>
        <w:rPr>
          <w:color w:val="000000" w:themeColor="text1"/>
          <w14:textFill>
            <w14:solidFill>
              <w14:schemeClr w14:val="tx1"/>
            </w14:solidFill>
          </w14:textFill>
        </w:rPr>
      </w:pPr>
      <w:r>
        <w:rPr>
          <w:rFonts w:hint="eastAsia"/>
          <w:color w:val="000000" w:themeColor="text1"/>
          <w14:textFill>
            <w14:solidFill>
              <w14:schemeClr w14:val="tx1"/>
            </w14:solidFill>
          </w14:textFill>
        </w:rPr>
        <w:t>对本期发生损失准备变动的债权投资账面余额显著变动的情况说明：</w:t>
      </w:r>
    </w:p>
    <w:sdt>
      <w:sdtPr>
        <w:rPr>
          <w:color w:val="000000" w:themeColor="text1"/>
          <w14:textFill>
            <w14:solidFill>
              <w14:schemeClr w14:val="tx1"/>
            </w14:solidFill>
          </w14:textFill>
        </w:rPr>
        <w:alias w:val="是否适用：债权投资本期发生损失准备变动且账面余额显著变动的情况说明[双击切换]"/>
        <w:tag w:val="_GBC_c6e31a7a389c493bad1d2f0f97023edf"/>
        <w:id w:val="79873823"/>
        <w:placeholder>
          <w:docPart w:val="GBC22222222222222222222222222222"/>
        </w:placeholder>
      </w:sdtPr>
      <w:sdtEndPr>
        <w:rPr>
          <w:color w:val="000000" w:themeColor="text1"/>
          <w14:textFill>
            <w14:solidFill>
              <w14:schemeClr w14:val="tx1"/>
            </w14:solidFill>
          </w14:textFill>
        </w:rPr>
      </w:sdtEndPr>
      <w:sdtContent>
        <w:p w14:paraId="3CA9C541">
          <w:pPr>
            <w:autoSpaceDE w:val="0"/>
            <w:autoSpaceDN w:val="0"/>
            <w:adjustRightInd w:val="0"/>
            <w:ind w:right="105" w:rightChars="5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80132A4">
      <w:pPr>
        <w:ind w:right="210"/>
        <w:rPr>
          <w:color w:val="000000" w:themeColor="text1"/>
          <w14:textFill>
            <w14:solidFill>
              <w14:schemeClr w14:val="tx1"/>
            </w14:solidFill>
          </w14:textFill>
        </w:rPr>
      </w:pPr>
    </w:p>
    <w:p w14:paraId="4100AA39">
      <w:pPr>
        <w:pStyle w:val="72"/>
        <w:rPr>
          <w:color w:val="000000" w:themeColor="text1"/>
          <w14:textFill>
            <w14:solidFill>
              <w14:schemeClr w14:val="tx1"/>
            </w14:solidFill>
          </w14:textFill>
        </w:rPr>
      </w:pPr>
      <w:r>
        <w:rPr>
          <w:rFonts w:hint="eastAsia"/>
          <w:color w:val="000000" w:themeColor="text1"/>
          <w14:textFill>
            <w14:solidFill>
              <w14:schemeClr w14:val="tx1"/>
            </w14:solidFill>
          </w14:textFill>
        </w:rPr>
        <w:t>本</w:t>
      </w:r>
      <w:r>
        <w:rPr>
          <w:color w:val="000000" w:themeColor="text1"/>
          <w14:textFill>
            <w14:solidFill>
              <w14:schemeClr w14:val="tx1"/>
            </w14:solidFill>
          </w14:textFill>
        </w:rPr>
        <w:t>期减</w:t>
      </w:r>
      <w:r>
        <w:rPr>
          <w:rFonts w:hint="eastAsia"/>
          <w:color w:val="000000" w:themeColor="text1"/>
          <w14:textFill>
            <w14:solidFill>
              <w14:schemeClr w14:val="tx1"/>
            </w14:solidFill>
          </w14:textFill>
        </w:rPr>
        <w:t>值</w:t>
      </w:r>
      <w:r>
        <w:rPr>
          <w:color w:val="000000" w:themeColor="text1"/>
          <w14:textFill>
            <w14:solidFill>
              <w14:schemeClr w14:val="tx1"/>
            </w14:solidFill>
          </w14:textFill>
        </w:rPr>
        <w:t>准备计提金额以及评估金融工具的</w:t>
      </w:r>
      <w:r>
        <w:rPr>
          <w:rFonts w:hint="eastAsia"/>
          <w:color w:val="000000" w:themeColor="text1"/>
          <w14:textFill>
            <w14:solidFill>
              <w14:schemeClr w14:val="tx1"/>
            </w14:solidFill>
          </w14:textFill>
        </w:rPr>
        <w:t>信用风险是否显著增加的采用依据：</w:t>
      </w:r>
    </w:p>
    <w:sdt>
      <w:sdtPr>
        <w:rPr>
          <w:color w:val="000000" w:themeColor="text1"/>
          <w14:textFill>
            <w14:solidFill>
              <w14:schemeClr w14:val="tx1"/>
            </w14:solidFill>
          </w14:textFill>
        </w:rPr>
        <w:alias w:val="是否适用：债权投资减值准备计提金额以及评估金融工具的信用风险显著增加的采用依据[双击切换]"/>
        <w:tag w:val="_GBC_9f2bcc7ec6104c84a1b0f948b57b7e7a"/>
        <w:id w:val="408194069"/>
        <w:placeholder>
          <w:docPart w:val="GBC22222222222222222222222222222"/>
        </w:placeholder>
      </w:sdtPr>
      <w:sdtEndPr>
        <w:rPr>
          <w:color w:val="000000" w:themeColor="text1"/>
          <w14:textFill>
            <w14:solidFill>
              <w14:schemeClr w14:val="tx1"/>
            </w14:solidFill>
          </w14:textFill>
        </w:rPr>
      </w:sdtEndPr>
      <w:sdtContent>
        <w:p w14:paraId="7DF4417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E7F6B96">
      <w:pPr>
        <w:ind w:right="210"/>
        <w:rPr>
          <w:color w:val="000000" w:themeColor="text1"/>
          <w14:textFill>
            <w14:solidFill>
              <w14:schemeClr w14:val="tx1"/>
            </w14:solidFill>
          </w14:textFill>
        </w:rPr>
      </w:pPr>
    </w:p>
    <w:bookmarkEnd w:id="252"/>
    <w:p w14:paraId="194F23C0">
      <w:pPr>
        <w:pStyle w:val="5"/>
        <w:numPr>
          <w:ilvl w:val="3"/>
          <w:numId w:val="63"/>
        </w:numPr>
        <w:ind w:left="426" w:hanging="426"/>
        <w:rPr>
          <w:rFonts w:hint="eastAsia" w:ascii="宋体" w:hAnsi="宋体" w:cs="宋体"/>
          <w:color w:val="000000" w:themeColor="text1"/>
          <w:kern w:val="0"/>
          <w:szCs w:val="24"/>
          <w14:textFill>
            <w14:solidFill>
              <w14:schemeClr w14:val="tx1"/>
            </w14:solidFill>
          </w14:textFill>
        </w:rPr>
      </w:pPr>
      <w:bookmarkStart w:id="253" w:name="_Hlk153455555"/>
      <w:bookmarkStart w:id="254" w:name="_Hlk167892558"/>
      <w:r>
        <w:rPr>
          <w:rFonts w:ascii="宋体" w:hAnsi="宋体" w:cs="宋体"/>
          <w:color w:val="000000" w:themeColor="text1"/>
          <w:kern w:val="0"/>
          <w:szCs w:val="24"/>
          <w14:textFill>
            <w14:solidFill>
              <w14:schemeClr w14:val="tx1"/>
            </w14:solidFill>
          </w14:textFill>
        </w:rPr>
        <w:t>本期实际</w:t>
      </w:r>
      <w:r>
        <w:rPr>
          <w:rFonts w:hint="eastAsia" w:ascii="宋体" w:hAnsi="宋体" w:cs="宋体"/>
          <w:color w:val="000000" w:themeColor="text1"/>
          <w:kern w:val="0"/>
          <w:szCs w:val="24"/>
          <w14:textFill>
            <w14:solidFill>
              <w14:schemeClr w14:val="tx1"/>
            </w14:solidFill>
          </w14:textFill>
        </w:rPr>
        <w:t>的</w:t>
      </w:r>
      <w:r>
        <w:rPr>
          <w:rFonts w:ascii="宋体" w:hAnsi="宋体" w:cs="宋体"/>
          <w:color w:val="000000" w:themeColor="text1"/>
          <w:kern w:val="0"/>
          <w:szCs w:val="24"/>
          <w14:textFill>
            <w14:solidFill>
              <w14:schemeClr w14:val="tx1"/>
            </w14:solidFill>
          </w14:textFill>
        </w:rPr>
        <w:t>核销</w:t>
      </w:r>
      <w:r>
        <w:rPr>
          <w:rFonts w:hint="eastAsia" w:ascii="宋体" w:hAnsi="宋体" w:cs="宋体"/>
          <w:color w:val="000000" w:themeColor="text1"/>
          <w:kern w:val="0"/>
          <w:szCs w:val="24"/>
          <w14:textFill>
            <w14:solidFill>
              <w14:schemeClr w14:val="tx1"/>
            </w14:solidFill>
          </w14:textFill>
        </w:rPr>
        <w:t>债权投资</w:t>
      </w:r>
      <w:r>
        <w:rPr>
          <w:rFonts w:ascii="宋体" w:hAnsi="宋体" w:cs="宋体"/>
          <w:color w:val="000000" w:themeColor="text1"/>
          <w:kern w:val="0"/>
          <w:szCs w:val="24"/>
          <w14:textFill>
            <w14:solidFill>
              <w14:schemeClr w14:val="tx1"/>
            </w14:solidFill>
          </w14:textFill>
        </w:rPr>
        <w:t>情况</w:t>
      </w:r>
    </w:p>
    <w:sdt>
      <w:sdtPr>
        <w:rPr>
          <w:color w:val="000000" w:themeColor="text1"/>
          <w14:textFill>
            <w14:solidFill>
              <w14:schemeClr w14:val="tx1"/>
            </w14:solidFill>
          </w14:textFill>
        </w:rPr>
        <w:alias w:val="是否适用：实际核销的情况[双击切换]"/>
        <w:tag w:val="_GBC_3afef6300d7c49d48b6294a7214810bd"/>
        <w:id w:val="1994532083"/>
        <w:placeholder>
          <w:docPart w:val="GBC22222222222222222222222222222"/>
        </w:placeholder>
      </w:sdtPr>
      <w:sdtEndPr>
        <w:rPr>
          <w:color w:val="000000" w:themeColor="text1"/>
          <w14:textFill>
            <w14:solidFill>
              <w14:schemeClr w14:val="tx1"/>
            </w14:solidFill>
          </w14:textFill>
        </w:rPr>
      </w:sdtEndPr>
      <w:sdtContent>
        <w:p w14:paraId="0F15BA4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6F93A03">
      <w:pPr>
        <w:rPr>
          <w:color w:val="000000" w:themeColor="text1"/>
          <w14:textFill>
            <w14:solidFill>
              <w14:schemeClr w14:val="tx1"/>
            </w14:solidFill>
          </w14:textFill>
        </w:rPr>
      </w:pPr>
    </w:p>
    <w:p w14:paraId="4F98B66C">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其中重要的债权投资</w:t>
      </w:r>
      <w:r>
        <w:rPr>
          <w:color w:val="000000" w:themeColor="text1"/>
          <w14:textFill>
            <w14:solidFill>
              <w14:schemeClr w14:val="tx1"/>
            </w14:solidFill>
          </w14:textFill>
        </w:rPr>
        <w:t>情况</w:t>
      </w:r>
      <w:r>
        <w:rPr>
          <w:rFonts w:hint="eastAsia"/>
          <w:color w:val="000000" w:themeColor="text1"/>
          <w14:textFill>
            <w14:solidFill>
              <w14:schemeClr w14:val="tx1"/>
            </w14:solidFill>
          </w14:textFill>
        </w:rPr>
        <w:t>核销情况</w:t>
      </w:r>
    </w:p>
    <w:sdt>
      <w:sdtPr>
        <w:rPr>
          <w:rFonts w:hint="eastAsia"/>
          <w:color w:val="000000" w:themeColor="text1"/>
          <w14:textFill>
            <w14:solidFill>
              <w14:schemeClr w14:val="tx1"/>
            </w14:solidFill>
          </w14:textFill>
        </w:rPr>
        <w:alias w:val="是否适用：重要的核销情况[双击切换]"/>
        <w:tag w:val="_GBC_dc0725e00c1d479dba02255be6332ac6"/>
        <w:id w:val="-476835316"/>
        <w:placeholder>
          <w:docPart w:val="GBC22222222222222222222222222222"/>
        </w:placeholder>
      </w:sdtPr>
      <w:sdtEndPr>
        <w:rPr>
          <w:rFonts w:hint="eastAsia"/>
          <w:color w:val="000000" w:themeColor="text1"/>
          <w14:textFill>
            <w14:solidFill>
              <w14:schemeClr w14:val="tx1"/>
            </w14:solidFill>
          </w14:textFill>
        </w:rPr>
      </w:sdtEndPr>
      <w:sdtContent>
        <w:p w14:paraId="25A86A2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04FC34B">
      <w:pPr>
        <w:rPr>
          <w:color w:val="000000" w:themeColor="text1"/>
          <w14:textFill>
            <w14:solidFill>
              <w14:schemeClr w14:val="tx1"/>
            </w14:solidFill>
          </w14:textFill>
        </w:rPr>
      </w:pPr>
    </w:p>
    <w:p w14:paraId="48FDD75A">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债权投资的核销说明：</w:t>
      </w:r>
    </w:p>
    <w:sdt>
      <w:sdtPr>
        <w:rPr>
          <w:color w:val="000000" w:themeColor="text1"/>
          <w14:textFill>
            <w14:solidFill>
              <w14:schemeClr w14:val="tx1"/>
            </w14:solidFill>
          </w14:textFill>
        </w:rPr>
        <w:alias w:val="是否适用：核销说明[双击切换]"/>
        <w:tag w:val="_GBC_de5ab370e646496a8820f55eaf66a319"/>
        <w:id w:val="1359553438"/>
        <w:placeholder>
          <w:docPart w:val="GBC22222222222222222222222222222"/>
        </w:placeholder>
      </w:sdtPr>
      <w:sdtEndPr>
        <w:rPr>
          <w:color w:val="000000" w:themeColor="text1"/>
          <w14:textFill>
            <w14:solidFill>
              <w14:schemeClr w14:val="tx1"/>
            </w14:solidFill>
          </w14:textFill>
        </w:rPr>
      </w:sdtEndPr>
      <w:sdtContent>
        <w:p w14:paraId="7B239616">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F41C9AC">
      <w:pPr>
        <w:rPr>
          <w:color w:val="000000" w:themeColor="text1"/>
          <w14:textFill>
            <w14:solidFill>
              <w14:schemeClr w14:val="tx1"/>
            </w14:solidFill>
          </w14:textFill>
        </w:rPr>
      </w:pPr>
    </w:p>
    <w:bookmarkEnd w:id="253"/>
    <w:bookmarkEnd w:id="254"/>
    <w:p w14:paraId="39E292BE">
      <w:pPr>
        <w:ind w:right="210"/>
        <w:rPr>
          <w:color w:val="000000" w:themeColor="text1"/>
          <w14:textFill>
            <w14:solidFill>
              <w14:schemeClr w14:val="tx1"/>
            </w14:solidFill>
          </w14:textFill>
        </w:rPr>
      </w:pPr>
      <w:bookmarkStart w:id="255" w:name="_Hlk167892487"/>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债权投资其他说明"/>
        <w:tag w:val="_GBC_28b21821551847bca67b7c6c2e134e89"/>
        <w:id w:val="1818381954"/>
        <w:placeholder>
          <w:docPart w:val="GBC22222222222222222222222222222"/>
        </w:placeholder>
      </w:sdtPr>
      <w:sdtEndPr>
        <w:rPr>
          <w:color w:val="000000" w:themeColor="text1"/>
          <w14:textFill>
            <w14:solidFill>
              <w14:schemeClr w14:val="tx1"/>
            </w14:solidFill>
          </w14:textFill>
        </w:rPr>
      </w:sdtEndPr>
      <w:sdtContent>
        <w:p w14:paraId="442452E6">
          <w:pPr>
            <w:ind w:right="210"/>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408D0D28">
      <w:pPr>
        <w:ind w:right="210"/>
        <w:rPr>
          <w:color w:val="000000" w:themeColor="text1"/>
          <w14:textFill>
            <w14:solidFill>
              <w14:schemeClr w14:val="tx1"/>
            </w14:solidFill>
          </w14:textFill>
        </w:rPr>
      </w:pPr>
    </w:p>
    <w:bookmarkEnd w:id="255"/>
    <w:p w14:paraId="7E3E9BEF">
      <w:pPr>
        <w:pStyle w:val="4"/>
        <w:numPr>
          <w:ilvl w:val="0"/>
          <w:numId w:val="53"/>
        </w:numPr>
        <w:tabs>
          <w:tab w:val="left" w:pos="504"/>
        </w:tabs>
        <w:rPr>
          <w:color w:val="000000" w:themeColor="text1"/>
          <w14:textFill>
            <w14:solidFill>
              <w14:schemeClr w14:val="tx1"/>
            </w14:solidFill>
          </w14:textFill>
        </w:rPr>
      </w:pPr>
      <w:bookmarkStart w:id="256" w:name="_Hlk167892682"/>
      <w:r>
        <w:rPr>
          <w:rFonts w:hint="eastAsia"/>
          <w:color w:val="000000" w:themeColor="text1"/>
          <w14:textFill>
            <w14:solidFill>
              <w14:schemeClr w14:val="tx1"/>
            </w14:solidFill>
          </w14:textFill>
        </w:rPr>
        <w:t>其他债权投资</w:t>
      </w:r>
    </w:p>
    <w:p w14:paraId="42F108F3">
      <w:pPr>
        <w:pStyle w:val="5"/>
        <w:numPr>
          <w:ilvl w:val="3"/>
          <w:numId w:val="64"/>
        </w:numPr>
        <w:ind w:left="426" w:hanging="426"/>
        <w:rPr>
          <w:color w:val="000000" w:themeColor="text1"/>
          <w14:textFill>
            <w14:solidFill>
              <w14:schemeClr w14:val="tx1"/>
            </w14:solidFill>
          </w14:textFill>
        </w:rPr>
      </w:pPr>
      <w:r>
        <w:rPr>
          <w:rFonts w:hint="eastAsia"/>
          <w:color w:val="000000" w:themeColor="text1"/>
          <w14:textFill>
            <w14:solidFill>
              <w14:schemeClr w14:val="tx1"/>
            </w14:solidFill>
          </w14:textFill>
        </w:rPr>
        <w:t>其他债权投资情况</w:t>
      </w:r>
    </w:p>
    <w:sdt>
      <w:sdtPr>
        <w:rPr>
          <w:color w:val="000000" w:themeColor="text1"/>
          <w14:textFill>
            <w14:solidFill>
              <w14:schemeClr w14:val="tx1"/>
            </w14:solidFill>
          </w14:textFill>
        </w:rPr>
        <w:alias w:val="是否适用：其他债权投资情况[双击切换]"/>
        <w:tag w:val="_GBC_92529f98ed0049e0b197213d2c9b7d0a"/>
        <w:id w:val="615640248"/>
        <w:placeholder>
          <w:docPart w:val="GBC22222222222222222222222222222"/>
        </w:placeholder>
      </w:sdtPr>
      <w:sdtEndPr>
        <w:rPr>
          <w:color w:val="000000" w:themeColor="text1"/>
          <w14:textFill>
            <w14:solidFill>
              <w14:schemeClr w14:val="tx1"/>
            </w14:solidFill>
          </w14:textFill>
        </w:rPr>
      </w:sdtEndPr>
      <w:sdtContent>
        <w:p w14:paraId="4CF385E7">
          <w:pPr>
            <w:ind w:right="21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D0CE8CE">
      <w:pPr>
        <w:ind w:right="210"/>
        <w:rPr>
          <w:color w:val="000000" w:themeColor="text1"/>
          <w14:textFill>
            <w14:solidFill>
              <w14:schemeClr w14:val="tx1"/>
            </w14:solidFill>
          </w14:textFill>
        </w:rPr>
      </w:pPr>
    </w:p>
    <w:p w14:paraId="3564D665">
      <w:pPr>
        <w:rPr>
          <w:color w:val="000000" w:themeColor="text1"/>
          <w14:textFill>
            <w14:solidFill>
              <w14:schemeClr w14:val="tx1"/>
            </w14:solidFill>
          </w14:textFill>
        </w:rPr>
      </w:pPr>
      <w:bookmarkStart w:id="257" w:name="_Hlk153455695"/>
      <w:r>
        <w:rPr>
          <w:rFonts w:hint="eastAsia"/>
          <w:color w:val="000000" w:themeColor="text1"/>
          <w14:textFill>
            <w14:solidFill>
              <w14:schemeClr w14:val="tx1"/>
            </w14:solidFill>
          </w14:textFill>
        </w:rPr>
        <w:t>其他债权投资减值准备本期变动情况</w:t>
      </w:r>
    </w:p>
    <w:sdt>
      <w:sdtPr>
        <w:rPr>
          <w:color w:val="000000" w:themeColor="text1"/>
          <w14:textFill>
            <w14:solidFill>
              <w14:schemeClr w14:val="tx1"/>
            </w14:solidFill>
          </w14:textFill>
        </w:rPr>
        <w:alias w:val="是否适用：减值准备本期变动情况[双击切换]"/>
        <w:tag w:val="_GBC_b9701012584a4eb3946302a1880256f3"/>
        <w:id w:val="1269198873"/>
        <w:placeholder>
          <w:docPart w:val="GBC22222222222222222222222222222"/>
        </w:placeholder>
      </w:sdtPr>
      <w:sdtEndPr>
        <w:rPr>
          <w:color w:val="000000" w:themeColor="text1"/>
          <w14:textFill>
            <w14:solidFill>
              <w14:schemeClr w14:val="tx1"/>
            </w14:solidFill>
          </w14:textFill>
        </w:rPr>
      </w:sdtEndPr>
      <w:sdtContent>
        <w:p w14:paraId="1BD9583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5A190B1">
      <w:pPr>
        <w:rPr>
          <w:color w:val="000000" w:themeColor="text1"/>
          <w14:textFill>
            <w14:solidFill>
              <w14:schemeClr w14:val="tx1"/>
            </w14:solidFill>
          </w14:textFill>
        </w:rPr>
      </w:pPr>
    </w:p>
    <w:bookmarkEnd w:id="256"/>
    <w:bookmarkEnd w:id="257"/>
    <w:p w14:paraId="7C18F70F">
      <w:pPr>
        <w:pStyle w:val="5"/>
        <w:numPr>
          <w:ilvl w:val="3"/>
          <w:numId w:val="64"/>
        </w:numPr>
        <w:ind w:left="426" w:hanging="426"/>
        <w:rPr>
          <w:color w:val="000000" w:themeColor="text1"/>
          <w14:textFill>
            <w14:solidFill>
              <w14:schemeClr w14:val="tx1"/>
            </w14:solidFill>
          </w14:textFill>
        </w:rPr>
      </w:pPr>
      <w:bookmarkStart w:id="258" w:name="_Hlk533848078"/>
      <w:bookmarkStart w:id="259" w:name="_Hlk167892795"/>
      <w:r>
        <w:rPr>
          <w:rFonts w:hint="eastAsia"/>
          <w:color w:val="000000" w:themeColor="text1"/>
          <w14:textFill>
            <w14:solidFill>
              <w14:schemeClr w14:val="tx1"/>
            </w14:solidFill>
          </w14:textFill>
        </w:rPr>
        <w:t>期末重要的其他债权投资</w:t>
      </w:r>
    </w:p>
    <w:sdt>
      <w:sdtPr>
        <w:rPr>
          <w:color w:val="000000" w:themeColor="text1"/>
          <w14:textFill>
            <w14:solidFill>
              <w14:schemeClr w14:val="tx1"/>
            </w14:solidFill>
          </w14:textFill>
        </w:rPr>
        <w:alias w:val="是否适用：重要的其他债权投资[双击切换]"/>
        <w:tag w:val="_GBC_00805fa375c74d288e1bd8def75cea7f"/>
        <w:id w:val="1413660204"/>
        <w:placeholder>
          <w:docPart w:val="GBC22222222222222222222222222222"/>
        </w:placeholder>
      </w:sdtPr>
      <w:sdtEndPr>
        <w:rPr>
          <w:color w:val="000000" w:themeColor="text1"/>
          <w14:textFill>
            <w14:solidFill>
              <w14:schemeClr w14:val="tx1"/>
            </w14:solidFill>
          </w14:textFill>
        </w:rPr>
      </w:sdtEndPr>
      <w:sdtContent>
        <w:p w14:paraId="1D88843D">
          <w:pPr>
            <w:ind w:right="21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3240FD8">
      <w:pPr>
        <w:ind w:right="210"/>
        <w:rPr>
          <w:color w:val="000000" w:themeColor="text1"/>
          <w14:textFill>
            <w14:solidFill>
              <w14:schemeClr w14:val="tx1"/>
            </w14:solidFill>
          </w14:textFill>
        </w:rPr>
      </w:pPr>
    </w:p>
    <w:bookmarkEnd w:id="258"/>
    <w:bookmarkEnd w:id="259"/>
    <w:p w14:paraId="1945CD49">
      <w:pPr>
        <w:pStyle w:val="5"/>
        <w:numPr>
          <w:ilvl w:val="3"/>
          <w:numId w:val="64"/>
        </w:numPr>
        <w:ind w:left="426" w:hanging="426"/>
        <w:rPr>
          <w:rFonts w:hint="eastAsia" w:ascii="宋体" w:hAnsi="宋体"/>
          <w:color w:val="000000" w:themeColor="text1"/>
          <w14:textFill>
            <w14:solidFill>
              <w14:schemeClr w14:val="tx1"/>
            </w14:solidFill>
          </w14:textFill>
        </w:rPr>
      </w:pPr>
      <w:bookmarkStart w:id="260" w:name="_Hlk10471703"/>
      <w:bookmarkStart w:id="261" w:name="_Hlk10471716"/>
      <w:r>
        <w:rPr>
          <w:rFonts w:hint="eastAsia" w:ascii="宋体" w:hAnsi="宋体" w:cs="宋体"/>
          <w:color w:val="000000" w:themeColor="text1"/>
          <w:kern w:val="0"/>
          <w:szCs w:val="24"/>
          <w14:textFill>
            <w14:solidFill>
              <w14:schemeClr w14:val="tx1"/>
            </w14:solidFill>
          </w14:textFill>
        </w:rPr>
        <w:t>减值准备计提情况</w:t>
      </w:r>
      <w:bookmarkEnd w:id="260"/>
    </w:p>
    <w:sdt>
      <w:sdtPr>
        <w:rPr>
          <w:color w:val="000000" w:themeColor="text1"/>
          <w14:textFill>
            <w14:solidFill>
              <w14:schemeClr w14:val="tx1"/>
            </w14:solidFill>
          </w14:textFill>
        </w:rPr>
        <w:alias w:val="是否适用：其他债权投资减值准备调节表[双击切换]"/>
        <w:tag w:val="_GBC_038e4a0a4815442e91a9309c128001c1"/>
        <w:id w:val="-677418404"/>
        <w:placeholder>
          <w:docPart w:val="GBC22222222222222222222222222222"/>
        </w:placeholder>
      </w:sdtPr>
      <w:sdtEndPr>
        <w:rPr>
          <w:color w:val="000000" w:themeColor="text1"/>
          <w14:textFill>
            <w14:solidFill>
              <w14:schemeClr w14:val="tx1"/>
            </w14:solidFill>
          </w14:textFill>
        </w:rPr>
      </w:sdtEndPr>
      <w:sdtContent>
        <w:p w14:paraId="25E13B0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45083FE">
      <w:pPr>
        <w:ind w:right="210"/>
        <w:rPr>
          <w:color w:val="000000" w:themeColor="text1"/>
          <w14:textFill>
            <w14:solidFill>
              <w14:schemeClr w14:val="tx1"/>
            </w14:solidFill>
          </w14:textFill>
        </w:rPr>
      </w:pPr>
      <w:bookmarkStart w:id="262" w:name="_Hlk533848073"/>
    </w:p>
    <w:p w14:paraId="1FE46B89">
      <w:pPr>
        <w:rPr>
          <w:color w:val="000000" w:themeColor="text1"/>
          <w14:textFill>
            <w14:solidFill>
              <w14:schemeClr w14:val="tx1"/>
            </w14:solidFill>
          </w14:textFill>
        </w:rPr>
      </w:pPr>
    </w:p>
    <w:bookmarkEnd w:id="261"/>
    <w:bookmarkEnd w:id="262"/>
    <w:p w14:paraId="18FE2C75">
      <w:pPr>
        <w:pStyle w:val="5"/>
        <w:numPr>
          <w:ilvl w:val="3"/>
          <w:numId w:val="64"/>
        </w:numPr>
        <w:ind w:left="426" w:hanging="426"/>
        <w:rPr>
          <w:rFonts w:hint="eastAsia" w:ascii="宋体" w:hAnsi="宋体" w:cs="宋体"/>
          <w:color w:val="000000" w:themeColor="text1"/>
          <w:kern w:val="0"/>
          <w:szCs w:val="24"/>
          <w14:textFill>
            <w14:solidFill>
              <w14:schemeClr w14:val="tx1"/>
            </w14:solidFill>
          </w14:textFill>
        </w:rPr>
      </w:pPr>
      <w:bookmarkStart w:id="263" w:name="_Hlk153456989"/>
      <w:bookmarkStart w:id="264" w:name="_Hlk167892961"/>
      <w:r>
        <w:rPr>
          <w:rFonts w:ascii="宋体" w:hAnsi="宋体" w:cs="宋体"/>
          <w:color w:val="000000" w:themeColor="text1"/>
          <w:kern w:val="0"/>
          <w:szCs w:val="24"/>
          <w14:textFill>
            <w14:solidFill>
              <w14:schemeClr w14:val="tx1"/>
            </w14:solidFill>
          </w14:textFill>
        </w:rPr>
        <w:t>本期实际核销</w:t>
      </w:r>
      <w:r>
        <w:rPr>
          <w:rFonts w:hint="eastAsia" w:ascii="宋体" w:hAnsi="宋体" w:cs="宋体"/>
          <w:color w:val="000000" w:themeColor="text1"/>
          <w:kern w:val="0"/>
          <w:szCs w:val="24"/>
          <w14:textFill>
            <w14:solidFill>
              <w14:schemeClr w14:val="tx1"/>
            </w14:solidFill>
          </w14:textFill>
        </w:rPr>
        <w:t>的其他债权投资</w:t>
      </w:r>
      <w:r>
        <w:rPr>
          <w:rFonts w:ascii="宋体" w:hAnsi="宋体" w:cs="宋体"/>
          <w:color w:val="000000" w:themeColor="text1"/>
          <w:kern w:val="0"/>
          <w:szCs w:val="24"/>
          <w14:textFill>
            <w14:solidFill>
              <w14:schemeClr w14:val="tx1"/>
            </w14:solidFill>
          </w14:textFill>
        </w:rPr>
        <w:t>情况</w:t>
      </w:r>
    </w:p>
    <w:sdt>
      <w:sdtPr>
        <w:rPr>
          <w:color w:val="000000" w:themeColor="text1"/>
          <w14:textFill>
            <w14:solidFill>
              <w14:schemeClr w14:val="tx1"/>
            </w14:solidFill>
          </w14:textFill>
        </w:rPr>
        <w:alias w:val="是否适用：实际核销的情况[双击切换]"/>
        <w:tag w:val="_GBC_3f64bf41b4334743becf2e82476d4bae"/>
        <w:id w:val="-95408844"/>
        <w:placeholder>
          <w:docPart w:val="GBC22222222222222222222222222222"/>
        </w:placeholder>
      </w:sdtPr>
      <w:sdtEndPr>
        <w:rPr>
          <w:color w:val="000000" w:themeColor="text1"/>
          <w14:textFill>
            <w14:solidFill>
              <w14:schemeClr w14:val="tx1"/>
            </w14:solidFill>
          </w14:textFill>
        </w:rPr>
      </w:sdtEndPr>
      <w:sdtContent>
        <w:p w14:paraId="225EA4F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DA34AA0">
      <w:pPr>
        <w:rPr>
          <w:color w:val="000000" w:themeColor="text1"/>
          <w14:textFill>
            <w14:solidFill>
              <w14:schemeClr w14:val="tx1"/>
            </w14:solidFill>
          </w14:textFill>
        </w:rPr>
      </w:pPr>
    </w:p>
    <w:p w14:paraId="23EB583F">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其中重要的其他债权投资</w:t>
      </w:r>
      <w:r>
        <w:rPr>
          <w:color w:val="000000" w:themeColor="text1"/>
          <w14:textFill>
            <w14:solidFill>
              <w14:schemeClr w14:val="tx1"/>
            </w14:solidFill>
          </w14:textFill>
        </w:rPr>
        <w:t>情况</w:t>
      </w:r>
      <w:r>
        <w:rPr>
          <w:rFonts w:hint="eastAsia"/>
          <w:color w:val="000000" w:themeColor="text1"/>
          <w14:textFill>
            <w14:solidFill>
              <w14:schemeClr w14:val="tx1"/>
            </w14:solidFill>
          </w14:textFill>
        </w:rPr>
        <w:t>核销情况</w:t>
      </w:r>
    </w:p>
    <w:sdt>
      <w:sdtPr>
        <w:rPr>
          <w:rFonts w:hint="eastAsia"/>
          <w:color w:val="000000" w:themeColor="text1"/>
          <w14:textFill>
            <w14:solidFill>
              <w14:schemeClr w14:val="tx1"/>
            </w14:solidFill>
          </w14:textFill>
        </w:rPr>
        <w:alias w:val="是否适用：重要的核销情况[双击切换]"/>
        <w:tag w:val="_GBC_c6a24c878fc2452199cbce9e12babe90"/>
        <w:id w:val="1347370993"/>
        <w:placeholder>
          <w:docPart w:val="GBC22222222222222222222222222222"/>
        </w:placeholder>
      </w:sdtPr>
      <w:sdtEndPr>
        <w:rPr>
          <w:rFonts w:hint="eastAsia"/>
          <w:color w:val="000000" w:themeColor="text1"/>
          <w14:textFill>
            <w14:solidFill>
              <w14:schemeClr w14:val="tx1"/>
            </w14:solidFill>
          </w14:textFill>
        </w:rPr>
      </w:sdtEndPr>
      <w:sdtContent>
        <w:p w14:paraId="1CFD5C2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1B81923">
      <w:pPr>
        <w:rPr>
          <w:color w:val="000000" w:themeColor="text1"/>
          <w14:textFill>
            <w14:solidFill>
              <w14:schemeClr w14:val="tx1"/>
            </w14:solidFill>
          </w14:textFill>
        </w:rPr>
      </w:pPr>
    </w:p>
    <w:p w14:paraId="3EC4C691">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其他债权投资的核销说明：</w:t>
      </w:r>
    </w:p>
    <w:sdt>
      <w:sdtPr>
        <w:rPr>
          <w:color w:val="000000" w:themeColor="text1"/>
          <w14:textFill>
            <w14:solidFill>
              <w14:schemeClr w14:val="tx1"/>
            </w14:solidFill>
          </w14:textFill>
        </w:rPr>
        <w:alias w:val="是否适用：核销说明[双击切换]"/>
        <w:tag w:val="_GBC_53efb454d66a4a18836780c1e0d7b273"/>
        <w:id w:val="767659089"/>
        <w:placeholder>
          <w:docPart w:val="GBC22222222222222222222222222222"/>
        </w:placeholder>
      </w:sdtPr>
      <w:sdtEndPr>
        <w:rPr>
          <w:color w:val="000000" w:themeColor="text1"/>
          <w14:textFill>
            <w14:solidFill>
              <w14:schemeClr w14:val="tx1"/>
            </w14:solidFill>
          </w14:textFill>
        </w:rPr>
      </w:sdtEndPr>
      <w:sdtContent>
        <w:p w14:paraId="6041E00A">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A3CC502">
      <w:pPr>
        <w:rPr>
          <w:color w:val="000000" w:themeColor="text1"/>
          <w14:textFill>
            <w14:solidFill>
              <w14:schemeClr w14:val="tx1"/>
            </w14:solidFill>
          </w14:textFill>
        </w:rPr>
      </w:pPr>
    </w:p>
    <w:bookmarkEnd w:id="263"/>
    <w:bookmarkEnd w:id="264"/>
    <w:p w14:paraId="685ED4B6">
      <w:pPr>
        <w:rPr>
          <w:color w:val="000000" w:themeColor="text1"/>
          <w14:textFill>
            <w14:solidFill>
              <w14:schemeClr w14:val="tx1"/>
            </w14:solidFill>
          </w14:textFill>
        </w:rPr>
      </w:pPr>
      <w:bookmarkStart w:id="265" w:name="_Hlk533848097"/>
      <w:bookmarkStart w:id="266" w:name="_Hlk10471761"/>
      <w:r>
        <w:rPr>
          <w:rFonts w:hint="eastAsia"/>
          <w:color w:val="000000" w:themeColor="text1"/>
          <w14:textFill>
            <w14:solidFill>
              <w14:schemeClr w14:val="tx1"/>
            </w14:solidFill>
          </w14:textFill>
        </w:rPr>
        <w:t>其他说明：</w:t>
      </w:r>
      <w:bookmarkEnd w:id="265"/>
    </w:p>
    <w:sdt>
      <w:sdtPr>
        <w:rPr>
          <w:color w:val="000000" w:themeColor="text1"/>
          <w14:textFill>
            <w14:solidFill>
              <w14:schemeClr w14:val="tx1"/>
            </w14:solidFill>
          </w14:textFill>
        </w:rPr>
        <w:alias w:val="是否适用：其他债权投资其他说明[双击切换]"/>
        <w:tag w:val="_GBC_e37f3e78626b4cd0ad52d68ae2fcdecb"/>
        <w:id w:val="635844231"/>
        <w:placeholder>
          <w:docPart w:val="GBC22222222222222222222222222222"/>
        </w:placeholder>
      </w:sdtPr>
      <w:sdtEndPr>
        <w:rPr>
          <w:color w:val="000000" w:themeColor="text1"/>
          <w14:textFill>
            <w14:solidFill>
              <w14:schemeClr w14:val="tx1"/>
            </w14:solidFill>
          </w14:textFill>
        </w:rPr>
      </w:sdtEndPr>
      <w:sdtContent>
        <w:p w14:paraId="10E6A23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266"/>
    <w:p w14:paraId="7AE8F84E">
      <w:pPr>
        <w:rPr>
          <w:color w:val="000000" w:themeColor="text1"/>
          <w14:textFill>
            <w14:solidFill>
              <w14:schemeClr w14:val="tx1"/>
            </w14:solidFill>
          </w14:textFill>
        </w:rPr>
      </w:pPr>
    </w:p>
    <w:p w14:paraId="568AC59D">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长期应收款</w:t>
      </w:r>
    </w:p>
    <w:p w14:paraId="24CC0CDA">
      <w:pPr>
        <w:pStyle w:val="5"/>
        <w:numPr>
          <w:ilvl w:val="0"/>
          <w:numId w:val="65"/>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长期应收款情况</w:t>
      </w:r>
    </w:p>
    <w:sdt>
      <w:sdtPr>
        <w:rPr>
          <w:color w:val="000000" w:themeColor="text1"/>
          <w14:textFill>
            <w14:solidFill>
              <w14:schemeClr w14:val="tx1"/>
            </w14:solidFill>
          </w14:textFill>
        </w:rPr>
        <w:alias w:val="是否适用：长期应收款情况[双击切换]"/>
        <w:tag w:val="_GBC_03ba5a75d6d541f4a60fba2b18c9d548"/>
        <w:id w:val="1561751658"/>
        <w:placeholder>
          <w:docPart w:val="GBC22222222222222222222222222222"/>
        </w:placeholder>
      </w:sdtPr>
      <w:sdtEndPr>
        <w:rPr>
          <w:color w:val="000000" w:themeColor="text1"/>
          <w14:textFill>
            <w14:solidFill>
              <w14:schemeClr w14:val="tx1"/>
            </w14:solidFill>
          </w14:textFill>
        </w:rPr>
      </w:sdtEndPr>
      <w:sdtContent>
        <w:p w14:paraId="5BF64BF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DA33C7E">
      <w:pPr>
        <w:rPr>
          <w:color w:val="000000" w:themeColor="text1"/>
          <w14:textFill>
            <w14:solidFill>
              <w14:schemeClr w14:val="tx1"/>
            </w14:solidFill>
          </w14:textFill>
        </w:rPr>
      </w:pPr>
    </w:p>
    <w:p w14:paraId="12CDF32B">
      <w:pPr>
        <w:pStyle w:val="5"/>
        <w:numPr>
          <w:ilvl w:val="0"/>
          <w:numId w:val="65"/>
        </w:numPr>
        <w:rPr>
          <w:rFonts w:hint="eastAsia" w:ascii="宋体" w:hAnsi="宋体" w:cs="宋体"/>
          <w:color w:val="000000" w:themeColor="text1"/>
          <w:kern w:val="0"/>
          <w:szCs w:val="24"/>
          <w14:textFill>
            <w14:solidFill>
              <w14:schemeClr w14:val="tx1"/>
            </w14:solidFill>
          </w14:textFill>
        </w:rPr>
      </w:pPr>
      <w:bookmarkStart w:id="267" w:name="_Hlk167893085"/>
      <w:bookmarkStart w:id="268" w:name="_Hlk153457348"/>
      <w:r>
        <w:rPr>
          <w:rFonts w:hint="eastAsia" w:ascii="宋体" w:hAnsi="宋体" w:cs="宋体"/>
          <w:color w:val="000000" w:themeColor="text1"/>
          <w:kern w:val="0"/>
          <w:szCs w:val="24"/>
          <w14:textFill>
            <w14:solidFill>
              <w14:schemeClr w14:val="tx1"/>
            </w14:solidFill>
          </w14:textFill>
        </w:rPr>
        <w:t>按</w:t>
      </w:r>
      <w:r>
        <w:rPr>
          <w:rFonts w:ascii="宋体" w:hAnsi="宋体" w:cs="宋体"/>
          <w:color w:val="000000" w:themeColor="text1"/>
          <w:kern w:val="0"/>
          <w:szCs w:val="24"/>
          <w14:textFill>
            <w14:solidFill>
              <w14:schemeClr w14:val="tx1"/>
            </w14:solidFill>
          </w14:textFill>
        </w:rPr>
        <w:t>坏账计提方法分类披露</w:t>
      </w:r>
    </w:p>
    <w:sdt>
      <w:sdtPr>
        <w:rPr>
          <w:color w:val="000000" w:themeColor="text1"/>
          <w14:textFill>
            <w14:solidFill>
              <w14:schemeClr w14:val="tx1"/>
            </w14:solidFill>
          </w14:textFill>
        </w:rPr>
        <w:alias w:val="是否适用：按坏账计提方法分类披露[双击切换]"/>
        <w:tag w:val="_GBC_2d08b03d640f42d686453149be03e5d9"/>
        <w:id w:val="-1052537415"/>
        <w:placeholder>
          <w:docPart w:val="GBC22222222222222222222222222222"/>
        </w:placeholder>
      </w:sdtPr>
      <w:sdtEndPr>
        <w:rPr>
          <w:color w:val="000000" w:themeColor="text1"/>
          <w14:textFill>
            <w14:solidFill>
              <w14:schemeClr w14:val="tx1"/>
            </w14:solidFill>
          </w14:textFill>
        </w:rPr>
      </w:sdtEndPr>
      <w:sdtContent>
        <w:p w14:paraId="5ADC9C7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F04A51A">
      <w:pPr>
        <w:rPr>
          <w:color w:val="000000" w:themeColor="text1"/>
          <w14:textFill>
            <w14:solidFill>
              <w14:schemeClr w14:val="tx1"/>
            </w14:solidFill>
          </w14:textFill>
        </w:rPr>
      </w:pPr>
    </w:p>
    <w:p w14:paraId="5C6A7DBB">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w:t>
      </w:r>
    </w:p>
    <w:sdt>
      <w:sdtPr>
        <w:rPr>
          <w:color w:val="000000" w:themeColor="text1"/>
          <w14:textFill>
            <w14:solidFill>
              <w14:schemeClr w14:val="tx1"/>
            </w14:solidFill>
          </w14:textFill>
        </w:rPr>
        <w:alias w:val="是否适用：按单项计提坏账准备的详细情况[双击切换]"/>
        <w:tag w:val="_GBC_3a181716dae64a57965330ae4ccab91e"/>
        <w:id w:val="-1770078773"/>
        <w:placeholder>
          <w:docPart w:val="GBC22222222222222222222222222222"/>
        </w:placeholder>
      </w:sdtPr>
      <w:sdtEndPr>
        <w:rPr>
          <w:color w:val="000000" w:themeColor="text1"/>
          <w14:textFill>
            <w14:solidFill>
              <w14:schemeClr w14:val="tx1"/>
            </w14:solidFill>
          </w14:textFill>
        </w:rPr>
      </w:sdtEndPr>
      <w:sdtContent>
        <w:p w14:paraId="2F5DDA9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5F26F11">
      <w:pPr>
        <w:rPr>
          <w:color w:val="000000" w:themeColor="text1"/>
          <w14:textFill>
            <w14:solidFill>
              <w14:schemeClr w14:val="tx1"/>
            </w14:solidFill>
          </w14:textFill>
        </w:rPr>
      </w:pPr>
    </w:p>
    <w:p w14:paraId="62C8144C">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按单项计提坏账准备的说明：</w:t>
      </w:r>
    </w:p>
    <w:sdt>
      <w:sdtPr>
        <w:rPr>
          <w:color w:val="000000" w:themeColor="text1"/>
          <w14:textFill>
            <w14:solidFill>
              <w14:schemeClr w14:val="tx1"/>
            </w14:solidFill>
          </w14:textFill>
        </w:rPr>
        <w:alias w:val="是否适用：按单项计提坏账准备的说明[双击切换]"/>
        <w:tag w:val="_GBC_532014e1f5ab4f9da72dafc4dafe0723"/>
        <w:id w:val="-269559518"/>
        <w:placeholder>
          <w:docPart w:val="GBC22222222222222222222222222222"/>
        </w:placeholder>
      </w:sdtPr>
      <w:sdtEndPr>
        <w:rPr>
          <w:color w:val="000000" w:themeColor="text1"/>
          <w14:textFill>
            <w14:solidFill>
              <w14:schemeClr w14:val="tx1"/>
            </w14:solidFill>
          </w14:textFill>
        </w:rPr>
      </w:sdtEndPr>
      <w:sdtContent>
        <w:p w14:paraId="40A1AA3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50D15F2">
      <w:pPr>
        <w:rPr>
          <w:color w:val="000000" w:themeColor="text1"/>
          <w14:textFill>
            <w14:solidFill>
              <w14:schemeClr w14:val="tx1"/>
            </w14:solidFill>
          </w14:textFill>
        </w:rPr>
      </w:pPr>
    </w:p>
    <w:p w14:paraId="320F9D56">
      <w:pPr>
        <w:rPr>
          <w:rFonts w:ascii="Calibri" w:hAnsi="Calibri" w:cs="Times New Roman"/>
          <w:bCs w:val="0"/>
          <w:color w:val="000000" w:themeColor="text1"/>
          <w:szCs w:val="22"/>
          <w14:textFill>
            <w14:solidFill>
              <w14:schemeClr w14:val="tx1"/>
            </w14:solidFill>
          </w14:textFill>
        </w:rPr>
      </w:pPr>
      <w:r>
        <w:rPr>
          <w:rFonts w:hint="eastAsia" w:ascii="Calibri" w:hAnsi="Calibri" w:cs="Times New Roman"/>
          <w:color w:val="000000" w:themeColor="text1"/>
          <w:szCs w:val="22"/>
          <w14:textFill>
            <w14:solidFill>
              <w14:schemeClr w14:val="tx1"/>
            </w14:solidFill>
          </w14:textFill>
        </w:rPr>
        <w:t>按组合计提坏账准备：</w:t>
      </w:r>
    </w:p>
    <w:sdt>
      <w:sdtPr>
        <w:rPr>
          <w:rFonts w:ascii="Calibri" w:hAnsi="Calibri" w:cs="Times New Roman"/>
          <w:bCs w:val="0"/>
          <w:color w:val="000000" w:themeColor="text1"/>
          <w:szCs w:val="22"/>
          <w14:textFill>
            <w14:solidFill>
              <w14:schemeClr w14:val="tx1"/>
            </w14:solidFill>
          </w14:textFill>
        </w:rPr>
        <w:alias w:val="是否适用：按组合计提坏账准备的详细情况[双击切换]"/>
        <w:tag w:val="_GBC_555a40ceb7d348a0a16b652ac8e1178a"/>
        <w:id w:val="-313712172"/>
        <w:placeholder>
          <w:docPart w:val="GBC22222222222222222222222222222"/>
        </w:placeholder>
      </w:sdtPr>
      <w:sdtEndPr>
        <w:rPr>
          <w:rFonts w:ascii="Calibri" w:hAnsi="Calibri" w:cs="Times New Roman"/>
          <w:bCs w:val="0"/>
          <w:color w:val="000000" w:themeColor="text1"/>
          <w:szCs w:val="22"/>
          <w14:textFill>
            <w14:solidFill>
              <w14:schemeClr w14:val="tx1"/>
            </w14:solidFill>
          </w14:textFill>
        </w:rPr>
      </w:sdtEndPr>
      <w:sdtContent>
        <w:p w14:paraId="1C13BD78">
          <w:pPr>
            <w:rPr>
              <w:color w:val="000000" w:themeColor="text1"/>
              <w14:textFill>
                <w14:solidFill>
                  <w14:schemeClr w14:val="tx1"/>
                </w14:solidFill>
              </w14:textFill>
            </w:rPr>
          </w:pPr>
          <w:r>
            <w:rPr>
              <w:rFonts w:ascii="宋体" w:hAnsi="宋体" w:cs="Times New Roman"/>
              <w:bCs w:val="0"/>
              <w:color w:val="000000" w:themeColor="text1"/>
              <w:szCs w:val="22"/>
              <w14:textFill>
                <w14:solidFill>
                  <w14:schemeClr w14:val="tx1"/>
                </w14:solidFill>
              </w14:textFill>
            </w:rPr>
            <w:fldChar w:fldCharType="begin"/>
          </w:r>
          <w:r>
            <w:rPr>
              <w:rFonts w:hint="eastAsia" w:ascii="宋体" w:hAnsi="宋体" w:cs="Times New Roman"/>
              <w:color w:val="000000" w:themeColor="text1"/>
              <w:szCs w:val="22"/>
              <w14:textFill>
                <w14:solidFill>
                  <w14:schemeClr w14:val="tx1"/>
                </w14:solidFill>
              </w14:textFill>
            </w:rPr>
            <w:instrText xml:space="preserve"> MACROBUTTON  SnrToggleCheckbox □适用 </w:instrText>
          </w:r>
          <w:r>
            <w:rPr>
              <w:rFonts w:ascii="宋体" w:hAnsi="宋体" w:cs="Times New Roman"/>
              <w:bCs w:val="0"/>
              <w:color w:val="000000" w:themeColor="text1"/>
              <w:szCs w:val="22"/>
              <w14:textFill>
                <w14:solidFill>
                  <w14:schemeClr w14:val="tx1"/>
                </w14:solidFill>
              </w14:textFill>
            </w:rPr>
            <w:fldChar w:fldCharType="end"/>
          </w:r>
          <w:r>
            <w:rPr>
              <w:rFonts w:ascii="宋体" w:hAnsi="宋体" w:cs="Times New Roman"/>
              <w:bCs w:val="0"/>
              <w:color w:val="000000" w:themeColor="text1"/>
              <w:szCs w:val="22"/>
              <w14:textFill>
                <w14:solidFill>
                  <w14:schemeClr w14:val="tx1"/>
                </w14:solidFill>
              </w14:textFill>
            </w:rPr>
            <w:fldChar w:fldCharType="begin"/>
          </w:r>
          <w:r>
            <w:rPr>
              <w:rFonts w:hint="eastAsia" w:ascii="宋体" w:hAnsi="宋体" w:cs="Times New Roman"/>
              <w:color w:val="000000" w:themeColor="text1"/>
              <w:szCs w:val="22"/>
              <w14:textFill>
                <w14:solidFill>
                  <w14:schemeClr w14:val="tx1"/>
                </w14:solidFill>
              </w14:textFill>
            </w:rPr>
            <w:instrText xml:space="preserve"> MACROBUTTON  SnrToggleCheckbox √不适用 </w:instrText>
          </w:r>
          <w:r>
            <w:rPr>
              <w:rFonts w:ascii="宋体" w:hAnsi="宋体" w:cs="Times New Roman"/>
              <w:bCs w:val="0"/>
              <w:color w:val="000000" w:themeColor="text1"/>
              <w:szCs w:val="22"/>
              <w14:textFill>
                <w14:solidFill>
                  <w14:schemeClr w14:val="tx1"/>
                </w14:solidFill>
              </w14:textFill>
            </w:rPr>
            <w:fldChar w:fldCharType="end"/>
          </w:r>
        </w:p>
      </w:sdtContent>
    </w:sdt>
    <w:p w14:paraId="149B34B3">
      <w:pPr>
        <w:rPr>
          <w:color w:val="000000" w:themeColor="text1"/>
          <w14:textFill>
            <w14:solidFill>
              <w14:schemeClr w14:val="tx1"/>
            </w14:solidFill>
          </w14:textFill>
        </w:rPr>
      </w:pPr>
    </w:p>
    <w:p w14:paraId="21417572">
      <w:pPr>
        <w:rPr>
          <w:rFonts w:ascii="Calibri" w:hAnsi="Calibri" w:cs="Times New Roman"/>
          <w:b/>
          <w:bCs w:val="0"/>
          <w:color w:val="000000" w:themeColor="text1"/>
          <w:szCs w:val="22"/>
          <w14:textFill>
            <w14:solidFill>
              <w14:schemeClr w14:val="tx1"/>
            </w14:solidFill>
          </w14:textFill>
        </w:rPr>
      </w:pPr>
    </w:p>
    <w:bookmarkEnd w:id="267"/>
    <w:bookmarkEnd w:id="268"/>
    <w:p w14:paraId="674355A7">
      <w:pPr>
        <w:rPr>
          <w:color w:val="000000" w:themeColor="text1"/>
          <w14:textFill>
            <w14:solidFill>
              <w14:schemeClr w14:val="tx1"/>
            </w14:solidFill>
          </w14:textFill>
        </w:rPr>
      </w:pPr>
      <w:bookmarkStart w:id="269" w:name="_Hlk10471933"/>
      <w:r>
        <w:rPr>
          <w:rFonts w:hint="eastAsia"/>
          <w:color w:val="000000" w:themeColor="text1"/>
          <w14:textFill>
            <w14:solidFill>
              <w14:schemeClr w14:val="tx1"/>
            </w14:solidFill>
          </w14:textFill>
        </w:rPr>
        <w:t>按预期信用损失一般模型计提坏账准备</w:t>
      </w:r>
      <w:r>
        <w:rPr>
          <w:color w:val="000000" w:themeColor="text1"/>
          <w14:textFill>
            <w14:solidFill>
              <w14:schemeClr w14:val="tx1"/>
            </w14:solidFill>
          </w14:textFill>
        </w:rPr>
        <w:t xml:space="preserve"> </w:t>
      </w:r>
    </w:p>
    <w:sdt>
      <w:sdtPr>
        <w:rPr>
          <w:color w:val="000000" w:themeColor="text1"/>
          <w14:textFill>
            <w14:solidFill>
              <w14:schemeClr w14:val="tx1"/>
            </w14:solidFill>
          </w14:textFill>
        </w:rPr>
        <w:alias w:val="是否适用：长期应收款坏账准备调节表[双击切换]"/>
        <w:tag w:val="_GBC_f7e4bed7dbb84fbcb52f2226cf465bb3"/>
        <w:id w:val="-1009445336"/>
        <w:placeholder>
          <w:docPart w:val="GBC22222222222222222222222222222"/>
        </w:placeholder>
      </w:sdtPr>
      <w:sdtEndPr>
        <w:rPr>
          <w:color w:val="000000" w:themeColor="text1"/>
          <w14:textFill>
            <w14:solidFill>
              <w14:schemeClr w14:val="tx1"/>
            </w14:solidFill>
          </w14:textFill>
        </w:rPr>
      </w:sdtEndPr>
      <w:sdtContent>
        <w:p w14:paraId="1D39CD3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306CCB9">
      <w:pPr>
        <w:rPr>
          <w:color w:val="000000" w:themeColor="text1"/>
          <w14:textFill>
            <w14:solidFill>
              <w14:schemeClr w14:val="tx1"/>
            </w14:solidFill>
          </w14:textFill>
        </w:rPr>
      </w:pPr>
    </w:p>
    <w:p w14:paraId="66E8CD9D">
      <w:pPr>
        <w:rPr>
          <w:color w:val="000000" w:themeColor="text1"/>
          <w14:textFill>
            <w14:solidFill>
              <w14:schemeClr w14:val="tx1"/>
            </w14:solidFill>
          </w14:textFill>
        </w:rPr>
      </w:pPr>
    </w:p>
    <w:bookmarkEnd w:id="269"/>
    <w:p w14:paraId="0C24FC58">
      <w:pPr>
        <w:pStyle w:val="5"/>
        <w:numPr>
          <w:ilvl w:val="0"/>
          <w:numId w:val="65"/>
        </w:numPr>
        <w:rPr>
          <w:rFonts w:hint="eastAsia" w:ascii="宋体" w:hAnsi="宋体" w:cs="宋体"/>
          <w:color w:val="000000" w:themeColor="text1"/>
          <w:kern w:val="0"/>
          <w:szCs w:val="24"/>
          <w14:textFill>
            <w14:solidFill>
              <w14:schemeClr w14:val="tx1"/>
            </w14:solidFill>
          </w14:textFill>
        </w:rPr>
      </w:pPr>
      <w:bookmarkStart w:id="270" w:name="_Hlk154131356"/>
      <w:bookmarkStart w:id="271" w:name="_Hlk153457634"/>
      <w:bookmarkStart w:id="272" w:name="_Hlk167893254"/>
      <w:r>
        <w:rPr>
          <w:rFonts w:hint="eastAsia" w:ascii="宋体" w:hAnsi="宋体" w:cs="宋体"/>
          <w:color w:val="000000" w:themeColor="text1"/>
          <w:kern w:val="0"/>
          <w:szCs w:val="24"/>
          <w14:textFill>
            <w14:solidFill>
              <w14:schemeClr w14:val="tx1"/>
            </w14:solidFill>
          </w14:textFill>
        </w:rPr>
        <w:t>坏账准备的情况</w:t>
      </w:r>
    </w:p>
    <w:sdt>
      <w:sdtPr>
        <w:rPr>
          <w:color w:val="000000" w:themeColor="text1"/>
          <w14:textFill>
            <w14:solidFill>
              <w14:schemeClr w14:val="tx1"/>
            </w14:solidFill>
          </w14:textFill>
        </w:rPr>
        <w:alias w:val="是否适用：坏账准备情况[双击切换]"/>
        <w:tag w:val="_GBC_2514c3c2e0d44fce9a234c85b89eb697"/>
        <w:id w:val="-740483730"/>
        <w:placeholder>
          <w:docPart w:val="GBC22222222222222222222222222222"/>
        </w:placeholder>
      </w:sdtPr>
      <w:sdtEndPr>
        <w:rPr>
          <w:color w:val="000000" w:themeColor="text1"/>
          <w14:textFill>
            <w14:solidFill>
              <w14:schemeClr w14:val="tx1"/>
            </w14:solidFill>
          </w14:textFill>
        </w:rPr>
      </w:sdtEndPr>
      <w:sdtContent>
        <w:p w14:paraId="1C91804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2E6ECCD">
      <w:pPr>
        <w:rPr>
          <w:color w:val="000000" w:themeColor="text1"/>
          <w14:textFill>
            <w14:solidFill>
              <w14:schemeClr w14:val="tx1"/>
            </w14:solidFill>
          </w14:textFill>
        </w:rPr>
      </w:pPr>
    </w:p>
    <w:bookmarkEnd w:id="270"/>
    <w:p w14:paraId="14F2A72B">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其中本期坏账准备收回或转回金额重要的：</w:t>
      </w:r>
    </w:p>
    <w:sdt>
      <w:sdtPr>
        <w:rPr>
          <w:color w:val="000000" w:themeColor="text1"/>
          <w14:textFill>
            <w14:solidFill>
              <w14:schemeClr w14:val="tx1"/>
            </w14:solidFill>
          </w14:textFill>
        </w:rPr>
        <w:alias w:val="是否适用：本期坏账准备收回或转回金额重要的[双击切换]"/>
        <w:tag w:val="_GBC_a29d07e52de24827baca64b0af5687bb"/>
        <w:id w:val="48198284"/>
        <w:placeholder>
          <w:docPart w:val="GBC22222222222222222222222222222"/>
        </w:placeholder>
      </w:sdtPr>
      <w:sdtEndPr>
        <w:rPr>
          <w:color w:val="000000" w:themeColor="text1"/>
          <w14:textFill>
            <w14:solidFill>
              <w14:schemeClr w14:val="tx1"/>
            </w14:solidFill>
          </w14:textFill>
        </w:rPr>
      </w:sdtEndPr>
      <w:sdtContent>
        <w:p w14:paraId="7108887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349EF9C">
      <w:pPr>
        <w:rPr>
          <w:color w:val="000000" w:themeColor="text1"/>
          <w14:textFill>
            <w14:solidFill>
              <w14:schemeClr w14:val="tx1"/>
            </w14:solidFill>
          </w14:textFill>
        </w:rPr>
      </w:pPr>
    </w:p>
    <w:p w14:paraId="638F2B2E">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坏账准备情况的说明"/>
        <w:tag w:val="_GBC_15f3ea2819374a1d81b14a1eed39f1ec"/>
        <w:id w:val="1958601198"/>
        <w:placeholder>
          <w:docPart w:val="GBC22222222222222222222222222222"/>
        </w:placeholder>
      </w:sdtPr>
      <w:sdtEndPr>
        <w:rPr>
          <w:color w:val="000000" w:themeColor="text1"/>
          <w14:textFill>
            <w14:solidFill>
              <w14:schemeClr w14:val="tx1"/>
            </w14:solidFill>
          </w14:textFill>
        </w:rPr>
      </w:sdtEndPr>
      <w:sdtContent>
        <w:p w14:paraId="0678765B">
          <w:pPr>
            <w:ind w:right="42" w:rightChars="20"/>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56613116">
      <w:pPr>
        <w:ind w:right="-1594" w:rightChars="-759"/>
        <w:rPr>
          <w:color w:val="000000" w:themeColor="text1"/>
          <w14:textFill>
            <w14:solidFill>
              <w14:schemeClr w14:val="tx1"/>
            </w14:solidFill>
          </w14:textFill>
        </w:rPr>
      </w:pPr>
    </w:p>
    <w:p w14:paraId="69A50363">
      <w:pPr>
        <w:pStyle w:val="5"/>
        <w:numPr>
          <w:ilvl w:val="0"/>
          <w:numId w:val="65"/>
        </w:numPr>
        <w:rPr>
          <w:rFonts w:hint="eastAsia"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本期实际核销的</w:t>
      </w:r>
      <w:r>
        <w:rPr>
          <w:rFonts w:hint="eastAsia" w:ascii="宋体" w:hAnsi="宋体" w:cs="宋体"/>
          <w:color w:val="000000" w:themeColor="text1"/>
          <w:kern w:val="0"/>
          <w:szCs w:val="24"/>
          <w14:textFill>
            <w14:solidFill>
              <w14:schemeClr w14:val="tx1"/>
            </w14:solidFill>
          </w14:textFill>
        </w:rPr>
        <w:t>长期应收款</w:t>
      </w:r>
      <w:r>
        <w:rPr>
          <w:rFonts w:ascii="宋体" w:hAnsi="宋体" w:cs="宋体"/>
          <w:color w:val="000000" w:themeColor="text1"/>
          <w:kern w:val="0"/>
          <w:szCs w:val="24"/>
          <w14:textFill>
            <w14:solidFill>
              <w14:schemeClr w14:val="tx1"/>
            </w14:solidFill>
          </w14:textFill>
        </w:rPr>
        <w:t>情况</w:t>
      </w:r>
    </w:p>
    <w:sdt>
      <w:sdtPr>
        <w:rPr>
          <w:color w:val="000000" w:themeColor="text1"/>
          <w14:textFill>
            <w14:solidFill>
              <w14:schemeClr w14:val="tx1"/>
            </w14:solidFill>
          </w14:textFill>
        </w:rPr>
        <w:alias w:val="是否适用：实际核销的情况[双击切换]"/>
        <w:tag w:val="_GBC_447ec231ca8744e2a8f9b570dfecfd28"/>
        <w:id w:val="-831750487"/>
        <w:placeholder>
          <w:docPart w:val="GBC22222222222222222222222222222"/>
        </w:placeholder>
      </w:sdtPr>
      <w:sdtEndPr>
        <w:rPr>
          <w:color w:val="000000" w:themeColor="text1"/>
          <w14:textFill>
            <w14:solidFill>
              <w14:schemeClr w14:val="tx1"/>
            </w14:solidFill>
          </w14:textFill>
        </w:rPr>
      </w:sdtEndPr>
      <w:sdtContent>
        <w:p w14:paraId="1AA7640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EEB7AD9">
      <w:pPr>
        <w:rPr>
          <w:color w:val="000000" w:themeColor="text1"/>
          <w14:textFill>
            <w14:solidFill>
              <w14:schemeClr w14:val="tx1"/>
            </w14:solidFill>
          </w14:textFill>
        </w:rPr>
      </w:pPr>
    </w:p>
    <w:p w14:paraId="22B64368">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其中重要的长期应收款核销情况</w:t>
      </w:r>
    </w:p>
    <w:sdt>
      <w:sdtPr>
        <w:rPr>
          <w:rFonts w:hint="eastAsia"/>
          <w:color w:val="000000" w:themeColor="text1"/>
          <w14:textFill>
            <w14:solidFill>
              <w14:schemeClr w14:val="tx1"/>
            </w14:solidFill>
          </w14:textFill>
        </w:rPr>
        <w:alias w:val="是否适用：重要的核销情况[双击切换]"/>
        <w:tag w:val="_GBC_7e501e63ade7457987f62bf3d0dd5df5"/>
        <w:id w:val="-1567951035"/>
        <w:placeholder>
          <w:docPart w:val="GBC22222222222222222222222222222"/>
        </w:placeholder>
      </w:sdtPr>
      <w:sdtEndPr>
        <w:rPr>
          <w:rFonts w:hint="eastAsia"/>
          <w:color w:val="000000" w:themeColor="text1"/>
          <w14:textFill>
            <w14:solidFill>
              <w14:schemeClr w14:val="tx1"/>
            </w14:solidFill>
          </w14:textFill>
        </w:rPr>
      </w:sdtEndPr>
      <w:sdtContent>
        <w:p w14:paraId="4F2BF59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4139BE1">
      <w:pPr>
        <w:rPr>
          <w:color w:val="000000" w:themeColor="text1"/>
          <w14:textFill>
            <w14:solidFill>
              <w14:schemeClr w14:val="tx1"/>
            </w14:solidFill>
          </w14:textFill>
        </w:rPr>
      </w:pPr>
    </w:p>
    <w:p w14:paraId="64793A0E">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核销说明：</w:t>
      </w:r>
    </w:p>
    <w:sdt>
      <w:sdtPr>
        <w:rPr>
          <w:color w:val="000000" w:themeColor="text1"/>
          <w14:textFill>
            <w14:solidFill>
              <w14:schemeClr w14:val="tx1"/>
            </w14:solidFill>
          </w14:textFill>
        </w:rPr>
        <w:alias w:val="是否适用：核销说明[双击切换]"/>
        <w:tag w:val="_GBC_81ff204464594f45b7ea7b4c6b25a65c"/>
        <w:id w:val="1389996284"/>
        <w:placeholder>
          <w:docPart w:val="GBC22222222222222222222222222222"/>
        </w:placeholder>
      </w:sdtPr>
      <w:sdtEndPr>
        <w:rPr>
          <w:color w:val="000000" w:themeColor="text1"/>
          <w14:textFill>
            <w14:solidFill>
              <w14:schemeClr w14:val="tx1"/>
            </w14:solidFill>
          </w14:textFill>
        </w:rPr>
      </w:sdtEndPr>
      <w:sdtContent>
        <w:p w14:paraId="5464BD69">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7C34474">
      <w:pPr>
        <w:rPr>
          <w:color w:val="000000" w:themeColor="text1"/>
          <w14:textFill>
            <w14:solidFill>
              <w14:schemeClr w14:val="tx1"/>
            </w14:solidFill>
          </w14:textFill>
        </w:rPr>
      </w:pPr>
    </w:p>
    <w:bookmarkEnd w:id="271"/>
    <w:bookmarkEnd w:id="272"/>
    <w:p w14:paraId="5925F1C7">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rFonts w:hint="eastAsia"/>
          <w:color w:val="000000" w:themeColor="text1"/>
          <w14:textFill>
            <w14:solidFill>
              <w14:schemeClr w14:val="tx1"/>
            </w14:solidFill>
          </w14:textFill>
        </w:rPr>
        <w:alias w:val="是否适用：长期应收款的其他说明[双击切换]"/>
        <w:tag w:val="_GBC_a368edfbd60c44cdaed5299529b44fa0"/>
        <w:id w:val="1686786547"/>
        <w:placeholder>
          <w:docPart w:val="GBC22222222222222222222222222222"/>
        </w:placeholder>
      </w:sdtPr>
      <w:sdtEndPr>
        <w:rPr>
          <w:rFonts w:hint="eastAsia"/>
          <w:color w:val="000000" w:themeColor="text1"/>
          <w14:textFill>
            <w14:solidFill>
              <w14:schemeClr w14:val="tx1"/>
            </w14:solidFill>
          </w14:textFill>
        </w:rPr>
      </w:sdtEndPr>
      <w:sdtContent>
        <w:p w14:paraId="20A9355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66F885F">
      <w:pPr>
        <w:rPr>
          <w:color w:val="000000" w:themeColor="text1"/>
          <w14:textFill>
            <w14:solidFill>
              <w14:schemeClr w14:val="tx1"/>
            </w14:solidFill>
          </w14:textFill>
        </w:rPr>
      </w:pPr>
    </w:p>
    <w:p w14:paraId="4FCF6879">
      <w:pPr>
        <w:rPr>
          <w:color w:val="000000" w:themeColor="text1"/>
          <w14:textFill>
            <w14:solidFill>
              <w14:schemeClr w14:val="tx1"/>
            </w14:solidFill>
          </w14:textFill>
        </w:rPr>
        <w:sectPr>
          <w:pgSz w:w="11906" w:h="16838"/>
          <w:pgMar w:top="1525" w:right="1276" w:bottom="1440" w:left="1797" w:header="856" w:footer="992" w:gutter="0"/>
          <w:cols w:space="425" w:num="1"/>
          <w:docGrid w:linePitch="312" w:charSpace="0"/>
        </w:sectPr>
      </w:pPr>
    </w:p>
    <w:p w14:paraId="62E7BA21">
      <w:pPr>
        <w:rPr>
          <w:color w:val="000000" w:themeColor="text1"/>
          <w14:textFill>
            <w14:solidFill>
              <w14:schemeClr w14:val="tx1"/>
            </w14:solidFill>
          </w14:textFill>
        </w:rPr>
      </w:pPr>
    </w:p>
    <w:p w14:paraId="6EDC6B76">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长期股权投资</w:t>
      </w:r>
    </w:p>
    <w:p w14:paraId="19138827">
      <w:pPr>
        <w:pStyle w:val="5"/>
        <w:numPr>
          <w:ilvl w:val="0"/>
          <w:numId w:val="66"/>
        </w:num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长期股权投资情况</w:t>
      </w:r>
    </w:p>
    <w:p w14:paraId="7C64772F">
      <w:pPr>
        <w:rPr>
          <w:color w:val="000000" w:themeColor="text1"/>
          <w14:textFill>
            <w14:solidFill>
              <w14:schemeClr w14:val="tx1"/>
            </w14:solidFill>
          </w14:textFill>
        </w:rPr>
      </w:pPr>
      <w:sdt>
        <w:sdtPr>
          <w:rPr>
            <w:rFonts w:hint="eastAsia"/>
            <w:color w:val="000000" w:themeColor="text1"/>
            <w14:textFill>
              <w14:solidFill>
                <w14:schemeClr w14:val="tx1"/>
              </w14:solidFill>
            </w14:textFill>
          </w:rPr>
          <w:alias w:val="是否适用：长期股权投资[双击切换]"/>
          <w:tag w:val="_GBC_bafa2cb2262c4c4ebc4eed8f4e4a81c6"/>
          <w:id w:val="327183135"/>
          <w:placeholder>
            <w:docPart w:val="GBC22222222222222222222222222222"/>
          </w:placeholder>
        </w:sdtPr>
        <w:sdtEndPr>
          <w:rPr>
            <w:rFonts w:hint="eastAsia"/>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bookmarkStart w:id="273" w:name="_Hlk199854611"/>
      <w:bookmarkStart w:id="274" w:name="_Hlk106375234"/>
    </w:p>
    <w:p w14:paraId="744BCDFD">
      <w:pPr>
        <w:rPr>
          <w:color w:val="000000" w:themeColor="text1"/>
          <w14:textFill>
            <w14:solidFill>
              <w14:schemeClr w14:val="tx1"/>
            </w14:solidFill>
          </w14:textFill>
        </w:rPr>
      </w:pPr>
    </w:p>
    <w:bookmarkEnd w:id="273"/>
    <w:bookmarkEnd w:id="274"/>
    <w:p w14:paraId="353D3259">
      <w:pPr>
        <w:pStyle w:val="5"/>
        <w:numPr>
          <w:ilvl w:val="0"/>
          <w:numId w:val="66"/>
        </w:numPr>
        <w:ind w:left="425" w:hanging="425"/>
        <w:rPr>
          <w:color w:val="000000" w:themeColor="text1"/>
          <w14:textFill>
            <w14:solidFill>
              <w14:schemeClr w14:val="tx1"/>
            </w14:solidFill>
          </w14:textFill>
        </w:rPr>
      </w:pPr>
      <w:bookmarkStart w:id="275" w:name="_Hlk167893542"/>
      <w:bookmarkStart w:id="276" w:name="_Hlk169008665"/>
      <w:r>
        <w:rPr>
          <w:rFonts w:hint="eastAsia"/>
          <w:color w:val="000000" w:themeColor="text1"/>
          <w14:textFill>
            <w14:solidFill>
              <w14:schemeClr w14:val="tx1"/>
            </w14:solidFill>
          </w14:textFill>
        </w:rPr>
        <w:t>长期股权投资的减值测试情况</w:t>
      </w:r>
    </w:p>
    <w:sdt>
      <w:sdtPr>
        <w:rPr>
          <w:color w:val="000000" w:themeColor="text1"/>
          <w14:textFill>
            <w14:solidFill>
              <w14:schemeClr w14:val="tx1"/>
            </w14:solidFill>
          </w14:textFill>
        </w:rPr>
        <w:alias w:val="是否适用：减值测试情况[双击切换]"/>
        <w:tag w:val="_GBC_c736c8a0ce06478bb4d52ef30b7043c8"/>
        <w:id w:val="2076466400"/>
        <w:placeholder>
          <w:docPart w:val="GBC22222222222222222222222222222"/>
        </w:placeholder>
      </w:sdtPr>
      <w:sdtEndPr>
        <w:rPr>
          <w:color w:val="000000" w:themeColor="text1"/>
          <w14:textFill>
            <w14:solidFill>
              <w14:schemeClr w14:val="tx1"/>
            </w14:solidFill>
          </w14:textFill>
        </w:rPr>
      </w:sdtEndPr>
      <w:sdtContent>
        <w:p w14:paraId="07C145F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7BC2410">
      <w:pPr>
        <w:rPr>
          <w:color w:val="000000" w:themeColor="text1"/>
          <w14:textFill>
            <w14:solidFill>
              <w14:schemeClr w14:val="tx1"/>
            </w14:solidFill>
          </w14:textFill>
        </w:rPr>
      </w:pPr>
    </w:p>
    <w:p w14:paraId="37C05C92">
      <w:pPr>
        <w:snapToGrid w:val="0"/>
        <w:spacing w:line="240" w:lineRule="atLeast"/>
        <w:rPr>
          <w:color w:val="000000" w:themeColor="text1"/>
          <w14:textFill>
            <w14:solidFill>
              <w14:schemeClr w14:val="tx1"/>
            </w14:solidFill>
          </w14:textFill>
        </w:rPr>
      </w:pPr>
    </w:p>
    <w:bookmarkEnd w:id="275"/>
    <w:p w14:paraId="69AC0FF3">
      <w:pPr>
        <w:snapToGrid w:val="0"/>
        <w:spacing w:line="240" w:lineRule="atLeast"/>
        <w:rPr>
          <w:color w:val="000000" w:themeColor="text1"/>
          <w14:textFill>
            <w14:solidFill>
              <w14:schemeClr w14:val="tx1"/>
            </w14:solidFill>
          </w14:textFill>
        </w:rPr>
      </w:pPr>
      <w:bookmarkStart w:id="277" w:name="_Hlk167893618"/>
      <w:r>
        <w:rPr>
          <w:rFonts w:hint="eastAsia"/>
          <w:color w:val="000000" w:themeColor="text1"/>
          <w14:textFill>
            <w14:solidFill>
              <w14:schemeClr w14:val="tx1"/>
            </w14:solidFill>
          </w14:textFill>
        </w:rPr>
        <w:t>其他说明</w:t>
      </w:r>
    </w:p>
    <w:p w14:paraId="08ECBEFD">
      <w:pPr>
        <w:snapToGrid w:val="0"/>
        <w:spacing w:line="240" w:lineRule="atLeast"/>
        <w:rPr>
          <w:color w:val="000000" w:themeColor="text1"/>
          <w14:textFill>
            <w14:solidFill>
              <w14:schemeClr w14:val="tx1"/>
            </w14:solidFill>
          </w14:textFill>
        </w:rPr>
      </w:pPr>
      <w:sdt>
        <w:sdtPr>
          <w:rPr>
            <w:color w:val="000000" w:themeColor="text1"/>
            <w14:textFill>
              <w14:solidFill>
                <w14:schemeClr w14:val="tx1"/>
              </w14:solidFill>
            </w14:textFill>
          </w:rPr>
          <w:alias w:val="长期股票投资的说明"/>
          <w:tag w:val="_GBC_de8cfc4ca45d42b88f7513c93a853186"/>
          <w:id w:val="1028606187"/>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无</w:t>
          </w:r>
        </w:sdtContent>
      </w:sdt>
    </w:p>
    <w:p w14:paraId="7D679DFD">
      <w:pPr>
        <w:snapToGrid w:val="0"/>
        <w:spacing w:line="240" w:lineRule="atLeast"/>
        <w:rPr>
          <w:color w:val="000000" w:themeColor="text1"/>
          <w14:textFill>
            <w14:solidFill>
              <w14:schemeClr w14:val="tx1"/>
            </w14:solidFill>
          </w14:textFill>
        </w:rPr>
      </w:pPr>
    </w:p>
    <w:bookmarkEnd w:id="276"/>
    <w:bookmarkEnd w:id="277"/>
    <w:p w14:paraId="0B24E7F4">
      <w:pPr>
        <w:pStyle w:val="4"/>
        <w:numPr>
          <w:ilvl w:val="0"/>
          <w:numId w:val="53"/>
        </w:numPr>
        <w:tabs>
          <w:tab w:val="left" w:pos="504"/>
        </w:tabs>
        <w:rPr>
          <w:color w:val="000000" w:themeColor="text1"/>
          <w:szCs w:val="21"/>
          <w14:textFill>
            <w14:solidFill>
              <w14:schemeClr w14:val="tx1"/>
            </w14:solidFill>
          </w14:textFill>
        </w:rPr>
      </w:pPr>
      <w:bookmarkStart w:id="278" w:name="_Hlk533409702"/>
      <w:bookmarkStart w:id="279" w:name="_Hlk152858292"/>
      <w:bookmarkStart w:id="280" w:name="_Hlk167895169"/>
      <w:r>
        <w:rPr>
          <w:rFonts w:hint="eastAsia"/>
          <w:color w:val="000000" w:themeColor="text1"/>
          <w:szCs w:val="21"/>
          <w14:textFill>
            <w14:solidFill>
              <w14:schemeClr w14:val="tx1"/>
            </w14:solidFill>
          </w14:textFill>
        </w:rPr>
        <w:t>其他权益工具投资</w:t>
      </w:r>
    </w:p>
    <w:p w14:paraId="21E324A1">
      <w:pPr>
        <w:pStyle w:val="5"/>
        <w:numPr>
          <w:ilvl w:val="3"/>
          <w:numId w:val="67"/>
        </w:numPr>
        <w:ind w:left="426" w:hanging="426"/>
        <w:rPr>
          <w:color w:val="000000" w:themeColor="text1"/>
          <w14:textFill>
            <w14:solidFill>
              <w14:schemeClr w14:val="tx1"/>
            </w14:solidFill>
          </w14:textFill>
        </w:rPr>
      </w:pPr>
      <w:bookmarkStart w:id="281" w:name="_Hlk532994936"/>
      <w:r>
        <w:rPr>
          <w:rFonts w:hint="eastAsia"/>
          <w:color w:val="000000" w:themeColor="text1"/>
          <w14:textFill>
            <w14:solidFill>
              <w14:schemeClr w14:val="tx1"/>
            </w14:solidFill>
          </w14:textFill>
        </w:rPr>
        <w:t>其他权益工具投资情况</w:t>
      </w:r>
    </w:p>
    <w:sdt>
      <w:sdtPr>
        <w:rPr>
          <w:color w:val="000000" w:themeColor="text1"/>
          <w14:textFill>
            <w14:solidFill>
              <w14:schemeClr w14:val="tx1"/>
            </w14:solidFill>
          </w14:textFill>
        </w:rPr>
        <w:alias w:val="是否适用：其他权益工具投资情况[双击切换]"/>
        <w:tag w:val="_GBC_ac87b47cf70d4820a1189b53bf53af73"/>
        <w:id w:val="-1450233507"/>
        <w:placeholder>
          <w:docPart w:val="GBC22222222222222222222222222222"/>
        </w:placeholder>
      </w:sdtPr>
      <w:sdtEndPr>
        <w:rPr>
          <w:color w:val="000000" w:themeColor="text1"/>
          <w14:textFill>
            <w14:solidFill>
              <w14:schemeClr w14:val="tx1"/>
            </w14:solidFill>
          </w14:textFill>
        </w:rPr>
      </w:sdtEndPr>
      <w:sdtContent>
        <w:p w14:paraId="2200F5A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9DDC8BD">
      <w:pPr>
        <w:autoSpaceDE w:val="0"/>
        <w:autoSpaceDN w:val="0"/>
        <w:adjustRightInd w:val="0"/>
        <w:ind w:left="5880" w:right="105"/>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其他权益工具投资情况"/>
          <w:tag w:val="_GBC_9bbc2bc262694a308c04bf4f25e3f1bb"/>
          <w:id w:val="14810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其他权益工具投资情况"/>
          <w:tag w:val="_GBC_c944479021b54a639f17a7b9d298ba98"/>
          <w:id w:val="23660637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bookmarkEnd w:id="278"/>
    <w:bookmarkEnd w:id="281"/>
    <w:tbl>
      <w:tblPr>
        <w:tblStyle w:val="37"/>
        <w:tblW w:w="5258" w:type="pct"/>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1164"/>
        <w:gridCol w:w="1170"/>
        <w:gridCol w:w="1030"/>
        <w:gridCol w:w="1298"/>
        <w:gridCol w:w="1200"/>
        <w:gridCol w:w="993"/>
        <w:gridCol w:w="1154"/>
        <w:gridCol w:w="1150"/>
        <w:gridCol w:w="1150"/>
        <w:gridCol w:w="1150"/>
        <w:gridCol w:w="1139"/>
      </w:tblGrid>
      <w:tr w14:paraId="7ABA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sdt>
          <w:sdtPr>
            <w:tag w:val="_PLD_3daf209c1b064e4980c71e7ae45806a6"/>
            <w:id w:val="-192230100"/>
          </w:sdtPr>
          <w:sdtContent>
            <w:tc>
              <w:tcPr>
                <w:tcW w:w="684" w:type="pct"/>
                <w:vMerge w:val="restart"/>
                <w:tcBorders>
                  <w:top w:val="single" w:color="auto" w:sz="4" w:space="0"/>
                  <w:left w:val="single" w:color="auto" w:sz="4" w:space="0"/>
                  <w:right w:val="single" w:color="auto" w:sz="4" w:space="0"/>
                </w:tcBorders>
                <w:vAlign w:val="center"/>
              </w:tcPr>
              <w:p w14:paraId="6C6ABAC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1d20fa0d77b4406390305b87a75671b0"/>
            <w:id w:val="1843670608"/>
          </w:sdtPr>
          <w:sdtContent>
            <w:tc>
              <w:tcPr>
                <w:tcW w:w="404" w:type="pct"/>
                <w:vMerge w:val="restart"/>
                <w:tcBorders>
                  <w:top w:val="single" w:color="auto" w:sz="4" w:space="0"/>
                  <w:left w:val="single" w:color="auto" w:sz="4" w:space="0"/>
                  <w:right w:val="single" w:color="auto" w:sz="4" w:space="0"/>
                </w:tcBorders>
                <w:vAlign w:val="center"/>
              </w:tcPr>
              <w:p w14:paraId="558D108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w:t>
                </w:r>
              </w:p>
              <w:p w14:paraId="1FC004F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余额</w:t>
                </w:r>
              </w:p>
            </w:tc>
          </w:sdtContent>
        </w:sdt>
        <w:sdt>
          <w:sdtPr>
            <w:tag w:val="_PLD_6a633ba000d144cb8770931370381fa1"/>
            <w:id w:val="152030096"/>
          </w:sdtPr>
          <w:sdtContent>
            <w:tc>
              <w:tcPr>
                <w:tcW w:w="1975" w:type="pct"/>
                <w:gridSpan w:val="5"/>
                <w:tcBorders>
                  <w:top w:val="single" w:color="auto" w:sz="4" w:space="0"/>
                  <w:left w:val="single" w:color="auto" w:sz="4" w:space="0"/>
                  <w:bottom w:val="single" w:color="auto" w:sz="4" w:space="0"/>
                  <w:right w:val="single" w:color="auto" w:sz="4" w:space="0"/>
                </w:tcBorders>
                <w:vAlign w:val="center"/>
              </w:tcPr>
              <w:p w14:paraId="248ACC6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本期增减变动</w:t>
                </w:r>
              </w:p>
            </w:tc>
          </w:sdtContent>
        </w:sdt>
        <w:sdt>
          <w:sdtPr>
            <w:tag w:val="_PLD_d9fc41afb57d40a5826584d39a74e53d"/>
            <w:id w:val="-1211800589"/>
          </w:sdtPr>
          <w:sdtContent>
            <w:tc>
              <w:tcPr>
                <w:tcW w:w="345" w:type="pct"/>
                <w:vMerge w:val="restart"/>
                <w:tcBorders>
                  <w:top w:val="single" w:color="auto" w:sz="4" w:space="0"/>
                  <w:left w:val="single" w:color="auto" w:sz="4" w:space="0"/>
                  <w:right w:val="single" w:color="auto" w:sz="4" w:space="0"/>
                </w:tcBorders>
                <w:vAlign w:val="center"/>
              </w:tcPr>
              <w:p w14:paraId="7BD1258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w:t>
                </w:r>
              </w:p>
              <w:p w14:paraId="21995AC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余额</w:t>
                </w:r>
              </w:p>
            </w:tc>
          </w:sdtContent>
        </w:sdt>
        <w:sdt>
          <w:sdtPr>
            <w:tag w:val="_PLD_b3500e3451724262a7eb38ac2709c54a"/>
            <w:id w:val="-1239093987"/>
          </w:sdtPr>
          <w:sdtContent>
            <w:tc>
              <w:tcPr>
                <w:tcW w:w="399" w:type="pct"/>
                <w:vMerge w:val="restart"/>
                <w:tcBorders>
                  <w:top w:val="single" w:color="auto" w:sz="4" w:space="0"/>
                  <w:left w:val="single" w:color="auto" w:sz="4" w:space="0"/>
                  <w:right w:val="single" w:color="auto" w:sz="4" w:space="0"/>
                </w:tcBorders>
                <w:vAlign w:val="center"/>
              </w:tcPr>
              <w:p w14:paraId="133D2B2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本期确认的股利收入</w:t>
                </w:r>
              </w:p>
            </w:tc>
          </w:sdtContent>
        </w:sdt>
        <w:sdt>
          <w:sdtPr>
            <w:tag w:val="_PLD_d94045f5a1cb4092aa594c265a146180"/>
            <w:id w:val="-725616218"/>
          </w:sdtPr>
          <w:sdtContent>
            <w:tc>
              <w:tcPr>
                <w:tcW w:w="399" w:type="pct"/>
                <w:vMerge w:val="restart"/>
                <w:tcBorders>
                  <w:top w:val="single" w:color="auto" w:sz="4" w:space="0"/>
                  <w:left w:val="single" w:color="auto" w:sz="4" w:space="0"/>
                  <w:right w:val="single" w:color="auto" w:sz="4" w:space="0"/>
                </w:tcBorders>
                <w:vAlign w:val="center"/>
              </w:tcPr>
              <w:p w14:paraId="2CACAE3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累计计入其他综合收益的利得</w:t>
                </w:r>
              </w:p>
            </w:tc>
          </w:sdtContent>
        </w:sdt>
        <w:sdt>
          <w:sdtPr>
            <w:tag w:val="_PLD_5f0ce8d1a2e4468abbf27c5755f10b41"/>
            <w:id w:val="-1321958423"/>
          </w:sdtPr>
          <w:sdtContent>
            <w:tc>
              <w:tcPr>
                <w:tcW w:w="399" w:type="pct"/>
                <w:vMerge w:val="restart"/>
                <w:tcBorders>
                  <w:top w:val="single" w:color="auto" w:sz="4" w:space="0"/>
                  <w:left w:val="single" w:color="auto" w:sz="4" w:space="0"/>
                  <w:right w:val="single" w:color="auto" w:sz="4" w:space="0"/>
                </w:tcBorders>
                <w:vAlign w:val="center"/>
              </w:tcPr>
              <w:p w14:paraId="77A3446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累计计入其他综合收益的损失</w:t>
                </w:r>
              </w:p>
            </w:tc>
          </w:sdtContent>
        </w:sdt>
        <w:sdt>
          <w:sdtPr>
            <w:tag w:val="_PLD_30dbafaa8a8b420cb3406f22958c59c0"/>
            <w:id w:val="-362521579"/>
          </w:sdtPr>
          <w:sdtContent>
            <w:tc>
              <w:tcPr>
                <w:tcW w:w="395" w:type="pct"/>
                <w:vMerge w:val="restart"/>
                <w:tcBorders>
                  <w:top w:val="single" w:color="auto" w:sz="4" w:space="0"/>
                  <w:left w:val="single" w:color="auto" w:sz="4" w:space="0"/>
                  <w:right w:val="single" w:color="auto" w:sz="4" w:space="0"/>
                </w:tcBorders>
                <w:vAlign w:val="center"/>
              </w:tcPr>
              <w:p w14:paraId="4D84CD0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指定为以公允价值计量且其变动计入其他综合收益的原因</w:t>
                </w:r>
              </w:p>
            </w:tc>
          </w:sdtContent>
        </w:sdt>
      </w:tr>
      <w:tr w14:paraId="03F0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pct"/>
            <w:vMerge w:val="continue"/>
            <w:tcBorders>
              <w:left w:val="single" w:color="auto" w:sz="4" w:space="0"/>
              <w:bottom w:val="single" w:color="auto" w:sz="4" w:space="0"/>
              <w:right w:val="single" w:color="auto" w:sz="4" w:space="0"/>
            </w:tcBorders>
          </w:tcPr>
          <w:p w14:paraId="63672280">
            <w:pPr>
              <w:jc w:val="center"/>
              <w:rPr>
                <w:color w:val="000000" w:themeColor="text1"/>
                <w14:textFill>
                  <w14:solidFill>
                    <w14:schemeClr w14:val="tx1"/>
                  </w14:solidFill>
                </w14:textFill>
              </w:rPr>
            </w:pPr>
          </w:p>
        </w:tc>
        <w:tc>
          <w:tcPr>
            <w:tcW w:w="404" w:type="pct"/>
            <w:vMerge w:val="continue"/>
            <w:tcBorders>
              <w:left w:val="single" w:color="auto" w:sz="4" w:space="0"/>
              <w:bottom w:val="single" w:color="auto" w:sz="4" w:space="0"/>
              <w:right w:val="single" w:color="auto" w:sz="4" w:space="0"/>
            </w:tcBorders>
          </w:tcPr>
          <w:p w14:paraId="06A38050">
            <w:pPr>
              <w:jc w:val="center"/>
              <w:rPr>
                <w:color w:val="000000" w:themeColor="text1"/>
                <w14:textFill>
                  <w14:solidFill>
                    <w14:schemeClr w14:val="tx1"/>
                  </w14:solidFill>
                </w14:textFill>
              </w:rPr>
            </w:pPr>
          </w:p>
        </w:tc>
        <w:sdt>
          <w:sdtPr>
            <w:tag w:val="_PLD_7fb134b102ea4ac69df08b1a4af24780"/>
            <w:id w:val="-196007596"/>
          </w:sdtPr>
          <w:sdtContent>
            <w:tc>
              <w:tcPr>
                <w:tcW w:w="406" w:type="pct"/>
                <w:tcBorders>
                  <w:top w:val="single" w:color="auto" w:sz="4" w:space="0"/>
                  <w:left w:val="single" w:color="auto" w:sz="4" w:space="0"/>
                  <w:bottom w:val="single" w:color="auto" w:sz="4" w:space="0"/>
                  <w:right w:val="single" w:color="auto" w:sz="4" w:space="0"/>
                </w:tcBorders>
                <w:vAlign w:val="center"/>
              </w:tcPr>
              <w:p w14:paraId="497E418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追加投资</w:t>
                </w:r>
              </w:p>
            </w:tc>
          </w:sdtContent>
        </w:sdt>
        <w:sdt>
          <w:sdtPr>
            <w:tag w:val="_PLD_a5097fcdb0644572a784e139d5bc86f5"/>
            <w:id w:val="-1157684255"/>
          </w:sdtPr>
          <w:sdtContent>
            <w:tc>
              <w:tcPr>
                <w:tcW w:w="358" w:type="pct"/>
                <w:tcBorders>
                  <w:top w:val="single" w:color="auto" w:sz="4" w:space="0"/>
                  <w:left w:val="single" w:color="auto" w:sz="4" w:space="0"/>
                  <w:bottom w:val="single" w:color="auto" w:sz="4" w:space="0"/>
                  <w:right w:val="single" w:color="auto" w:sz="4" w:space="0"/>
                </w:tcBorders>
                <w:vAlign w:val="center"/>
              </w:tcPr>
              <w:p w14:paraId="0BA5727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减少投资</w:t>
                </w:r>
              </w:p>
            </w:tc>
          </w:sdtContent>
        </w:sdt>
        <w:sdt>
          <w:sdtPr>
            <w:tag w:val="_PLD_500aaf3ba85d422e91cb8bed768593ce"/>
            <w:id w:val="-1246263261"/>
          </w:sdtPr>
          <w:sdtContent>
            <w:tc>
              <w:tcPr>
                <w:tcW w:w="450" w:type="pct"/>
                <w:tcBorders>
                  <w:top w:val="single" w:color="auto" w:sz="4" w:space="0"/>
                  <w:left w:val="single" w:color="auto" w:sz="4" w:space="0"/>
                  <w:bottom w:val="single" w:color="auto" w:sz="4" w:space="0"/>
                  <w:right w:val="single" w:color="auto" w:sz="4" w:space="0"/>
                </w:tcBorders>
                <w:vAlign w:val="center"/>
              </w:tcPr>
              <w:p w14:paraId="6524706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本期计入其他综合收益的利得</w:t>
                </w:r>
              </w:p>
            </w:tc>
          </w:sdtContent>
        </w:sdt>
        <w:sdt>
          <w:sdtPr>
            <w:tag w:val="_PLD_9451af532fa54486a8ab06976fcedd26"/>
            <w:id w:val="-87538587"/>
          </w:sdtPr>
          <w:sdtContent>
            <w:tc>
              <w:tcPr>
                <w:tcW w:w="416" w:type="pct"/>
                <w:tcBorders>
                  <w:top w:val="single" w:color="auto" w:sz="4" w:space="0"/>
                  <w:left w:val="single" w:color="auto" w:sz="4" w:space="0"/>
                  <w:bottom w:val="single" w:color="auto" w:sz="4" w:space="0"/>
                  <w:right w:val="single" w:color="auto" w:sz="4" w:space="0"/>
                </w:tcBorders>
                <w:vAlign w:val="center"/>
              </w:tcPr>
              <w:p w14:paraId="41F91C5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本期计入其他综合收益的损失</w:t>
                </w:r>
              </w:p>
            </w:tc>
          </w:sdtContent>
        </w:sdt>
        <w:sdt>
          <w:sdtPr>
            <w:tag w:val="_PLD_99beff4095cd487eb9318f7cff078d10"/>
            <w:id w:val="904883951"/>
          </w:sdtPr>
          <w:sdtContent>
            <w:tc>
              <w:tcPr>
                <w:tcW w:w="345" w:type="pct"/>
                <w:tcBorders>
                  <w:left w:val="single" w:color="auto" w:sz="4" w:space="0"/>
                  <w:bottom w:val="single" w:color="auto" w:sz="4" w:space="0"/>
                  <w:right w:val="single" w:color="auto" w:sz="4" w:space="0"/>
                </w:tcBorders>
                <w:vAlign w:val="center"/>
              </w:tcPr>
              <w:p w14:paraId="0CC06E2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sdtContent>
        </w:sdt>
        <w:tc>
          <w:tcPr>
            <w:tcW w:w="345" w:type="pct"/>
            <w:vMerge w:val="continue"/>
            <w:tcBorders>
              <w:left w:val="single" w:color="auto" w:sz="4" w:space="0"/>
              <w:bottom w:val="single" w:color="auto" w:sz="4" w:space="0"/>
              <w:right w:val="single" w:color="auto" w:sz="4" w:space="0"/>
            </w:tcBorders>
            <w:vAlign w:val="center"/>
          </w:tcPr>
          <w:p w14:paraId="4D4D9086">
            <w:pPr>
              <w:jc w:val="center"/>
              <w:rPr>
                <w:color w:val="000000" w:themeColor="text1"/>
                <w14:textFill>
                  <w14:solidFill>
                    <w14:schemeClr w14:val="tx1"/>
                  </w14:solidFill>
                </w14:textFill>
              </w:rPr>
            </w:pPr>
          </w:p>
        </w:tc>
        <w:tc>
          <w:tcPr>
            <w:tcW w:w="399" w:type="pct"/>
            <w:vMerge w:val="continue"/>
            <w:tcBorders>
              <w:left w:val="single" w:color="auto" w:sz="4" w:space="0"/>
              <w:bottom w:val="single" w:color="auto" w:sz="4" w:space="0"/>
              <w:right w:val="single" w:color="auto" w:sz="4" w:space="0"/>
            </w:tcBorders>
          </w:tcPr>
          <w:p w14:paraId="33AE48C9">
            <w:pPr>
              <w:jc w:val="center"/>
              <w:rPr>
                <w:color w:val="000000" w:themeColor="text1"/>
                <w14:textFill>
                  <w14:solidFill>
                    <w14:schemeClr w14:val="tx1"/>
                  </w14:solidFill>
                </w14:textFill>
              </w:rPr>
            </w:pPr>
          </w:p>
        </w:tc>
        <w:tc>
          <w:tcPr>
            <w:tcW w:w="399" w:type="pct"/>
            <w:vMerge w:val="continue"/>
            <w:tcBorders>
              <w:left w:val="single" w:color="auto" w:sz="4" w:space="0"/>
              <w:bottom w:val="single" w:color="auto" w:sz="4" w:space="0"/>
              <w:right w:val="single" w:color="auto" w:sz="4" w:space="0"/>
            </w:tcBorders>
          </w:tcPr>
          <w:p w14:paraId="402B1445">
            <w:pPr>
              <w:jc w:val="center"/>
              <w:rPr>
                <w:color w:val="000000" w:themeColor="text1"/>
                <w14:textFill>
                  <w14:solidFill>
                    <w14:schemeClr w14:val="tx1"/>
                  </w14:solidFill>
                </w14:textFill>
              </w:rPr>
            </w:pPr>
          </w:p>
        </w:tc>
        <w:tc>
          <w:tcPr>
            <w:tcW w:w="399" w:type="pct"/>
            <w:vMerge w:val="continue"/>
            <w:tcBorders>
              <w:left w:val="single" w:color="auto" w:sz="4" w:space="0"/>
              <w:bottom w:val="single" w:color="auto" w:sz="4" w:space="0"/>
              <w:right w:val="single" w:color="auto" w:sz="4" w:space="0"/>
            </w:tcBorders>
          </w:tcPr>
          <w:p w14:paraId="4FB57F52">
            <w:pPr>
              <w:jc w:val="center"/>
              <w:rPr>
                <w:color w:val="000000" w:themeColor="text1"/>
                <w14:textFill>
                  <w14:solidFill>
                    <w14:schemeClr w14:val="tx1"/>
                  </w14:solidFill>
                </w14:textFill>
              </w:rPr>
            </w:pPr>
          </w:p>
        </w:tc>
        <w:tc>
          <w:tcPr>
            <w:tcW w:w="395" w:type="pct"/>
            <w:vMerge w:val="continue"/>
            <w:tcBorders>
              <w:left w:val="single" w:color="auto" w:sz="4" w:space="0"/>
              <w:bottom w:val="single" w:color="auto" w:sz="4" w:space="0"/>
              <w:right w:val="single" w:color="auto" w:sz="4" w:space="0"/>
            </w:tcBorders>
            <w:vAlign w:val="center"/>
          </w:tcPr>
          <w:p w14:paraId="00E247FB">
            <w:pPr>
              <w:jc w:val="center"/>
              <w:rPr>
                <w:color w:val="000000" w:themeColor="text1"/>
                <w14:textFill>
                  <w14:solidFill>
                    <w14:schemeClr w14:val="tx1"/>
                  </w14:solidFill>
                </w14:textFill>
              </w:rPr>
            </w:pPr>
          </w:p>
        </w:tc>
      </w:tr>
      <w:tr w14:paraId="711D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pct"/>
            <w:tcBorders>
              <w:top w:val="single" w:color="auto" w:sz="4" w:space="0"/>
              <w:left w:val="single" w:color="auto" w:sz="4" w:space="0"/>
              <w:bottom w:val="single" w:color="auto" w:sz="4" w:space="0"/>
              <w:right w:val="single" w:color="auto" w:sz="4" w:space="0"/>
            </w:tcBorders>
            <w:vAlign w:val="center"/>
          </w:tcPr>
          <w:p w14:paraId="2DB55052">
            <w:r>
              <w:rPr>
                <w:rFonts w:hint="eastAsia" w:ascii="宋体" w:hAnsi="宋体"/>
                <w:sz w:val="15"/>
                <w:szCs w:val="15"/>
              </w:rPr>
              <w:t>威海市商业银行股份有限公司</w:t>
            </w:r>
          </w:p>
        </w:tc>
        <w:tc>
          <w:tcPr>
            <w:tcW w:w="404" w:type="pct"/>
            <w:tcBorders>
              <w:top w:val="single" w:color="auto" w:sz="4" w:space="0"/>
              <w:left w:val="single" w:color="auto" w:sz="4" w:space="0"/>
              <w:bottom w:val="single" w:color="auto" w:sz="4" w:space="0"/>
              <w:right w:val="single" w:color="auto" w:sz="4" w:space="0"/>
            </w:tcBorders>
            <w:vAlign w:val="center"/>
          </w:tcPr>
          <w:p w14:paraId="1FD713E5">
            <w:pPr>
              <w:jc w:val="right"/>
            </w:pPr>
            <w:r>
              <w:rPr>
                <w:sz w:val="15"/>
                <w:szCs w:val="15"/>
              </w:rPr>
              <w:t>184,605,170.66</w:t>
            </w:r>
          </w:p>
        </w:tc>
        <w:tc>
          <w:tcPr>
            <w:tcW w:w="406" w:type="pct"/>
            <w:tcBorders>
              <w:top w:val="single" w:color="auto" w:sz="4" w:space="0"/>
              <w:left w:val="single" w:color="auto" w:sz="4" w:space="0"/>
              <w:bottom w:val="single" w:color="auto" w:sz="4" w:space="0"/>
              <w:right w:val="single" w:color="auto" w:sz="4" w:space="0"/>
            </w:tcBorders>
          </w:tcPr>
          <w:p w14:paraId="1922F1ED">
            <w:pPr>
              <w:jc w:val="right"/>
            </w:pPr>
          </w:p>
        </w:tc>
        <w:tc>
          <w:tcPr>
            <w:tcW w:w="358" w:type="pct"/>
            <w:tcBorders>
              <w:top w:val="single" w:color="auto" w:sz="4" w:space="0"/>
              <w:left w:val="single" w:color="auto" w:sz="4" w:space="0"/>
              <w:bottom w:val="single" w:color="auto" w:sz="4" w:space="0"/>
              <w:right w:val="single" w:color="auto" w:sz="4" w:space="0"/>
            </w:tcBorders>
          </w:tcPr>
          <w:p w14:paraId="6CA7D5FE">
            <w:pPr>
              <w:jc w:val="right"/>
            </w:pPr>
          </w:p>
        </w:tc>
        <w:tc>
          <w:tcPr>
            <w:tcW w:w="450" w:type="pct"/>
            <w:tcBorders>
              <w:top w:val="single" w:color="auto" w:sz="4" w:space="0"/>
              <w:left w:val="single" w:color="auto" w:sz="4" w:space="0"/>
              <w:bottom w:val="single" w:color="auto" w:sz="4" w:space="0"/>
              <w:right w:val="single" w:color="auto" w:sz="4" w:space="0"/>
            </w:tcBorders>
          </w:tcPr>
          <w:p w14:paraId="7DC95F01">
            <w:pPr>
              <w:jc w:val="right"/>
            </w:pPr>
          </w:p>
        </w:tc>
        <w:tc>
          <w:tcPr>
            <w:tcW w:w="416" w:type="pct"/>
            <w:tcBorders>
              <w:top w:val="single" w:color="auto" w:sz="4" w:space="0"/>
              <w:left w:val="single" w:color="auto" w:sz="4" w:space="0"/>
              <w:bottom w:val="single" w:color="auto" w:sz="4" w:space="0"/>
              <w:right w:val="single" w:color="auto" w:sz="4" w:space="0"/>
            </w:tcBorders>
          </w:tcPr>
          <w:p w14:paraId="314E96FC">
            <w:pPr>
              <w:jc w:val="right"/>
            </w:pPr>
          </w:p>
        </w:tc>
        <w:tc>
          <w:tcPr>
            <w:tcW w:w="345" w:type="pct"/>
            <w:tcBorders>
              <w:top w:val="single" w:color="auto" w:sz="4" w:space="0"/>
              <w:left w:val="single" w:color="auto" w:sz="4" w:space="0"/>
              <w:bottom w:val="single" w:color="auto" w:sz="4" w:space="0"/>
              <w:right w:val="single" w:color="auto" w:sz="4" w:space="0"/>
            </w:tcBorders>
          </w:tcPr>
          <w:p w14:paraId="2F03117F">
            <w:pPr>
              <w:jc w:val="right"/>
            </w:pPr>
          </w:p>
        </w:tc>
        <w:tc>
          <w:tcPr>
            <w:tcW w:w="345" w:type="pct"/>
            <w:tcBorders>
              <w:top w:val="single" w:color="auto" w:sz="4" w:space="0"/>
              <w:left w:val="single" w:color="auto" w:sz="4" w:space="0"/>
              <w:bottom w:val="single" w:color="auto" w:sz="4" w:space="0"/>
              <w:right w:val="single" w:color="auto" w:sz="4" w:space="0"/>
            </w:tcBorders>
            <w:vAlign w:val="center"/>
          </w:tcPr>
          <w:p w14:paraId="23C307B6">
            <w:pPr>
              <w:jc w:val="right"/>
              <w:rPr>
                <w:sz w:val="15"/>
                <w:szCs w:val="15"/>
              </w:rPr>
            </w:pPr>
            <w:r>
              <w:rPr>
                <w:sz w:val="15"/>
                <w:szCs w:val="15"/>
              </w:rPr>
              <w:t>184,605,170.66</w:t>
            </w:r>
          </w:p>
        </w:tc>
        <w:tc>
          <w:tcPr>
            <w:tcW w:w="399" w:type="pct"/>
            <w:tcBorders>
              <w:top w:val="single" w:color="auto" w:sz="4" w:space="0"/>
              <w:left w:val="single" w:color="auto" w:sz="4" w:space="0"/>
              <w:bottom w:val="single" w:color="auto" w:sz="4" w:space="0"/>
              <w:right w:val="single" w:color="auto" w:sz="4" w:space="0"/>
            </w:tcBorders>
          </w:tcPr>
          <w:p w14:paraId="0C0B8B0A">
            <w:pPr>
              <w:jc w:val="right"/>
            </w:pPr>
          </w:p>
        </w:tc>
        <w:tc>
          <w:tcPr>
            <w:tcW w:w="399" w:type="pct"/>
            <w:tcBorders>
              <w:top w:val="single" w:color="auto" w:sz="4" w:space="0"/>
              <w:left w:val="single" w:color="auto" w:sz="4" w:space="0"/>
              <w:bottom w:val="single" w:color="auto" w:sz="4" w:space="0"/>
              <w:right w:val="single" w:color="auto" w:sz="4" w:space="0"/>
            </w:tcBorders>
          </w:tcPr>
          <w:p w14:paraId="31E1C1C5">
            <w:pPr>
              <w:jc w:val="right"/>
            </w:pPr>
          </w:p>
        </w:tc>
        <w:tc>
          <w:tcPr>
            <w:tcW w:w="399" w:type="pct"/>
            <w:tcBorders>
              <w:top w:val="single" w:color="auto" w:sz="4" w:space="0"/>
              <w:left w:val="single" w:color="auto" w:sz="4" w:space="0"/>
              <w:bottom w:val="single" w:color="auto" w:sz="4" w:space="0"/>
              <w:right w:val="single" w:color="auto" w:sz="4" w:space="0"/>
            </w:tcBorders>
          </w:tcPr>
          <w:p w14:paraId="3CD372D1">
            <w:pPr>
              <w:jc w:val="right"/>
            </w:pPr>
          </w:p>
        </w:tc>
        <w:tc>
          <w:tcPr>
            <w:tcW w:w="395" w:type="pct"/>
            <w:tcBorders>
              <w:top w:val="single" w:color="auto" w:sz="4" w:space="0"/>
              <w:left w:val="single" w:color="auto" w:sz="4" w:space="0"/>
              <w:bottom w:val="single" w:color="auto" w:sz="4" w:space="0"/>
              <w:right w:val="single" w:color="auto" w:sz="4" w:space="0"/>
            </w:tcBorders>
          </w:tcPr>
          <w:p w14:paraId="16E88402"/>
        </w:tc>
      </w:tr>
      <w:tr w14:paraId="1024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pct"/>
            <w:tcBorders>
              <w:top w:val="single" w:color="auto" w:sz="4" w:space="0"/>
              <w:left w:val="single" w:color="auto" w:sz="4" w:space="0"/>
              <w:bottom w:val="single" w:color="auto" w:sz="4" w:space="0"/>
              <w:right w:val="single" w:color="auto" w:sz="4" w:space="0"/>
            </w:tcBorders>
            <w:vAlign w:val="center"/>
          </w:tcPr>
          <w:p w14:paraId="030FCFAE">
            <w:r>
              <w:rPr>
                <w:rFonts w:hint="eastAsia" w:ascii="宋体" w:hAnsi="宋体"/>
                <w:sz w:val="15"/>
                <w:szCs w:val="15"/>
              </w:rPr>
              <w:t>威海国际海洋商品交易中心有限公司</w:t>
            </w:r>
          </w:p>
        </w:tc>
        <w:tc>
          <w:tcPr>
            <w:tcW w:w="404" w:type="pct"/>
            <w:tcBorders>
              <w:top w:val="single" w:color="auto" w:sz="4" w:space="0"/>
              <w:left w:val="single" w:color="auto" w:sz="4" w:space="0"/>
              <w:bottom w:val="single" w:color="auto" w:sz="4" w:space="0"/>
              <w:right w:val="single" w:color="auto" w:sz="4" w:space="0"/>
            </w:tcBorders>
            <w:vAlign w:val="center"/>
          </w:tcPr>
          <w:p w14:paraId="109F0860">
            <w:pPr>
              <w:jc w:val="right"/>
            </w:pPr>
            <w:r>
              <w:rPr>
                <w:sz w:val="15"/>
                <w:szCs w:val="15"/>
              </w:rPr>
              <w:t>2,342,662.04</w:t>
            </w:r>
          </w:p>
        </w:tc>
        <w:tc>
          <w:tcPr>
            <w:tcW w:w="406" w:type="pct"/>
            <w:tcBorders>
              <w:top w:val="single" w:color="auto" w:sz="4" w:space="0"/>
              <w:left w:val="single" w:color="auto" w:sz="4" w:space="0"/>
              <w:bottom w:val="single" w:color="auto" w:sz="4" w:space="0"/>
              <w:right w:val="single" w:color="auto" w:sz="4" w:space="0"/>
            </w:tcBorders>
          </w:tcPr>
          <w:p w14:paraId="40110D44">
            <w:pPr>
              <w:jc w:val="right"/>
            </w:pPr>
          </w:p>
        </w:tc>
        <w:tc>
          <w:tcPr>
            <w:tcW w:w="358" w:type="pct"/>
            <w:tcBorders>
              <w:top w:val="single" w:color="auto" w:sz="4" w:space="0"/>
              <w:left w:val="single" w:color="auto" w:sz="4" w:space="0"/>
              <w:bottom w:val="single" w:color="auto" w:sz="4" w:space="0"/>
              <w:right w:val="single" w:color="auto" w:sz="4" w:space="0"/>
            </w:tcBorders>
          </w:tcPr>
          <w:p w14:paraId="6936B1A2">
            <w:pPr>
              <w:jc w:val="right"/>
            </w:pPr>
          </w:p>
        </w:tc>
        <w:tc>
          <w:tcPr>
            <w:tcW w:w="450" w:type="pct"/>
            <w:tcBorders>
              <w:top w:val="single" w:color="auto" w:sz="4" w:space="0"/>
              <w:left w:val="single" w:color="auto" w:sz="4" w:space="0"/>
              <w:bottom w:val="single" w:color="auto" w:sz="4" w:space="0"/>
              <w:right w:val="single" w:color="auto" w:sz="4" w:space="0"/>
            </w:tcBorders>
          </w:tcPr>
          <w:p w14:paraId="72497C13">
            <w:pPr>
              <w:jc w:val="right"/>
            </w:pPr>
          </w:p>
        </w:tc>
        <w:tc>
          <w:tcPr>
            <w:tcW w:w="416" w:type="pct"/>
            <w:tcBorders>
              <w:top w:val="single" w:color="auto" w:sz="4" w:space="0"/>
              <w:left w:val="single" w:color="auto" w:sz="4" w:space="0"/>
              <w:bottom w:val="single" w:color="auto" w:sz="4" w:space="0"/>
              <w:right w:val="single" w:color="auto" w:sz="4" w:space="0"/>
            </w:tcBorders>
          </w:tcPr>
          <w:p w14:paraId="0829D825">
            <w:pPr>
              <w:jc w:val="right"/>
            </w:pPr>
          </w:p>
        </w:tc>
        <w:tc>
          <w:tcPr>
            <w:tcW w:w="345" w:type="pct"/>
            <w:tcBorders>
              <w:top w:val="single" w:color="auto" w:sz="4" w:space="0"/>
              <w:left w:val="single" w:color="auto" w:sz="4" w:space="0"/>
              <w:bottom w:val="single" w:color="auto" w:sz="4" w:space="0"/>
              <w:right w:val="single" w:color="auto" w:sz="4" w:space="0"/>
            </w:tcBorders>
          </w:tcPr>
          <w:p w14:paraId="4855C501">
            <w:pPr>
              <w:jc w:val="right"/>
            </w:pPr>
          </w:p>
        </w:tc>
        <w:tc>
          <w:tcPr>
            <w:tcW w:w="345" w:type="pct"/>
            <w:tcBorders>
              <w:top w:val="single" w:color="auto" w:sz="4" w:space="0"/>
              <w:left w:val="single" w:color="auto" w:sz="4" w:space="0"/>
              <w:bottom w:val="single" w:color="auto" w:sz="4" w:space="0"/>
              <w:right w:val="single" w:color="auto" w:sz="4" w:space="0"/>
            </w:tcBorders>
            <w:vAlign w:val="center"/>
          </w:tcPr>
          <w:p w14:paraId="1D738EBB">
            <w:pPr>
              <w:jc w:val="right"/>
              <w:rPr>
                <w:sz w:val="15"/>
                <w:szCs w:val="15"/>
              </w:rPr>
            </w:pPr>
            <w:r>
              <w:rPr>
                <w:sz w:val="15"/>
                <w:szCs w:val="15"/>
              </w:rPr>
              <w:t>2,342,662.0</w:t>
            </w:r>
            <w:r>
              <w:rPr>
                <w:rFonts w:hint="eastAsia"/>
                <w:sz w:val="15"/>
                <w:szCs w:val="15"/>
              </w:rPr>
              <w:t>4</w:t>
            </w:r>
          </w:p>
        </w:tc>
        <w:tc>
          <w:tcPr>
            <w:tcW w:w="399" w:type="pct"/>
            <w:tcBorders>
              <w:top w:val="single" w:color="auto" w:sz="4" w:space="0"/>
              <w:left w:val="single" w:color="auto" w:sz="4" w:space="0"/>
              <w:bottom w:val="single" w:color="auto" w:sz="4" w:space="0"/>
              <w:right w:val="single" w:color="auto" w:sz="4" w:space="0"/>
            </w:tcBorders>
          </w:tcPr>
          <w:p w14:paraId="75376DD4">
            <w:pPr>
              <w:jc w:val="right"/>
            </w:pPr>
          </w:p>
        </w:tc>
        <w:tc>
          <w:tcPr>
            <w:tcW w:w="399" w:type="pct"/>
            <w:tcBorders>
              <w:top w:val="single" w:color="auto" w:sz="4" w:space="0"/>
              <w:left w:val="single" w:color="auto" w:sz="4" w:space="0"/>
              <w:bottom w:val="single" w:color="auto" w:sz="4" w:space="0"/>
              <w:right w:val="single" w:color="auto" w:sz="4" w:space="0"/>
            </w:tcBorders>
          </w:tcPr>
          <w:p w14:paraId="6A7D4C4F">
            <w:pPr>
              <w:jc w:val="right"/>
            </w:pPr>
          </w:p>
        </w:tc>
        <w:tc>
          <w:tcPr>
            <w:tcW w:w="399" w:type="pct"/>
            <w:tcBorders>
              <w:top w:val="single" w:color="auto" w:sz="4" w:space="0"/>
              <w:left w:val="single" w:color="auto" w:sz="4" w:space="0"/>
              <w:bottom w:val="single" w:color="auto" w:sz="4" w:space="0"/>
              <w:right w:val="single" w:color="auto" w:sz="4" w:space="0"/>
            </w:tcBorders>
          </w:tcPr>
          <w:p w14:paraId="63E55AEC">
            <w:pPr>
              <w:jc w:val="right"/>
            </w:pPr>
          </w:p>
        </w:tc>
        <w:tc>
          <w:tcPr>
            <w:tcW w:w="395" w:type="pct"/>
            <w:tcBorders>
              <w:top w:val="single" w:color="auto" w:sz="4" w:space="0"/>
              <w:left w:val="single" w:color="auto" w:sz="4" w:space="0"/>
              <w:bottom w:val="single" w:color="auto" w:sz="4" w:space="0"/>
              <w:right w:val="single" w:color="auto" w:sz="4" w:space="0"/>
            </w:tcBorders>
          </w:tcPr>
          <w:p w14:paraId="70DE02F9"/>
        </w:tc>
      </w:tr>
      <w:tr w14:paraId="7A2D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pct"/>
            <w:tcBorders>
              <w:top w:val="single" w:color="auto" w:sz="4" w:space="0"/>
              <w:left w:val="single" w:color="auto" w:sz="4" w:space="0"/>
              <w:bottom w:val="single" w:color="auto" w:sz="4" w:space="0"/>
              <w:right w:val="single" w:color="auto" w:sz="4" w:space="0"/>
            </w:tcBorders>
            <w:vAlign w:val="center"/>
          </w:tcPr>
          <w:p w14:paraId="746DB14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404" w:type="pct"/>
            <w:tcBorders>
              <w:top w:val="single" w:color="auto" w:sz="4" w:space="0"/>
              <w:left w:val="single" w:color="auto" w:sz="4" w:space="0"/>
              <w:bottom w:val="single" w:color="auto" w:sz="4" w:space="0"/>
              <w:right w:val="single" w:color="auto" w:sz="4" w:space="0"/>
            </w:tcBorders>
            <w:vAlign w:val="center"/>
          </w:tcPr>
          <w:p w14:paraId="2F37B815">
            <w:pPr>
              <w:jc w:val="right"/>
            </w:pPr>
            <w:r>
              <w:rPr>
                <w:sz w:val="15"/>
                <w:szCs w:val="15"/>
              </w:rPr>
              <w:t>186,947,832.7</w:t>
            </w:r>
            <w:r>
              <w:rPr>
                <w:rFonts w:hint="eastAsia"/>
                <w:sz w:val="15"/>
                <w:szCs w:val="15"/>
              </w:rPr>
              <w:t>0</w:t>
            </w:r>
          </w:p>
        </w:tc>
        <w:tc>
          <w:tcPr>
            <w:tcW w:w="406" w:type="pct"/>
            <w:tcBorders>
              <w:top w:val="single" w:color="auto" w:sz="4" w:space="0"/>
              <w:left w:val="single" w:color="auto" w:sz="4" w:space="0"/>
              <w:bottom w:val="single" w:color="auto" w:sz="4" w:space="0"/>
              <w:right w:val="single" w:color="auto" w:sz="4" w:space="0"/>
            </w:tcBorders>
          </w:tcPr>
          <w:p w14:paraId="079DC0B2">
            <w:pPr>
              <w:jc w:val="right"/>
            </w:pPr>
          </w:p>
        </w:tc>
        <w:tc>
          <w:tcPr>
            <w:tcW w:w="358" w:type="pct"/>
            <w:tcBorders>
              <w:top w:val="single" w:color="auto" w:sz="4" w:space="0"/>
              <w:left w:val="single" w:color="auto" w:sz="4" w:space="0"/>
              <w:bottom w:val="single" w:color="auto" w:sz="4" w:space="0"/>
              <w:right w:val="single" w:color="auto" w:sz="4" w:space="0"/>
            </w:tcBorders>
          </w:tcPr>
          <w:p w14:paraId="49F60F95">
            <w:pPr>
              <w:jc w:val="right"/>
            </w:pPr>
          </w:p>
        </w:tc>
        <w:tc>
          <w:tcPr>
            <w:tcW w:w="450" w:type="pct"/>
            <w:tcBorders>
              <w:top w:val="single" w:color="auto" w:sz="4" w:space="0"/>
              <w:left w:val="single" w:color="auto" w:sz="4" w:space="0"/>
              <w:bottom w:val="single" w:color="auto" w:sz="4" w:space="0"/>
              <w:right w:val="single" w:color="auto" w:sz="4" w:space="0"/>
            </w:tcBorders>
          </w:tcPr>
          <w:p w14:paraId="7FC09354">
            <w:pPr>
              <w:jc w:val="right"/>
            </w:pPr>
          </w:p>
        </w:tc>
        <w:tc>
          <w:tcPr>
            <w:tcW w:w="416" w:type="pct"/>
            <w:tcBorders>
              <w:top w:val="single" w:color="auto" w:sz="4" w:space="0"/>
              <w:left w:val="single" w:color="auto" w:sz="4" w:space="0"/>
              <w:bottom w:val="single" w:color="auto" w:sz="4" w:space="0"/>
              <w:right w:val="single" w:color="auto" w:sz="4" w:space="0"/>
            </w:tcBorders>
          </w:tcPr>
          <w:p w14:paraId="19E0F34E">
            <w:pPr>
              <w:jc w:val="right"/>
            </w:pPr>
          </w:p>
        </w:tc>
        <w:tc>
          <w:tcPr>
            <w:tcW w:w="345" w:type="pct"/>
            <w:tcBorders>
              <w:top w:val="single" w:color="auto" w:sz="4" w:space="0"/>
              <w:left w:val="single" w:color="auto" w:sz="4" w:space="0"/>
              <w:bottom w:val="single" w:color="auto" w:sz="4" w:space="0"/>
              <w:right w:val="single" w:color="auto" w:sz="4" w:space="0"/>
            </w:tcBorders>
          </w:tcPr>
          <w:p w14:paraId="65E2BF7D">
            <w:pPr>
              <w:jc w:val="right"/>
            </w:pPr>
          </w:p>
        </w:tc>
        <w:tc>
          <w:tcPr>
            <w:tcW w:w="345" w:type="pct"/>
            <w:tcBorders>
              <w:top w:val="single" w:color="auto" w:sz="4" w:space="0"/>
              <w:left w:val="single" w:color="auto" w:sz="4" w:space="0"/>
              <w:bottom w:val="single" w:color="auto" w:sz="4" w:space="0"/>
              <w:right w:val="single" w:color="auto" w:sz="4" w:space="0"/>
            </w:tcBorders>
            <w:vAlign w:val="center"/>
          </w:tcPr>
          <w:p w14:paraId="46D91B8A">
            <w:pPr>
              <w:jc w:val="right"/>
              <w:rPr>
                <w:sz w:val="15"/>
                <w:szCs w:val="15"/>
              </w:rPr>
            </w:pPr>
            <w:r>
              <w:rPr>
                <w:sz w:val="15"/>
                <w:szCs w:val="15"/>
              </w:rPr>
              <w:t>186,947,832.70</w:t>
            </w:r>
          </w:p>
        </w:tc>
        <w:tc>
          <w:tcPr>
            <w:tcW w:w="399" w:type="pct"/>
            <w:tcBorders>
              <w:top w:val="single" w:color="auto" w:sz="4" w:space="0"/>
              <w:left w:val="single" w:color="auto" w:sz="4" w:space="0"/>
              <w:bottom w:val="single" w:color="auto" w:sz="4" w:space="0"/>
              <w:right w:val="single" w:color="auto" w:sz="4" w:space="0"/>
            </w:tcBorders>
          </w:tcPr>
          <w:p w14:paraId="12026403">
            <w:pPr>
              <w:jc w:val="right"/>
            </w:pPr>
          </w:p>
        </w:tc>
        <w:tc>
          <w:tcPr>
            <w:tcW w:w="399" w:type="pct"/>
            <w:tcBorders>
              <w:top w:val="single" w:color="auto" w:sz="4" w:space="0"/>
              <w:left w:val="single" w:color="auto" w:sz="4" w:space="0"/>
              <w:bottom w:val="single" w:color="auto" w:sz="4" w:space="0"/>
              <w:right w:val="single" w:color="auto" w:sz="4" w:space="0"/>
            </w:tcBorders>
          </w:tcPr>
          <w:p w14:paraId="00C389A1">
            <w:pPr>
              <w:jc w:val="right"/>
            </w:pPr>
          </w:p>
        </w:tc>
        <w:tc>
          <w:tcPr>
            <w:tcW w:w="399" w:type="pct"/>
            <w:tcBorders>
              <w:top w:val="single" w:color="auto" w:sz="4" w:space="0"/>
              <w:left w:val="single" w:color="auto" w:sz="4" w:space="0"/>
              <w:bottom w:val="single" w:color="auto" w:sz="4" w:space="0"/>
              <w:right w:val="single" w:color="auto" w:sz="4" w:space="0"/>
            </w:tcBorders>
          </w:tcPr>
          <w:p w14:paraId="6883A45A">
            <w:pPr>
              <w:jc w:val="right"/>
            </w:pPr>
          </w:p>
        </w:tc>
        <w:tc>
          <w:tcPr>
            <w:tcW w:w="395" w:type="pct"/>
            <w:tcBorders>
              <w:top w:val="single" w:color="auto" w:sz="4" w:space="0"/>
              <w:left w:val="single" w:color="auto" w:sz="4" w:space="0"/>
              <w:bottom w:val="single" w:color="auto" w:sz="4" w:space="0"/>
              <w:right w:val="single" w:color="auto" w:sz="4" w:space="0"/>
            </w:tcBorders>
          </w:tcPr>
          <w:p w14:paraId="1D44F9C0">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bl>
    <w:p w14:paraId="4EDC9B75">
      <w:pPr>
        <w:pStyle w:val="82"/>
        <w:ind w:firstLine="0" w:firstLineChars="0"/>
        <w:rPr>
          <w:color w:val="000000" w:themeColor="text1"/>
          <w14:textFill>
            <w14:solidFill>
              <w14:schemeClr w14:val="tx1"/>
            </w14:solidFill>
          </w14:textFill>
        </w:rPr>
      </w:pPr>
    </w:p>
    <w:bookmarkEnd w:id="279"/>
    <w:p w14:paraId="0044BACA">
      <w:pPr>
        <w:pStyle w:val="5"/>
        <w:numPr>
          <w:ilvl w:val="3"/>
          <w:numId w:val="67"/>
        </w:numPr>
        <w:ind w:left="426" w:hanging="426"/>
        <w:rPr>
          <w:color w:val="000000" w:themeColor="text1"/>
          <w14:textFill>
            <w14:solidFill>
              <w14:schemeClr w14:val="tx1"/>
            </w14:solidFill>
          </w14:textFill>
        </w:rPr>
      </w:pPr>
      <w:r>
        <w:rPr>
          <w:rFonts w:hint="eastAsia"/>
          <w:color w:val="000000" w:themeColor="text1"/>
          <w14:textFill>
            <w14:solidFill>
              <w14:schemeClr w14:val="tx1"/>
            </w14:solidFill>
          </w14:textFill>
        </w:rPr>
        <w:t>本期存在终止确认的情况说明</w:t>
      </w:r>
    </w:p>
    <w:sdt>
      <w:sdtPr>
        <w:rPr>
          <w:color w:val="000000" w:themeColor="text1"/>
          <w14:textFill>
            <w14:solidFill>
              <w14:schemeClr w14:val="tx1"/>
            </w14:solidFill>
          </w14:textFill>
        </w:rPr>
        <w:alias w:val="是否适用：本期存在终止确认的情况说明[双击切换]"/>
        <w:tag w:val="_GBC_db77b2aaae65441d940bf2dc3b0e8b9b"/>
        <w:id w:val="777370307"/>
        <w:placeholder>
          <w:docPart w:val="GBC22222222222222222222222222222"/>
        </w:placeholder>
      </w:sdtPr>
      <w:sdtEndPr>
        <w:rPr>
          <w:color w:val="000000" w:themeColor="text1"/>
          <w14:textFill>
            <w14:solidFill>
              <w14:schemeClr w14:val="tx1"/>
            </w14:solidFill>
          </w14:textFill>
        </w:rPr>
      </w:sdtEndPr>
      <w:sdtContent>
        <w:p w14:paraId="07DCE8C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2012694">
      <w:pPr>
        <w:rPr>
          <w:color w:val="000000" w:themeColor="text1"/>
          <w14:textFill>
            <w14:solidFill>
              <w14:schemeClr w14:val="tx1"/>
            </w14:solidFill>
          </w14:textFill>
        </w:rPr>
      </w:pPr>
    </w:p>
    <w:bookmarkEnd w:id="280"/>
    <w:p w14:paraId="40DB77A2">
      <w:pPr>
        <w:rPr>
          <w:color w:val="000000" w:themeColor="text1"/>
          <w14:textFill>
            <w14:solidFill>
              <w14:schemeClr w14:val="tx1"/>
            </w14:solidFill>
          </w14:textFill>
        </w:rPr>
      </w:pPr>
      <w:bookmarkStart w:id="282" w:name="_Hlk10472110"/>
      <w:bookmarkStart w:id="283" w:name="_Hlk10472118"/>
      <w:r>
        <w:rPr>
          <w:rFonts w:hint="eastAsia"/>
          <w:color w:val="000000" w:themeColor="text1"/>
          <w14:textFill>
            <w14:solidFill>
              <w14:schemeClr w14:val="tx1"/>
            </w14:solidFill>
          </w14:textFill>
        </w:rPr>
        <w:t>其他</w:t>
      </w:r>
      <w:r>
        <w:rPr>
          <w:color w:val="000000" w:themeColor="text1"/>
          <w14:textFill>
            <w14:solidFill>
              <w14:schemeClr w14:val="tx1"/>
            </w14:solidFill>
          </w14:textFill>
        </w:rPr>
        <w:t>说明</w:t>
      </w:r>
      <w:r>
        <w:rPr>
          <w:rFonts w:hint="eastAsia"/>
          <w:color w:val="000000" w:themeColor="text1"/>
          <w14:textFill>
            <w14:solidFill>
              <w14:schemeClr w14:val="tx1"/>
            </w14:solidFill>
          </w14:textFill>
        </w:rPr>
        <w:t>：</w:t>
      </w:r>
      <w:bookmarkEnd w:id="282"/>
    </w:p>
    <w:sdt>
      <w:sdtPr>
        <w:rPr>
          <w:color w:val="000000" w:themeColor="text1"/>
          <w14:textFill>
            <w14:solidFill>
              <w14:schemeClr w14:val="tx1"/>
            </w14:solidFill>
          </w14:textFill>
        </w:rPr>
        <w:alias w:val="是否适用：其他权益工具投资其他说明[双击切换]"/>
        <w:tag w:val="_GBC_9bd79d8d324a4f4c984344781e18ee35"/>
        <w:id w:val="-894126529"/>
        <w:placeholder>
          <w:docPart w:val="GBC22222222222222222222222222222"/>
        </w:placeholder>
      </w:sdtPr>
      <w:sdtEndPr>
        <w:rPr>
          <w:color w:val="000000" w:themeColor="text1"/>
          <w14:textFill>
            <w14:solidFill>
              <w14:schemeClr w14:val="tx1"/>
            </w14:solidFill>
          </w14:textFill>
        </w:rPr>
      </w:sdtEndPr>
      <w:sdtContent>
        <w:p w14:paraId="341143A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55E641F">
      <w:pPr>
        <w:snapToGrid w:val="0"/>
        <w:spacing w:line="240" w:lineRule="atLeast"/>
        <w:rPr>
          <w:color w:val="000000" w:themeColor="text1"/>
          <w14:textFill>
            <w14:solidFill>
              <w14:schemeClr w14:val="tx1"/>
            </w14:solidFill>
          </w14:textFill>
        </w:rPr>
      </w:pPr>
    </w:p>
    <w:bookmarkEnd w:id="283"/>
    <w:p w14:paraId="6133C10B">
      <w:pPr>
        <w:rPr>
          <w:bCs w:val="0"/>
        </w:rPr>
        <w:sectPr>
          <w:pgSz w:w="16838" w:h="11906" w:orient="landscape"/>
          <w:pgMar w:top="1797" w:right="1525" w:bottom="1276" w:left="1440" w:header="856" w:footer="992" w:gutter="0"/>
          <w:cols w:space="425" w:num="1"/>
          <w:docGrid w:linePitch="312" w:charSpace="0"/>
        </w:sectPr>
      </w:pPr>
      <w:bookmarkStart w:id="284" w:name="_Hlk10472259"/>
    </w:p>
    <w:p w14:paraId="19819D4A">
      <w:pPr>
        <w:rPr>
          <w:bCs w:val="0"/>
        </w:rPr>
      </w:pPr>
    </w:p>
    <w:p w14:paraId="1C7BCEA4">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其他非流动金融资产</w:t>
      </w:r>
    </w:p>
    <w:sdt>
      <w:sdtPr>
        <w:rPr>
          <w:color w:val="000000" w:themeColor="text1"/>
          <w14:textFill>
            <w14:solidFill>
              <w14:schemeClr w14:val="tx1"/>
            </w14:solidFill>
          </w14:textFill>
        </w:rPr>
        <w:alias w:val="是否适用：其他非流动金融资产[双击切换]"/>
        <w:tag w:val="_GBC_39a16d6030db4b008bd8e70705c49dd5"/>
        <w:id w:val="-264996758"/>
        <w:placeholder>
          <w:docPart w:val="GBC22222222222222222222222222222"/>
        </w:placeholder>
      </w:sdtPr>
      <w:sdtEndPr>
        <w:rPr>
          <w:color w:val="000000" w:themeColor="text1"/>
          <w14:textFill>
            <w14:solidFill>
              <w14:schemeClr w14:val="tx1"/>
            </w14:solidFill>
          </w14:textFill>
        </w:rPr>
      </w:sdtEndPr>
      <w:sdtContent>
        <w:p w14:paraId="54B32A3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8685CFE">
      <w:pPr>
        <w:pStyle w:val="55"/>
        <w:ind w:left="420" w:firstLine="0" w:firstLineChars="0"/>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单位：</w:t>
      </w:r>
      <w:sdt>
        <w:sdtPr>
          <w:rPr>
            <w:rFonts w:hint="eastAsia" w:ascii="宋体" w:hAnsi="宋体"/>
            <w:color w:val="000000" w:themeColor="text1"/>
            <w14:textFill>
              <w14:solidFill>
                <w14:schemeClr w14:val="tx1"/>
              </w14:solidFill>
            </w14:textFill>
          </w:rPr>
          <w:alias w:val="单位：其他非流动金融资产"/>
          <w:tag w:val="_GBC_5b71e344ee4a4b75b4e1ad6a64a64951"/>
          <w:id w:val="-7102605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color w:val="000000" w:themeColor="text1"/>
            <w14:textFill>
              <w14:solidFill>
                <w14:schemeClr w14:val="tx1"/>
              </w14:solidFill>
            </w14:textFill>
          </w:rPr>
        </w:sdtEndPr>
        <w:sdtContent>
          <w:r>
            <w:rPr>
              <w:rFonts w:hint="eastAsia" w:ascii="宋体" w:hAnsi="宋体"/>
              <w:color w:val="000000" w:themeColor="text1"/>
              <w14:textFill>
                <w14:solidFill>
                  <w14:schemeClr w14:val="tx1"/>
                </w14:solidFill>
              </w14:textFill>
            </w:rPr>
            <w:t>元</w:t>
          </w:r>
        </w:sdtContent>
      </w:sdt>
      <w:r>
        <w:rPr>
          <w:rFonts w:hint="eastAsia" w:ascii="宋体" w:hAnsi="宋体"/>
          <w:color w:val="000000" w:themeColor="text1"/>
          <w14:textFill>
            <w14:solidFill>
              <w14:schemeClr w14:val="tx1"/>
            </w14:solidFill>
          </w14:textFill>
        </w:rPr>
        <w:t xml:space="preserve">  币种：</w:t>
      </w:r>
      <w:sdt>
        <w:sdtPr>
          <w:rPr>
            <w:rFonts w:hint="eastAsia" w:ascii="宋体" w:hAnsi="宋体"/>
            <w:color w:val="000000" w:themeColor="text1"/>
            <w14:textFill>
              <w14:solidFill>
                <w14:schemeClr w14:val="tx1"/>
              </w14:solidFill>
            </w14:textFill>
          </w:rPr>
          <w:alias w:val="币种：其他非流动金融资产"/>
          <w:tag w:val="_GBC_328ac62ac4c04ba5a240d189e78801d2"/>
          <w:id w:val="-14099919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宋体" w:hAnsi="宋体"/>
            <w:color w:val="000000" w:themeColor="text1"/>
            <w14:textFill>
              <w14:solidFill>
                <w14:schemeClr w14:val="tx1"/>
              </w14:solidFill>
            </w14:textFill>
          </w:rPr>
        </w:sdtEndPr>
        <w:sdtContent>
          <w:r>
            <w:rPr>
              <w:rFonts w:hint="eastAsia" w:ascii="宋体" w:hAnsi="宋体"/>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9"/>
        <w:gridCol w:w="2620"/>
        <w:gridCol w:w="2644"/>
      </w:tblGrid>
      <w:tr w14:paraId="529C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368e897e0b6d4c33891110578462f85a"/>
            <w:id w:val="255945266"/>
          </w:sdtPr>
          <w:sdtContent>
            <w:tc>
              <w:tcPr>
                <w:tcW w:w="2017" w:type="pct"/>
                <w:vAlign w:val="center"/>
              </w:tcPr>
              <w:p w14:paraId="56C47F9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1b9292064fbf4f529dddfa8a709ecb23"/>
            <w:id w:val="1546481692"/>
          </w:sdtPr>
          <w:sdtContent>
            <w:tc>
              <w:tcPr>
                <w:tcW w:w="1485" w:type="pct"/>
                <w:vAlign w:val="center"/>
              </w:tcPr>
              <w:p w14:paraId="4B60E0A3">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eb417a8c21ba4afd967834600316003d"/>
            <w:id w:val="881291157"/>
          </w:sdtPr>
          <w:sdtContent>
            <w:tc>
              <w:tcPr>
                <w:tcW w:w="1498" w:type="pct"/>
                <w:vAlign w:val="center"/>
              </w:tcPr>
              <w:p w14:paraId="5E9699F1">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2D1F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5AC2AA00">
            <w:r>
              <w:rPr>
                <w:rFonts w:hint="eastAsia" w:ascii="宋体" w:hAnsi="宋体"/>
              </w:rPr>
              <w:t>天津架桥富凯股权投资基金企业（有限合伙）</w:t>
            </w:r>
          </w:p>
        </w:tc>
        <w:tc>
          <w:tcPr>
            <w:tcW w:w="1485" w:type="pct"/>
          </w:tcPr>
          <w:p w14:paraId="79009B63">
            <w:pPr>
              <w:jc w:val="right"/>
            </w:pPr>
          </w:p>
        </w:tc>
        <w:tc>
          <w:tcPr>
            <w:tcW w:w="1498" w:type="pct"/>
            <w:vAlign w:val="center"/>
          </w:tcPr>
          <w:p w14:paraId="2756198E">
            <w:pPr>
              <w:jc w:val="right"/>
            </w:pPr>
            <w:r>
              <w:t>717,978.03</w:t>
            </w:r>
          </w:p>
        </w:tc>
      </w:tr>
      <w:tr w14:paraId="63B76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1F5B5D96">
            <w:r>
              <w:rPr>
                <w:rFonts w:hint="eastAsia" w:ascii="宋体" w:hAnsi="宋体"/>
              </w:rPr>
              <w:t>厦门架桥富凯二号股权投资基金合伙企业（有限合伙）</w:t>
            </w:r>
          </w:p>
        </w:tc>
        <w:tc>
          <w:tcPr>
            <w:tcW w:w="1485" w:type="pct"/>
            <w:vAlign w:val="center"/>
          </w:tcPr>
          <w:p w14:paraId="0F21FE04">
            <w:pPr>
              <w:jc w:val="right"/>
            </w:pPr>
            <w:r>
              <w:t>1,188,672.25</w:t>
            </w:r>
          </w:p>
        </w:tc>
        <w:tc>
          <w:tcPr>
            <w:tcW w:w="1498" w:type="pct"/>
            <w:vAlign w:val="center"/>
          </w:tcPr>
          <w:p w14:paraId="261A8D9C">
            <w:pPr>
              <w:jc w:val="right"/>
            </w:pPr>
            <w:r>
              <w:t>1,188,962.32</w:t>
            </w:r>
          </w:p>
        </w:tc>
      </w:tr>
      <w:tr w14:paraId="5F44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vAlign w:val="center"/>
          </w:tcPr>
          <w:p w14:paraId="0F36418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485" w:type="pct"/>
          </w:tcPr>
          <w:p w14:paraId="2F7BCBDA">
            <w:pPr>
              <w:jc w:val="right"/>
            </w:pPr>
            <w:r>
              <w:t>1,188,672.25</w:t>
            </w:r>
          </w:p>
        </w:tc>
        <w:tc>
          <w:tcPr>
            <w:tcW w:w="1498" w:type="pct"/>
            <w:vAlign w:val="center"/>
          </w:tcPr>
          <w:p w14:paraId="3B4849CE">
            <w:pPr>
              <w:jc w:val="right"/>
            </w:pPr>
            <w:r>
              <w:t>1,906,940.35</w:t>
            </w:r>
          </w:p>
        </w:tc>
      </w:tr>
    </w:tbl>
    <w:p w14:paraId="56B17685">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r>
        <w:rPr>
          <w:color w:val="000000" w:themeColor="text1"/>
          <w14:textFill>
            <w14:solidFill>
              <w14:schemeClr w14:val="tx1"/>
            </w14:solidFill>
          </w14:textFill>
        </w:rPr>
        <w:t>说明</w:t>
      </w:r>
      <w:r>
        <w:rPr>
          <w:rFonts w:hint="eastAsia"/>
          <w:color w:val="000000" w:themeColor="text1"/>
          <w14:textFill>
            <w14:solidFill>
              <w14:schemeClr w14:val="tx1"/>
            </w14:solidFill>
          </w14:textFill>
        </w:rPr>
        <w:t>：</w:t>
      </w:r>
    </w:p>
    <w:sdt>
      <w:sdtPr>
        <w:rPr>
          <w:color w:val="000000" w:themeColor="text1"/>
          <w14:textFill>
            <w14:solidFill>
              <w14:schemeClr w14:val="tx1"/>
            </w14:solidFill>
          </w14:textFill>
        </w:rPr>
        <w:alias w:val="其他非流动金融资产其他说明"/>
        <w:tag w:val="_GBC_37b8dcc3b7224862a4fd92cb9cb0847a"/>
        <w:id w:val="325412415"/>
        <w:placeholder>
          <w:docPart w:val="GBC22222222222222222222222222222"/>
        </w:placeholder>
      </w:sdtPr>
      <w:sdtEndPr>
        <w:rPr>
          <w:color w:val="000000" w:themeColor="text1"/>
          <w14:textFill>
            <w14:solidFill>
              <w14:schemeClr w14:val="tx1"/>
            </w14:solidFill>
          </w14:textFill>
        </w:rPr>
      </w:sdtEndPr>
      <w:sdtContent>
        <w:p w14:paraId="711CB763">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75B44075">
      <w:pPr>
        <w:rPr>
          <w:color w:val="000000" w:themeColor="text1"/>
          <w14:textFill>
            <w14:solidFill>
              <w14:schemeClr w14:val="tx1"/>
            </w14:solidFill>
          </w14:textFill>
        </w:rPr>
      </w:pPr>
    </w:p>
    <w:bookmarkEnd w:id="284"/>
    <w:p w14:paraId="1F19AD23">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投资性房地产</w:t>
      </w:r>
    </w:p>
    <w:p w14:paraId="3713C918">
      <w:pPr>
        <w:rPr>
          <w:color w:val="000000" w:themeColor="text1"/>
          <w14:textFill>
            <w14:solidFill>
              <w14:schemeClr w14:val="tx1"/>
            </w14:solidFill>
          </w14:textFill>
        </w:rPr>
      </w:pPr>
      <w:r>
        <w:rPr>
          <w:color w:val="000000" w:themeColor="text1"/>
          <w14:textFill>
            <w14:solidFill>
              <w14:schemeClr w14:val="tx1"/>
            </w14:solidFill>
          </w14:textFill>
        </w:rPr>
        <w:t>投资性房地产</w:t>
      </w:r>
      <w:r>
        <w:rPr>
          <w:rFonts w:hint="eastAsia"/>
          <w:color w:val="000000" w:themeColor="text1"/>
          <w14:textFill>
            <w14:solidFill>
              <w14:schemeClr w14:val="tx1"/>
            </w14:solidFill>
          </w14:textFill>
        </w:rPr>
        <w:t>计量模式</w:t>
      </w:r>
    </w:p>
    <w:p w14:paraId="0D166C19">
      <w:pPr>
        <w:pStyle w:val="5"/>
        <w:numPr>
          <w:ilvl w:val="0"/>
          <w:numId w:val="68"/>
        </w:numPr>
        <w:tabs>
          <w:tab w:val="left" w:pos="616"/>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采用成本计量模式的投资性房地产</w:t>
      </w:r>
    </w:p>
    <w:p w14:paraId="303DAE69">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投资性房地产"/>
          <w:tag w:val="_GBC_3315dd1b9cb743c786e01b4b9e91b10d"/>
          <w:id w:val="-7149666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投资性房地产"/>
          <w:tag w:val="_GBC_424f36c4f1bf48ce8d47b51437412ff8"/>
          <w:id w:val="-16291630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2"/>
        <w:gridCol w:w="1703"/>
        <w:gridCol w:w="1685"/>
        <w:gridCol w:w="1576"/>
        <w:gridCol w:w="1597"/>
      </w:tblGrid>
      <w:tr w14:paraId="0A5B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sdt>
          <w:sdtPr>
            <w:tag w:val="_PLD_f82c9789feaf4b508c71ad4b5e91a0e5"/>
            <w:id w:val="-1452628741"/>
          </w:sdtPr>
          <w:sdtContent>
            <w:tc>
              <w:tcPr>
                <w:tcW w:w="1282" w:type="pct"/>
                <w:tcBorders>
                  <w:top w:val="single" w:color="auto" w:sz="4" w:space="0"/>
                  <w:left w:val="single" w:color="auto" w:sz="4" w:space="0"/>
                  <w:bottom w:val="single" w:color="auto" w:sz="4" w:space="0"/>
                  <w:right w:val="single" w:color="auto" w:sz="4" w:space="0"/>
                </w:tcBorders>
                <w:vAlign w:val="center"/>
              </w:tcPr>
              <w:p w14:paraId="4958B5E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9acf20e2f08a4439b18de021843e599c"/>
            <w:id w:val="-1754661547"/>
          </w:sdtPr>
          <w:sdtContent>
            <w:tc>
              <w:tcPr>
                <w:tcW w:w="965" w:type="pct"/>
                <w:tcBorders>
                  <w:top w:val="single" w:color="auto" w:sz="4" w:space="0"/>
                  <w:left w:val="single" w:color="auto" w:sz="4" w:space="0"/>
                  <w:bottom w:val="single" w:color="auto" w:sz="4" w:space="0"/>
                  <w:right w:val="single" w:color="auto" w:sz="4" w:space="0"/>
                </w:tcBorders>
                <w:vAlign w:val="center"/>
              </w:tcPr>
              <w:p w14:paraId="6B465A5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房屋、建筑物</w:t>
                </w:r>
              </w:p>
            </w:tc>
          </w:sdtContent>
        </w:sdt>
        <w:sdt>
          <w:sdtPr>
            <w:tag w:val="_PLD_4f977bf68eee455fb4656653927db6b6"/>
            <w:id w:val="393169015"/>
          </w:sdtPr>
          <w:sdtContent>
            <w:tc>
              <w:tcPr>
                <w:tcW w:w="955" w:type="pct"/>
                <w:tcBorders>
                  <w:top w:val="single" w:color="auto" w:sz="4" w:space="0"/>
                  <w:left w:val="single" w:color="auto" w:sz="4" w:space="0"/>
                  <w:bottom w:val="single" w:color="auto" w:sz="4" w:space="0"/>
                  <w:right w:val="single" w:color="auto" w:sz="4" w:space="0"/>
                </w:tcBorders>
                <w:vAlign w:val="center"/>
              </w:tcPr>
              <w:p w14:paraId="0505BBF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土地使用权</w:t>
                </w:r>
              </w:p>
            </w:tc>
          </w:sdtContent>
        </w:sdt>
        <w:sdt>
          <w:sdtPr>
            <w:tag w:val="_PLD_2cb3e53634aa4730a0686d5243244bc5"/>
            <w:id w:val="1428610005"/>
          </w:sdtPr>
          <w:sdtContent>
            <w:tc>
              <w:tcPr>
                <w:tcW w:w="893" w:type="pct"/>
                <w:tcBorders>
                  <w:top w:val="single" w:color="auto" w:sz="4" w:space="0"/>
                  <w:left w:val="single" w:color="auto" w:sz="4" w:space="0"/>
                  <w:bottom w:val="single" w:color="auto" w:sz="4" w:space="0"/>
                  <w:right w:val="single" w:color="auto" w:sz="4" w:space="0"/>
                </w:tcBorders>
                <w:vAlign w:val="center"/>
              </w:tcPr>
              <w:p w14:paraId="4809ABD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在建工程</w:t>
                </w:r>
              </w:p>
            </w:tc>
          </w:sdtContent>
        </w:sdt>
        <w:sdt>
          <w:sdtPr>
            <w:tag w:val="_PLD_51485c0f99734a81b5c4137837506697"/>
            <w:id w:val="-251208191"/>
          </w:sdtPr>
          <w:sdtContent>
            <w:tc>
              <w:tcPr>
                <w:tcW w:w="905" w:type="pct"/>
                <w:tcBorders>
                  <w:top w:val="single" w:color="auto" w:sz="4" w:space="0"/>
                  <w:left w:val="single" w:color="auto" w:sz="4" w:space="0"/>
                  <w:bottom w:val="single" w:color="auto" w:sz="4" w:space="0"/>
                  <w:right w:val="single" w:color="auto" w:sz="4" w:space="0"/>
                </w:tcBorders>
                <w:vAlign w:val="center"/>
              </w:tcPr>
              <w:p w14:paraId="3612CD5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sdtContent>
        </w:sdt>
      </w:tr>
      <w:tr w14:paraId="2D5D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sdt>
          <w:sdtPr>
            <w:tag w:val="_PLD_9e97c75701d54838ab5408284eada7b8"/>
            <w:id w:val="674001833"/>
          </w:sdtPr>
          <w:sdtContent>
            <w:tc>
              <w:tcPr>
                <w:tcW w:w="5000" w:type="pct"/>
                <w:gridSpan w:val="5"/>
                <w:tcBorders>
                  <w:top w:val="single" w:color="auto" w:sz="4" w:space="0"/>
                  <w:left w:val="single" w:color="auto" w:sz="4" w:space="0"/>
                  <w:bottom w:val="single" w:color="auto" w:sz="4" w:space="0"/>
                  <w:right w:val="single" w:color="auto" w:sz="4" w:space="0"/>
                </w:tcBorders>
              </w:tcPr>
              <w:p w14:paraId="76D6E6B1">
                <w:pPr>
                  <w:rPr>
                    <w:color w:val="000000" w:themeColor="text1"/>
                    <w14:textFill>
                      <w14:solidFill>
                        <w14:schemeClr w14:val="tx1"/>
                      </w14:solidFill>
                    </w14:textFill>
                  </w:rPr>
                </w:pPr>
                <w:r>
                  <w:rPr>
                    <w:rFonts w:hint="eastAsia"/>
                    <w:color w:val="000000" w:themeColor="text1"/>
                    <w14:textFill>
                      <w14:solidFill>
                        <w14:schemeClr w14:val="tx1"/>
                      </w14:solidFill>
                    </w14:textFill>
                  </w:rPr>
                  <w:t>一、账面原值</w:t>
                </w:r>
              </w:p>
            </w:tc>
          </w:sdtContent>
        </w:sdt>
      </w:tr>
      <w:tr w14:paraId="313C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82" w:type="pct"/>
            <w:tcBorders>
              <w:top w:val="single" w:color="auto" w:sz="4" w:space="0"/>
              <w:left w:val="single" w:color="auto" w:sz="4" w:space="0"/>
              <w:bottom w:val="single" w:color="auto" w:sz="4" w:space="0"/>
              <w:right w:val="single" w:color="auto" w:sz="4" w:space="0"/>
            </w:tcBorders>
          </w:tcPr>
          <w:p w14:paraId="675B656F">
            <w:pP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期初余额</w:t>
            </w:r>
          </w:p>
        </w:tc>
        <w:tc>
          <w:tcPr>
            <w:tcW w:w="965" w:type="pct"/>
            <w:tcBorders>
              <w:top w:val="single" w:color="auto" w:sz="4" w:space="0"/>
              <w:left w:val="single" w:color="auto" w:sz="4" w:space="0"/>
              <w:bottom w:val="single" w:color="auto" w:sz="4" w:space="0"/>
              <w:right w:val="single" w:color="auto" w:sz="4" w:space="0"/>
            </w:tcBorders>
          </w:tcPr>
          <w:p w14:paraId="384F4EA8">
            <w:pPr>
              <w:jc w:val="right"/>
            </w:pPr>
            <w:r>
              <w:t>88,092,500.51</w:t>
            </w:r>
          </w:p>
        </w:tc>
        <w:tc>
          <w:tcPr>
            <w:tcW w:w="955" w:type="pct"/>
            <w:tcBorders>
              <w:top w:val="single" w:color="auto" w:sz="4" w:space="0"/>
              <w:left w:val="single" w:color="auto" w:sz="4" w:space="0"/>
              <w:bottom w:val="single" w:color="auto" w:sz="4" w:space="0"/>
              <w:right w:val="single" w:color="auto" w:sz="4" w:space="0"/>
            </w:tcBorders>
          </w:tcPr>
          <w:p w14:paraId="55895C1F">
            <w:pPr>
              <w:jc w:val="right"/>
            </w:pPr>
          </w:p>
        </w:tc>
        <w:tc>
          <w:tcPr>
            <w:tcW w:w="893" w:type="pct"/>
            <w:tcBorders>
              <w:top w:val="single" w:color="auto" w:sz="4" w:space="0"/>
              <w:left w:val="single" w:color="auto" w:sz="4" w:space="0"/>
              <w:bottom w:val="single" w:color="auto" w:sz="4" w:space="0"/>
              <w:right w:val="single" w:color="auto" w:sz="4" w:space="0"/>
            </w:tcBorders>
          </w:tcPr>
          <w:p w14:paraId="119FE9FB">
            <w:pPr>
              <w:jc w:val="right"/>
            </w:pPr>
          </w:p>
        </w:tc>
        <w:tc>
          <w:tcPr>
            <w:tcW w:w="905" w:type="pct"/>
            <w:tcBorders>
              <w:top w:val="single" w:color="auto" w:sz="4" w:space="0"/>
              <w:left w:val="single" w:color="auto" w:sz="4" w:space="0"/>
              <w:bottom w:val="single" w:color="auto" w:sz="4" w:space="0"/>
              <w:right w:val="single" w:color="auto" w:sz="4" w:space="0"/>
            </w:tcBorders>
          </w:tcPr>
          <w:p w14:paraId="3EDFF80F">
            <w:pPr>
              <w:jc w:val="right"/>
            </w:pPr>
            <w:r>
              <w:t>88,092,500.51</w:t>
            </w:r>
          </w:p>
        </w:tc>
      </w:tr>
      <w:tr w14:paraId="6694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82" w:type="pct"/>
            <w:tcBorders>
              <w:top w:val="single" w:color="auto" w:sz="4" w:space="0"/>
              <w:left w:val="single" w:color="auto" w:sz="4" w:space="0"/>
              <w:bottom w:val="single" w:color="auto" w:sz="4" w:space="0"/>
              <w:right w:val="single" w:color="auto" w:sz="4" w:space="0"/>
            </w:tcBorders>
          </w:tcPr>
          <w:p w14:paraId="6AEE7010">
            <w:pPr>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本期增加金额</w:t>
            </w:r>
          </w:p>
        </w:tc>
        <w:tc>
          <w:tcPr>
            <w:tcW w:w="965" w:type="pct"/>
            <w:tcBorders>
              <w:top w:val="single" w:color="auto" w:sz="4" w:space="0"/>
              <w:left w:val="single" w:color="auto" w:sz="4" w:space="0"/>
              <w:bottom w:val="single" w:color="auto" w:sz="4" w:space="0"/>
              <w:right w:val="single" w:color="auto" w:sz="4" w:space="0"/>
            </w:tcBorders>
          </w:tcPr>
          <w:p w14:paraId="584E1663">
            <w:pPr>
              <w:jc w:val="right"/>
            </w:pPr>
          </w:p>
        </w:tc>
        <w:tc>
          <w:tcPr>
            <w:tcW w:w="955" w:type="pct"/>
            <w:tcBorders>
              <w:top w:val="single" w:color="auto" w:sz="4" w:space="0"/>
              <w:left w:val="single" w:color="auto" w:sz="4" w:space="0"/>
              <w:bottom w:val="single" w:color="auto" w:sz="4" w:space="0"/>
              <w:right w:val="single" w:color="auto" w:sz="4" w:space="0"/>
            </w:tcBorders>
          </w:tcPr>
          <w:p w14:paraId="46BDC87A">
            <w:pPr>
              <w:jc w:val="right"/>
            </w:pPr>
          </w:p>
        </w:tc>
        <w:tc>
          <w:tcPr>
            <w:tcW w:w="893" w:type="pct"/>
            <w:tcBorders>
              <w:top w:val="single" w:color="auto" w:sz="4" w:space="0"/>
              <w:left w:val="single" w:color="auto" w:sz="4" w:space="0"/>
              <w:bottom w:val="single" w:color="auto" w:sz="4" w:space="0"/>
              <w:right w:val="single" w:color="auto" w:sz="4" w:space="0"/>
            </w:tcBorders>
          </w:tcPr>
          <w:p w14:paraId="79C0DB77">
            <w:pPr>
              <w:jc w:val="right"/>
            </w:pPr>
          </w:p>
        </w:tc>
        <w:tc>
          <w:tcPr>
            <w:tcW w:w="905" w:type="pct"/>
            <w:tcBorders>
              <w:top w:val="single" w:color="auto" w:sz="4" w:space="0"/>
              <w:left w:val="single" w:color="auto" w:sz="4" w:space="0"/>
              <w:bottom w:val="single" w:color="auto" w:sz="4" w:space="0"/>
              <w:right w:val="single" w:color="auto" w:sz="4" w:space="0"/>
            </w:tcBorders>
          </w:tcPr>
          <w:p w14:paraId="76B05AB0">
            <w:pPr>
              <w:jc w:val="right"/>
            </w:pPr>
          </w:p>
        </w:tc>
      </w:tr>
      <w:tr w14:paraId="296B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82" w:type="pct"/>
            <w:tcBorders>
              <w:top w:val="single" w:color="auto" w:sz="4" w:space="0"/>
              <w:left w:val="single" w:color="auto" w:sz="4" w:space="0"/>
              <w:bottom w:val="single" w:color="auto" w:sz="4" w:space="0"/>
              <w:right w:val="single" w:color="auto" w:sz="4" w:space="0"/>
            </w:tcBorders>
          </w:tcPr>
          <w:p w14:paraId="5A8B752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（1）外购</w:t>
            </w:r>
          </w:p>
        </w:tc>
        <w:tc>
          <w:tcPr>
            <w:tcW w:w="965" w:type="pct"/>
            <w:tcBorders>
              <w:top w:val="single" w:color="auto" w:sz="4" w:space="0"/>
              <w:left w:val="single" w:color="auto" w:sz="4" w:space="0"/>
              <w:bottom w:val="single" w:color="auto" w:sz="4" w:space="0"/>
              <w:right w:val="single" w:color="auto" w:sz="4" w:space="0"/>
            </w:tcBorders>
          </w:tcPr>
          <w:p w14:paraId="331B792C">
            <w:pPr>
              <w:jc w:val="right"/>
            </w:pPr>
          </w:p>
        </w:tc>
        <w:tc>
          <w:tcPr>
            <w:tcW w:w="955" w:type="pct"/>
            <w:tcBorders>
              <w:top w:val="single" w:color="auto" w:sz="4" w:space="0"/>
              <w:left w:val="single" w:color="auto" w:sz="4" w:space="0"/>
              <w:bottom w:val="single" w:color="auto" w:sz="4" w:space="0"/>
              <w:right w:val="single" w:color="auto" w:sz="4" w:space="0"/>
            </w:tcBorders>
          </w:tcPr>
          <w:p w14:paraId="40045271">
            <w:pPr>
              <w:jc w:val="right"/>
            </w:pPr>
          </w:p>
        </w:tc>
        <w:tc>
          <w:tcPr>
            <w:tcW w:w="893" w:type="pct"/>
            <w:tcBorders>
              <w:top w:val="single" w:color="auto" w:sz="4" w:space="0"/>
              <w:left w:val="single" w:color="auto" w:sz="4" w:space="0"/>
              <w:bottom w:val="single" w:color="auto" w:sz="4" w:space="0"/>
              <w:right w:val="single" w:color="auto" w:sz="4" w:space="0"/>
            </w:tcBorders>
          </w:tcPr>
          <w:p w14:paraId="00DBA181">
            <w:pPr>
              <w:jc w:val="right"/>
            </w:pPr>
          </w:p>
        </w:tc>
        <w:tc>
          <w:tcPr>
            <w:tcW w:w="905" w:type="pct"/>
            <w:tcBorders>
              <w:top w:val="single" w:color="auto" w:sz="4" w:space="0"/>
              <w:left w:val="single" w:color="auto" w:sz="4" w:space="0"/>
              <w:bottom w:val="single" w:color="auto" w:sz="4" w:space="0"/>
              <w:right w:val="single" w:color="auto" w:sz="4" w:space="0"/>
            </w:tcBorders>
          </w:tcPr>
          <w:p w14:paraId="04CF8D49">
            <w:pPr>
              <w:jc w:val="right"/>
            </w:pPr>
          </w:p>
        </w:tc>
      </w:tr>
      <w:tr w14:paraId="32C9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82" w:type="pct"/>
            <w:tcBorders>
              <w:top w:val="single" w:color="auto" w:sz="4" w:space="0"/>
              <w:left w:val="single" w:color="auto" w:sz="4" w:space="0"/>
              <w:bottom w:val="single" w:color="auto" w:sz="4" w:space="0"/>
              <w:right w:val="single" w:color="auto" w:sz="4" w:space="0"/>
            </w:tcBorders>
          </w:tcPr>
          <w:p w14:paraId="2A465D17">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（2）存货\固定资产\在建工程转入</w:t>
            </w:r>
          </w:p>
        </w:tc>
        <w:tc>
          <w:tcPr>
            <w:tcW w:w="965" w:type="pct"/>
            <w:tcBorders>
              <w:top w:val="single" w:color="auto" w:sz="4" w:space="0"/>
              <w:left w:val="single" w:color="auto" w:sz="4" w:space="0"/>
              <w:bottom w:val="single" w:color="auto" w:sz="4" w:space="0"/>
              <w:right w:val="single" w:color="auto" w:sz="4" w:space="0"/>
            </w:tcBorders>
          </w:tcPr>
          <w:p w14:paraId="686E11EF">
            <w:pPr>
              <w:jc w:val="right"/>
            </w:pPr>
          </w:p>
        </w:tc>
        <w:tc>
          <w:tcPr>
            <w:tcW w:w="955" w:type="pct"/>
            <w:tcBorders>
              <w:top w:val="single" w:color="auto" w:sz="4" w:space="0"/>
              <w:left w:val="single" w:color="auto" w:sz="4" w:space="0"/>
              <w:bottom w:val="single" w:color="auto" w:sz="4" w:space="0"/>
              <w:right w:val="single" w:color="auto" w:sz="4" w:space="0"/>
            </w:tcBorders>
          </w:tcPr>
          <w:p w14:paraId="61B2E676">
            <w:pPr>
              <w:jc w:val="right"/>
            </w:pPr>
          </w:p>
        </w:tc>
        <w:tc>
          <w:tcPr>
            <w:tcW w:w="893" w:type="pct"/>
            <w:tcBorders>
              <w:top w:val="single" w:color="auto" w:sz="4" w:space="0"/>
              <w:left w:val="single" w:color="auto" w:sz="4" w:space="0"/>
              <w:bottom w:val="single" w:color="auto" w:sz="4" w:space="0"/>
              <w:right w:val="single" w:color="auto" w:sz="4" w:space="0"/>
            </w:tcBorders>
          </w:tcPr>
          <w:p w14:paraId="27401CED">
            <w:pPr>
              <w:jc w:val="right"/>
            </w:pPr>
          </w:p>
        </w:tc>
        <w:tc>
          <w:tcPr>
            <w:tcW w:w="905" w:type="pct"/>
            <w:tcBorders>
              <w:top w:val="single" w:color="auto" w:sz="4" w:space="0"/>
              <w:left w:val="single" w:color="auto" w:sz="4" w:space="0"/>
              <w:bottom w:val="single" w:color="auto" w:sz="4" w:space="0"/>
              <w:right w:val="single" w:color="auto" w:sz="4" w:space="0"/>
            </w:tcBorders>
          </w:tcPr>
          <w:p w14:paraId="61A284B1">
            <w:pPr>
              <w:jc w:val="right"/>
            </w:pPr>
          </w:p>
        </w:tc>
      </w:tr>
      <w:tr w14:paraId="6D25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282" w:type="pct"/>
            <w:tcBorders>
              <w:top w:val="single" w:color="auto" w:sz="4" w:space="0"/>
              <w:left w:val="single" w:color="auto" w:sz="4" w:space="0"/>
              <w:bottom w:val="single" w:color="auto" w:sz="4" w:space="0"/>
              <w:right w:val="single" w:color="auto" w:sz="4" w:space="0"/>
            </w:tcBorders>
          </w:tcPr>
          <w:p w14:paraId="711815F6">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（3）企业合并增加</w:t>
            </w:r>
          </w:p>
        </w:tc>
        <w:tc>
          <w:tcPr>
            <w:tcW w:w="965" w:type="pct"/>
            <w:tcBorders>
              <w:top w:val="single" w:color="auto" w:sz="4" w:space="0"/>
              <w:left w:val="single" w:color="auto" w:sz="4" w:space="0"/>
              <w:bottom w:val="single" w:color="auto" w:sz="4" w:space="0"/>
              <w:right w:val="single" w:color="auto" w:sz="4" w:space="0"/>
            </w:tcBorders>
          </w:tcPr>
          <w:p w14:paraId="440F7F18">
            <w:pPr>
              <w:jc w:val="right"/>
            </w:pPr>
          </w:p>
        </w:tc>
        <w:tc>
          <w:tcPr>
            <w:tcW w:w="955" w:type="pct"/>
            <w:tcBorders>
              <w:top w:val="single" w:color="auto" w:sz="4" w:space="0"/>
              <w:left w:val="single" w:color="auto" w:sz="4" w:space="0"/>
              <w:bottom w:val="single" w:color="auto" w:sz="4" w:space="0"/>
              <w:right w:val="single" w:color="auto" w:sz="4" w:space="0"/>
            </w:tcBorders>
          </w:tcPr>
          <w:p w14:paraId="218B97F5">
            <w:pPr>
              <w:jc w:val="right"/>
            </w:pPr>
          </w:p>
        </w:tc>
        <w:tc>
          <w:tcPr>
            <w:tcW w:w="893" w:type="pct"/>
            <w:tcBorders>
              <w:top w:val="single" w:color="auto" w:sz="4" w:space="0"/>
              <w:left w:val="single" w:color="auto" w:sz="4" w:space="0"/>
              <w:bottom w:val="single" w:color="auto" w:sz="4" w:space="0"/>
              <w:right w:val="single" w:color="auto" w:sz="4" w:space="0"/>
            </w:tcBorders>
          </w:tcPr>
          <w:p w14:paraId="03515C7D">
            <w:pPr>
              <w:jc w:val="right"/>
            </w:pPr>
          </w:p>
        </w:tc>
        <w:tc>
          <w:tcPr>
            <w:tcW w:w="905" w:type="pct"/>
            <w:tcBorders>
              <w:top w:val="single" w:color="auto" w:sz="4" w:space="0"/>
              <w:left w:val="single" w:color="auto" w:sz="4" w:space="0"/>
              <w:bottom w:val="single" w:color="auto" w:sz="4" w:space="0"/>
              <w:right w:val="single" w:color="auto" w:sz="4" w:space="0"/>
            </w:tcBorders>
          </w:tcPr>
          <w:p w14:paraId="6355C9A7">
            <w:pPr>
              <w:jc w:val="right"/>
            </w:pPr>
          </w:p>
        </w:tc>
      </w:tr>
      <w:tr w14:paraId="2001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82" w:type="pct"/>
            <w:tcBorders>
              <w:top w:val="single" w:color="auto" w:sz="4" w:space="0"/>
              <w:left w:val="single" w:color="auto" w:sz="4" w:space="0"/>
              <w:bottom w:val="single" w:color="auto" w:sz="4" w:space="0"/>
              <w:right w:val="single" w:color="auto" w:sz="4" w:space="0"/>
            </w:tcBorders>
          </w:tcPr>
          <w:p w14:paraId="28DE5D7E">
            <w:pPr>
              <w:rPr>
                <w:color w:val="000000" w:themeColor="text1"/>
                <w14:textFill>
                  <w14:solidFill>
                    <w14:schemeClr w14:val="tx1"/>
                  </w14:solidFill>
                </w14:textFill>
              </w:rPr>
            </w:pPr>
            <w:r>
              <w:rPr>
                <w:rFonts w:hint="eastAsia"/>
                <w:color w:val="000000" w:themeColor="text1"/>
                <w14:textFill>
                  <w14:solidFill>
                    <w14:schemeClr w14:val="tx1"/>
                  </w14:solidFill>
                </w14:textFill>
              </w:rPr>
              <w:t>3.本期减少金额</w:t>
            </w:r>
          </w:p>
        </w:tc>
        <w:tc>
          <w:tcPr>
            <w:tcW w:w="965" w:type="pct"/>
            <w:tcBorders>
              <w:top w:val="single" w:color="auto" w:sz="4" w:space="0"/>
              <w:left w:val="single" w:color="auto" w:sz="4" w:space="0"/>
              <w:bottom w:val="single" w:color="auto" w:sz="4" w:space="0"/>
              <w:right w:val="single" w:color="auto" w:sz="4" w:space="0"/>
            </w:tcBorders>
          </w:tcPr>
          <w:p w14:paraId="75B5813D">
            <w:pPr>
              <w:jc w:val="right"/>
            </w:pPr>
          </w:p>
        </w:tc>
        <w:tc>
          <w:tcPr>
            <w:tcW w:w="955" w:type="pct"/>
            <w:tcBorders>
              <w:top w:val="single" w:color="auto" w:sz="4" w:space="0"/>
              <w:left w:val="single" w:color="auto" w:sz="4" w:space="0"/>
              <w:bottom w:val="single" w:color="auto" w:sz="4" w:space="0"/>
              <w:right w:val="single" w:color="auto" w:sz="4" w:space="0"/>
            </w:tcBorders>
          </w:tcPr>
          <w:p w14:paraId="4F2BF287">
            <w:pPr>
              <w:jc w:val="right"/>
            </w:pPr>
          </w:p>
        </w:tc>
        <w:tc>
          <w:tcPr>
            <w:tcW w:w="893" w:type="pct"/>
            <w:tcBorders>
              <w:top w:val="single" w:color="auto" w:sz="4" w:space="0"/>
              <w:left w:val="single" w:color="auto" w:sz="4" w:space="0"/>
              <w:bottom w:val="single" w:color="auto" w:sz="4" w:space="0"/>
              <w:right w:val="single" w:color="auto" w:sz="4" w:space="0"/>
            </w:tcBorders>
          </w:tcPr>
          <w:p w14:paraId="6403F823">
            <w:pPr>
              <w:jc w:val="right"/>
            </w:pPr>
          </w:p>
        </w:tc>
        <w:tc>
          <w:tcPr>
            <w:tcW w:w="905" w:type="pct"/>
            <w:tcBorders>
              <w:top w:val="single" w:color="auto" w:sz="4" w:space="0"/>
              <w:left w:val="single" w:color="auto" w:sz="4" w:space="0"/>
              <w:bottom w:val="single" w:color="auto" w:sz="4" w:space="0"/>
              <w:right w:val="single" w:color="auto" w:sz="4" w:space="0"/>
            </w:tcBorders>
          </w:tcPr>
          <w:p w14:paraId="0753416B">
            <w:pPr>
              <w:jc w:val="right"/>
            </w:pPr>
          </w:p>
        </w:tc>
      </w:tr>
      <w:tr w14:paraId="20D2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82" w:type="pct"/>
            <w:tcBorders>
              <w:top w:val="single" w:color="auto" w:sz="4" w:space="0"/>
              <w:left w:val="single" w:color="auto" w:sz="4" w:space="0"/>
              <w:bottom w:val="single" w:color="auto" w:sz="4" w:space="0"/>
              <w:right w:val="single" w:color="auto" w:sz="4" w:space="0"/>
            </w:tcBorders>
          </w:tcPr>
          <w:p w14:paraId="6CD393C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（1）处置</w:t>
            </w:r>
          </w:p>
        </w:tc>
        <w:tc>
          <w:tcPr>
            <w:tcW w:w="965" w:type="pct"/>
            <w:tcBorders>
              <w:top w:val="single" w:color="auto" w:sz="4" w:space="0"/>
              <w:left w:val="single" w:color="auto" w:sz="4" w:space="0"/>
              <w:bottom w:val="single" w:color="auto" w:sz="4" w:space="0"/>
              <w:right w:val="single" w:color="auto" w:sz="4" w:space="0"/>
            </w:tcBorders>
          </w:tcPr>
          <w:p w14:paraId="0BD89C00">
            <w:pPr>
              <w:jc w:val="right"/>
            </w:pPr>
          </w:p>
        </w:tc>
        <w:tc>
          <w:tcPr>
            <w:tcW w:w="955" w:type="pct"/>
            <w:tcBorders>
              <w:top w:val="single" w:color="auto" w:sz="4" w:space="0"/>
              <w:left w:val="single" w:color="auto" w:sz="4" w:space="0"/>
              <w:bottom w:val="single" w:color="auto" w:sz="4" w:space="0"/>
              <w:right w:val="single" w:color="auto" w:sz="4" w:space="0"/>
            </w:tcBorders>
          </w:tcPr>
          <w:p w14:paraId="0FE55EBB">
            <w:pPr>
              <w:jc w:val="right"/>
            </w:pPr>
          </w:p>
        </w:tc>
        <w:tc>
          <w:tcPr>
            <w:tcW w:w="893" w:type="pct"/>
            <w:tcBorders>
              <w:top w:val="single" w:color="auto" w:sz="4" w:space="0"/>
              <w:left w:val="single" w:color="auto" w:sz="4" w:space="0"/>
              <w:bottom w:val="single" w:color="auto" w:sz="4" w:space="0"/>
              <w:right w:val="single" w:color="auto" w:sz="4" w:space="0"/>
            </w:tcBorders>
          </w:tcPr>
          <w:p w14:paraId="6D6FDE48">
            <w:pPr>
              <w:jc w:val="right"/>
            </w:pPr>
          </w:p>
        </w:tc>
        <w:tc>
          <w:tcPr>
            <w:tcW w:w="905" w:type="pct"/>
            <w:tcBorders>
              <w:top w:val="single" w:color="auto" w:sz="4" w:space="0"/>
              <w:left w:val="single" w:color="auto" w:sz="4" w:space="0"/>
              <w:bottom w:val="single" w:color="auto" w:sz="4" w:space="0"/>
              <w:right w:val="single" w:color="auto" w:sz="4" w:space="0"/>
            </w:tcBorders>
          </w:tcPr>
          <w:p w14:paraId="77AF72C1">
            <w:pPr>
              <w:jc w:val="right"/>
            </w:pPr>
          </w:p>
        </w:tc>
      </w:tr>
      <w:tr w14:paraId="607D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82" w:type="pct"/>
            <w:tcBorders>
              <w:top w:val="single" w:color="auto" w:sz="4" w:space="0"/>
              <w:left w:val="single" w:color="auto" w:sz="4" w:space="0"/>
              <w:bottom w:val="single" w:color="auto" w:sz="4" w:space="0"/>
              <w:right w:val="single" w:color="auto" w:sz="4" w:space="0"/>
            </w:tcBorders>
          </w:tcPr>
          <w:p w14:paraId="3DFBCD8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（2）其他转出</w:t>
            </w:r>
          </w:p>
        </w:tc>
        <w:tc>
          <w:tcPr>
            <w:tcW w:w="965" w:type="pct"/>
            <w:tcBorders>
              <w:top w:val="single" w:color="auto" w:sz="4" w:space="0"/>
              <w:left w:val="single" w:color="auto" w:sz="4" w:space="0"/>
              <w:bottom w:val="single" w:color="auto" w:sz="4" w:space="0"/>
              <w:right w:val="single" w:color="auto" w:sz="4" w:space="0"/>
            </w:tcBorders>
          </w:tcPr>
          <w:p w14:paraId="00099DA7">
            <w:pPr>
              <w:jc w:val="right"/>
            </w:pPr>
          </w:p>
        </w:tc>
        <w:tc>
          <w:tcPr>
            <w:tcW w:w="955" w:type="pct"/>
            <w:tcBorders>
              <w:top w:val="single" w:color="auto" w:sz="4" w:space="0"/>
              <w:left w:val="single" w:color="auto" w:sz="4" w:space="0"/>
              <w:bottom w:val="single" w:color="auto" w:sz="4" w:space="0"/>
              <w:right w:val="single" w:color="auto" w:sz="4" w:space="0"/>
            </w:tcBorders>
          </w:tcPr>
          <w:p w14:paraId="0BF1B3B6">
            <w:pPr>
              <w:jc w:val="right"/>
            </w:pPr>
          </w:p>
        </w:tc>
        <w:tc>
          <w:tcPr>
            <w:tcW w:w="893" w:type="pct"/>
            <w:tcBorders>
              <w:top w:val="single" w:color="auto" w:sz="4" w:space="0"/>
              <w:left w:val="single" w:color="auto" w:sz="4" w:space="0"/>
              <w:bottom w:val="single" w:color="auto" w:sz="4" w:space="0"/>
              <w:right w:val="single" w:color="auto" w:sz="4" w:space="0"/>
            </w:tcBorders>
          </w:tcPr>
          <w:p w14:paraId="52880EC1">
            <w:pPr>
              <w:jc w:val="right"/>
            </w:pPr>
          </w:p>
        </w:tc>
        <w:tc>
          <w:tcPr>
            <w:tcW w:w="905" w:type="pct"/>
            <w:tcBorders>
              <w:top w:val="single" w:color="auto" w:sz="4" w:space="0"/>
              <w:left w:val="single" w:color="auto" w:sz="4" w:space="0"/>
              <w:bottom w:val="single" w:color="auto" w:sz="4" w:space="0"/>
              <w:right w:val="single" w:color="auto" w:sz="4" w:space="0"/>
            </w:tcBorders>
          </w:tcPr>
          <w:p w14:paraId="48AAEE1A">
            <w:pPr>
              <w:jc w:val="right"/>
            </w:pPr>
          </w:p>
        </w:tc>
      </w:tr>
      <w:tr w14:paraId="1433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82" w:type="pct"/>
            <w:tcBorders>
              <w:top w:val="single" w:color="auto" w:sz="4" w:space="0"/>
              <w:left w:val="single" w:color="auto" w:sz="4" w:space="0"/>
              <w:bottom w:val="single" w:color="auto" w:sz="4" w:space="0"/>
              <w:right w:val="single" w:color="auto" w:sz="4" w:space="0"/>
            </w:tcBorders>
          </w:tcPr>
          <w:p w14:paraId="725284CB">
            <w:pPr>
              <w:rPr>
                <w:color w:val="000000" w:themeColor="text1"/>
                <w14:textFill>
                  <w14:solidFill>
                    <w14:schemeClr w14:val="tx1"/>
                  </w14:solidFill>
                </w14:textFill>
              </w:rPr>
            </w:pPr>
            <w:r>
              <w:rPr>
                <w:rFonts w:hint="eastAsia"/>
                <w:color w:val="000000" w:themeColor="text1"/>
                <w14:textFill>
                  <w14:solidFill>
                    <w14:schemeClr w14:val="tx1"/>
                  </w14:solidFill>
                </w14:textFill>
              </w:rPr>
              <w:t>4.期末余额</w:t>
            </w:r>
          </w:p>
        </w:tc>
        <w:tc>
          <w:tcPr>
            <w:tcW w:w="965" w:type="pct"/>
            <w:tcBorders>
              <w:top w:val="single" w:color="auto" w:sz="4" w:space="0"/>
              <w:left w:val="single" w:color="auto" w:sz="4" w:space="0"/>
              <w:bottom w:val="single" w:color="auto" w:sz="4" w:space="0"/>
              <w:right w:val="single" w:color="auto" w:sz="4" w:space="0"/>
            </w:tcBorders>
          </w:tcPr>
          <w:p w14:paraId="62BD4CD7">
            <w:pPr>
              <w:jc w:val="right"/>
            </w:pPr>
            <w:r>
              <w:t>88,092,500.51</w:t>
            </w:r>
          </w:p>
        </w:tc>
        <w:tc>
          <w:tcPr>
            <w:tcW w:w="955" w:type="pct"/>
            <w:tcBorders>
              <w:top w:val="single" w:color="auto" w:sz="4" w:space="0"/>
              <w:left w:val="single" w:color="auto" w:sz="4" w:space="0"/>
              <w:bottom w:val="single" w:color="auto" w:sz="4" w:space="0"/>
              <w:right w:val="single" w:color="auto" w:sz="4" w:space="0"/>
            </w:tcBorders>
          </w:tcPr>
          <w:p w14:paraId="1339BFEE">
            <w:pPr>
              <w:jc w:val="right"/>
            </w:pPr>
          </w:p>
        </w:tc>
        <w:tc>
          <w:tcPr>
            <w:tcW w:w="893" w:type="pct"/>
            <w:tcBorders>
              <w:top w:val="single" w:color="auto" w:sz="4" w:space="0"/>
              <w:left w:val="single" w:color="auto" w:sz="4" w:space="0"/>
              <w:bottom w:val="single" w:color="auto" w:sz="4" w:space="0"/>
              <w:right w:val="single" w:color="auto" w:sz="4" w:space="0"/>
            </w:tcBorders>
          </w:tcPr>
          <w:p w14:paraId="2984CF8D">
            <w:pPr>
              <w:jc w:val="right"/>
            </w:pPr>
          </w:p>
        </w:tc>
        <w:tc>
          <w:tcPr>
            <w:tcW w:w="905" w:type="pct"/>
            <w:tcBorders>
              <w:top w:val="single" w:color="auto" w:sz="4" w:space="0"/>
              <w:left w:val="single" w:color="auto" w:sz="4" w:space="0"/>
              <w:bottom w:val="single" w:color="auto" w:sz="4" w:space="0"/>
              <w:right w:val="single" w:color="auto" w:sz="4" w:space="0"/>
            </w:tcBorders>
          </w:tcPr>
          <w:p w14:paraId="671B0FA4">
            <w:pPr>
              <w:jc w:val="right"/>
            </w:pPr>
            <w:r>
              <w:t>88,09</w:t>
            </w:r>
            <w:r>
              <w:rPr>
                <w:rFonts w:hint="eastAsia"/>
              </w:rPr>
              <w:t>2</w:t>
            </w:r>
            <w:r>
              <w:t>,500.51</w:t>
            </w:r>
          </w:p>
        </w:tc>
      </w:tr>
      <w:tr w14:paraId="11DA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sdt>
          <w:sdtPr>
            <w:tag w:val="_PLD_2505d9f8bc20407e9f785ceb5e0a0801"/>
            <w:id w:val="1905801561"/>
          </w:sdtPr>
          <w:sdtContent>
            <w:tc>
              <w:tcPr>
                <w:tcW w:w="5000" w:type="pct"/>
                <w:gridSpan w:val="5"/>
                <w:tcBorders>
                  <w:top w:val="single" w:color="auto" w:sz="4" w:space="0"/>
                  <w:left w:val="single" w:color="auto" w:sz="4" w:space="0"/>
                  <w:bottom w:val="single" w:color="auto" w:sz="4" w:space="0"/>
                  <w:right w:val="single" w:color="auto" w:sz="4" w:space="0"/>
                </w:tcBorders>
              </w:tcPr>
              <w:p w14:paraId="257197D4">
                <w:pPr>
                  <w:rPr>
                    <w:color w:val="000000" w:themeColor="text1"/>
                    <w14:textFill>
                      <w14:solidFill>
                        <w14:schemeClr w14:val="tx1"/>
                      </w14:solidFill>
                    </w14:textFill>
                  </w:rPr>
                </w:pPr>
                <w:r>
                  <w:rPr>
                    <w:rFonts w:hint="eastAsia"/>
                    <w:color w:val="000000" w:themeColor="text1"/>
                    <w14:textFill>
                      <w14:solidFill>
                        <w14:schemeClr w14:val="tx1"/>
                      </w14:solidFill>
                    </w14:textFill>
                  </w:rPr>
                  <w:t>二、累计折旧和累计摊销</w:t>
                </w:r>
              </w:p>
            </w:tc>
          </w:sdtContent>
        </w:sdt>
      </w:tr>
      <w:tr w14:paraId="61D7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82" w:type="pct"/>
            <w:tcBorders>
              <w:top w:val="single" w:color="auto" w:sz="4" w:space="0"/>
              <w:left w:val="single" w:color="auto" w:sz="4" w:space="0"/>
              <w:bottom w:val="single" w:color="auto" w:sz="4" w:space="0"/>
              <w:right w:val="single" w:color="auto" w:sz="4" w:space="0"/>
            </w:tcBorders>
          </w:tcPr>
          <w:p w14:paraId="03F7C9F4">
            <w:pP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期初余额</w:t>
            </w:r>
          </w:p>
        </w:tc>
        <w:tc>
          <w:tcPr>
            <w:tcW w:w="965" w:type="pct"/>
            <w:tcBorders>
              <w:top w:val="single" w:color="auto" w:sz="4" w:space="0"/>
              <w:left w:val="single" w:color="auto" w:sz="4" w:space="0"/>
              <w:bottom w:val="single" w:color="auto" w:sz="4" w:space="0"/>
              <w:right w:val="single" w:color="auto" w:sz="4" w:space="0"/>
            </w:tcBorders>
          </w:tcPr>
          <w:p w14:paraId="540B3DCD">
            <w:pPr>
              <w:jc w:val="right"/>
            </w:pPr>
            <w:r>
              <w:t>33,872,112.22</w:t>
            </w:r>
          </w:p>
        </w:tc>
        <w:tc>
          <w:tcPr>
            <w:tcW w:w="955" w:type="pct"/>
            <w:tcBorders>
              <w:top w:val="single" w:color="auto" w:sz="4" w:space="0"/>
              <w:left w:val="single" w:color="auto" w:sz="4" w:space="0"/>
              <w:bottom w:val="single" w:color="auto" w:sz="4" w:space="0"/>
              <w:right w:val="single" w:color="auto" w:sz="4" w:space="0"/>
            </w:tcBorders>
          </w:tcPr>
          <w:p w14:paraId="4E4EC919">
            <w:pPr>
              <w:jc w:val="right"/>
            </w:pPr>
          </w:p>
        </w:tc>
        <w:tc>
          <w:tcPr>
            <w:tcW w:w="893" w:type="pct"/>
            <w:tcBorders>
              <w:top w:val="single" w:color="auto" w:sz="4" w:space="0"/>
              <w:left w:val="single" w:color="auto" w:sz="4" w:space="0"/>
              <w:bottom w:val="single" w:color="auto" w:sz="4" w:space="0"/>
              <w:right w:val="single" w:color="auto" w:sz="4" w:space="0"/>
            </w:tcBorders>
          </w:tcPr>
          <w:p w14:paraId="3F85A5F0">
            <w:pPr>
              <w:jc w:val="right"/>
            </w:pPr>
          </w:p>
        </w:tc>
        <w:tc>
          <w:tcPr>
            <w:tcW w:w="905" w:type="pct"/>
            <w:tcBorders>
              <w:top w:val="single" w:color="auto" w:sz="4" w:space="0"/>
              <w:left w:val="single" w:color="auto" w:sz="4" w:space="0"/>
              <w:bottom w:val="single" w:color="auto" w:sz="4" w:space="0"/>
              <w:right w:val="single" w:color="auto" w:sz="4" w:space="0"/>
            </w:tcBorders>
          </w:tcPr>
          <w:p w14:paraId="053BCA92">
            <w:pPr>
              <w:jc w:val="right"/>
            </w:pPr>
            <w:r>
              <w:t>33,872,112.22</w:t>
            </w:r>
          </w:p>
        </w:tc>
      </w:tr>
      <w:tr w14:paraId="4832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82" w:type="pct"/>
            <w:tcBorders>
              <w:top w:val="single" w:color="auto" w:sz="4" w:space="0"/>
              <w:left w:val="single" w:color="auto" w:sz="4" w:space="0"/>
              <w:bottom w:val="single" w:color="auto" w:sz="4" w:space="0"/>
              <w:right w:val="single" w:color="auto" w:sz="4" w:space="0"/>
            </w:tcBorders>
          </w:tcPr>
          <w:p w14:paraId="119336E9">
            <w:pPr>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本期增加金额</w:t>
            </w:r>
          </w:p>
        </w:tc>
        <w:tc>
          <w:tcPr>
            <w:tcW w:w="965" w:type="pct"/>
            <w:tcBorders>
              <w:top w:val="single" w:color="auto" w:sz="4" w:space="0"/>
              <w:left w:val="single" w:color="auto" w:sz="4" w:space="0"/>
              <w:bottom w:val="single" w:color="auto" w:sz="4" w:space="0"/>
              <w:right w:val="single" w:color="auto" w:sz="4" w:space="0"/>
            </w:tcBorders>
          </w:tcPr>
          <w:p w14:paraId="57AE34DA">
            <w:pPr>
              <w:jc w:val="right"/>
            </w:pPr>
            <w:r>
              <w:t>1,401,265.86</w:t>
            </w:r>
          </w:p>
        </w:tc>
        <w:tc>
          <w:tcPr>
            <w:tcW w:w="955" w:type="pct"/>
            <w:tcBorders>
              <w:top w:val="single" w:color="auto" w:sz="4" w:space="0"/>
              <w:left w:val="single" w:color="auto" w:sz="4" w:space="0"/>
              <w:bottom w:val="single" w:color="auto" w:sz="4" w:space="0"/>
              <w:right w:val="single" w:color="auto" w:sz="4" w:space="0"/>
            </w:tcBorders>
          </w:tcPr>
          <w:p w14:paraId="512E6F7A">
            <w:pPr>
              <w:jc w:val="right"/>
            </w:pPr>
          </w:p>
        </w:tc>
        <w:tc>
          <w:tcPr>
            <w:tcW w:w="893" w:type="pct"/>
            <w:tcBorders>
              <w:top w:val="single" w:color="auto" w:sz="4" w:space="0"/>
              <w:left w:val="single" w:color="auto" w:sz="4" w:space="0"/>
              <w:bottom w:val="single" w:color="auto" w:sz="4" w:space="0"/>
              <w:right w:val="single" w:color="auto" w:sz="4" w:space="0"/>
            </w:tcBorders>
          </w:tcPr>
          <w:p w14:paraId="7D7784D1">
            <w:pPr>
              <w:jc w:val="right"/>
            </w:pPr>
          </w:p>
        </w:tc>
        <w:tc>
          <w:tcPr>
            <w:tcW w:w="905" w:type="pct"/>
            <w:tcBorders>
              <w:top w:val="single" w:color="auto" w:sz="4" w:space="0"/>
              <w:left w:val="single" w:color="auto" w:sz="4" w:space="0"/>
              <w:bottom w:val="single" w:color="auto" w:sz="4" w:space="0"/>
              <w:right w:val="single" w:color="auto" w:sz="4" w:space="0"/>
            </w:tcBorders>
          </w:tcPr>
          <w:p w14:paraId="6D2F3C89">
            <w:pPr>
              <w:jc w:val="right"/>
            </w:pPr>
            <w:r>
              <w:t>1,401,265.86</w:t>
            </w:r>
          </w:p>
        </w:tc>
      </w:tr>
      <w:tr w14:paraId="7A99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82" w:type="pct"/>
            <w:tcBorders>
              <w:top w:val="single" w:color="auto" w:sz="4" w:space="0"/>
              <w:left w:val="single" w:color="auto" w:sz="4" w:space="0"/>
              <w:bottom w:val="single" w:color="auto" w:sz="4" w:space="0"/>
              <w:right w:val="single" w:color="auto" w:sz="4" w:space="0"/>
            </w:tcBorders>
          </w:tcPr>
          <w:p w14:paraId="4B25E7B9">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（1）计提或摊销</w:t>
            </w:r>
          </w:p>
        </w:tc>
        <w:tc>
          <w:tcPr>
            <w:tcW w:w="965" w:type="pct"/>
            <w:tcBorders>
              <w:top w:val="single" w:color="auto" w:sz="4" w:space="0"/>
              <w:left w:val="single" w:color="auto" w:sz="4" w:space="0"/>
              <w:bottom w:val="single" w:color="auto" w:sz="4" w:space="0"/>
              <w:right w:val="single" w:color="auto" w:sz="4" w:space="0"/>
            </w:tcBorders>
          </w:tcPr>
          <w:p w14:paraId="0837920E">
            <w:pPr>
              <w:jc w:val="right"/>
            </w:pPr>
            <w:r>
              <w:t>1,401,265.86</w:t>
            </w:r>
          </w:p>
        </w:tc>
        <w:tc>
          <w:tcPr>
            <w:tcW w:w="955" w:type="pct"/>
            <w:tcBorders>
              <w:top w:val="single" w:color="auto" w:sz="4" w:space="0"/>
              <w:left w:val="single" w:color="auto" w:sz="4" w:space="0"/>
              <w:bottom w:val="single" w:color="auto" w:sz="4" w:space="0"/>
              <w:right w:val="single" w:color="auto" w:sz="4" w:space="0"/>
            </w:tcBorders>
          </w:tcPr>
          <w:p w14:paraId="56EAE180">
            <w:pPr>
              <w:jc w:val="right"/>
            </w:pPr>
          </w:p>
        </w:tc>
        <w:tc>
          <w:tcPr>
            <w:tcW w:w="893" w:type="pct"/>
            <w:tcBorders>
              <w:top w:val="single" w:color="auto" w:sz="4" w:space="0"/>
              <w:left w:val="single" w:color="auto" w:sz="4" w:space="0"/>
              <w:bottom w:val="single" w:color="auto" w:sz="4" w:space="0"/>
              <w:right w:val="single" w:color="auto" w:sz="4" w:space="0"/>
            </w:tcBorders>
          </w:tcPr>
          <w:p w14:paraId="0BD9D11B">
            <w:pPr>
              <w:jc w:val="right"/>
            </w:pPr>
          </w:p>
        </w:tc>
        <w:tc>
          <w:tcPr>
            <w:tcW w:w="905" w:type="pct"/>
            <w:tcBorders>
              <w:top w:val="single" w:color="auto" w:sz="4" w:space="0"/>
              <w:left w:val="single" w:color="auto" w:sz="4" w:space="0"/>
              <w:bottom w:val="single" w:color="auto" w:sz="4" w:space="0"/>
              <w:right w:val="single" w:color="auto" w:sz="4" w:space="0"/>
            </w:tcBorders>
          </w:tcPr>
          <w:p w14:paraId="3E37B7F9">
            <w:pPr>
              <w:jc w:val="right"/>
            </w:pPr>
            <w:r>
              <w:t>1,401,265.86</w:t>
            </w:r>
          </w:p>
        </w:tc>
      </w:tr>
      <w:tr w14:paraId="3F14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82" w:type="pct"/>
            <w:tcBorders>
              <w:top w:val="single" w:color="auto" w:sz="4" w:space="0"/>
              <w:left w:val="single" w:color="auto" w:sz="4" w:space="0"/>
              <w:bottom w:val="single" w:color="auto" w:sz="4" w:space="0"/>
              <w:right w:val="single" w:color="auto" w:sz="4" w:space="0"/>
            </w:tcBorders>
          </w:tcPr>
          <w:p w14:paraId="130C5853">
            <w:pPr>
              <w:rPr>
                <w:color w:val="000000" w:themeColor="text1"/>
                <w14:textFill>
                  <w14:solidFill>
                    <w14:schemeClr w14:val="tx1"/>
                  </w14:solidFill>
                </w14:textFill>
              </w:rPr>
            </w:pPr>
            <w:r>
              <w:rPr>
                <w:rFonts w:hint="eastAsia"/>
                <w:color w:val="000000" w:themeColor="text1"/>
                <w14:textFill>
                  <w14:solidFill>
                    <w14:schemeClr w14:val="tx1"/>
                  </w14:solidFill>
                </w14:textFill>
              </w:rPr>
              <w:t>3.本期减少金额</w:t>
            </w:r>
          </w:p>
        </w:tc>
        <w:tc>
          <w:tcPr>
            <w:tcW w:w="965" w:type="pct"/>
            <w:tcBorders>
              <w:top w:val="single" w:color="auto" w:sz="4" w:space="0"/>
              <w:left w:val="single" w:color="auto" w:sz="4" w:space="0"/>
              <w:bottom w:val="single" w:color="auto" w:sz="4" w:space="0"/>
              <w:right w:val="single" w:color="auto" w:sz="4" w:space="0"/>
            </w:tcBorders>
          </w:tcPr>
          <w:p w14:paraId="5BA5315B">
            <w:pPr>
              <w:jc w:val="right"/>
            </w:pPr>
          </w:p>
        </w:tc>
        <w:tc>
          <w:tcPr>
            <w:tcW w:w="955" w:type="pct"/>
            <w:tcBorders>
              <w:top w:val="single" w:color="auto" w:sz="4" w:space="0"/>
              <w:left w:val="single" w:color="auto" w:sz="4" w:space="0"/>
              <w:bottom w:val="single" w:color="auto" w:sz="4" w:space="0"/>
              <w:right w:val="single" w:color="auto" w:sz="4" w:space="0"/>
            </w:tcBorders>
          </w:tcPr>
          <w:p w14:paraId="6B635BA7">
            <w:pPr>
              <w:jc w:val="right"/>
            </w:pPr>
          </w:p>
        </w:tc>
        <w:tc>
          <w:tcPr>
            <w:tcW w:w="893" w:type="pct"/>
            <w:tcBorders>
              <w:top w:val="single" w:color="auto" w:sz="4" w:space="0"/>
              <w:left w:val="single" w:color="auto" w:sz="4" w:space="0"/>
              <w:bottom w:val="single" w:color="auto" w:sz="4" w:space="0"/>
              <w:right w:val="single" w:color="auto" w:sz="4" w:space="0"/>
            </w:tcBorders>
          </w:tcPr>
          <w:p w14:paraId="5DC00F93">
            <w:pPr>
              <w:jc w:val="right"/>
            </w:pPr>
          </w:p>
        </w:tc>
        <w:tc>
          <w:tcPr>
            <w:tcW w:w="905" w:type="pct"/>
            <w:tcBorders>
              <w:top w:val="single" w:color="auto" w:sz="4" w:space="0"/>
              <w:left w:val="single" w:color="auto" w:sz="4" w:space="0"/>
              <w:bottom w:val="single" w:color="auto" w:sz="4" w:space="0"/>
              <w:right w:val="single" w:color="auto" w:sz="4" w:space="0"/>
            </w:tcBorders>
          </w:tcPr>
          <w:p w14:paraId="2C2268A0">
            <w:pPr>
              <w:jc w:val="right"/>
            </w:pPr>
          </w:p>
        </w:tc>
      </w:tr>
      <w:tr w14:paraId="5E6D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82" w:type="pct"/>
            <w:tcBorders>
              <w:top w:val="single" w:color="auto" w:sz="4" w:space="0"/>
              <w:left w:val="single" w:color="auto" w:sz="4" w:space="0"/>
              <w:bottom w:val="single" w:color="auto" w:sz="4" w:space="0"/>
              <w:right w:val="single" w:color="auto" w:sz="4" w:space="0"/>
            </w:tcBorders>
          </w:tcPr>
          <w:p w14:paraId="100CF9D1">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（1）处置</w:t>
            </w:r>
          </w:p>
        </w:tc>
        <w:tc>
          <w:tcPr>
            <w:tcW w:w="965" w:type="pct"/>
            <w:tcBorders>
              <w:top w:val="single" w:color="auto" w:sz="4" w:space="0"/>
              <w:left w:val="single" w:color="auto" w:sz="4" w:space="0"/>
              <w:bottom w:val="single" w:color="auto" w:sz="4" w:space="0"/>
              <w:right w:val="single" w:color="auto" w:sz="4" w:space="0"/>
            </w:tcBorders>
          </w:tcPr>
          <w:p w14:paraId="5CD887F6">
            <w:pPr>
              <w:jc w:val="right"/>
            </w:pPr>
          </w:p>
        </w:tc>
        <w:tc>
          <w:tcPr>
            <w:tcW w:w="955" w:type="pct"/>
            <w:tcBorders>
              <w:top w:val="single" w:color="auto" w:sz="4" w:space="0"/>
              <w:left w:val="single" w:color="auto" w:sz="4" w:space="0"/>
              <w:bottom w:val="single" w:color="auto" w:sz="4" w:space="0"/>
              <w:right w:val="single" w:color="auto" w:sz="4" w:space="0"/>
            </w:tcBorders>
          </w:tcPr>
          <w:p w14:paraId="79E4DBAE">
            <w:pPr>
              <w:jc w:val="right"/>
            </w:pPr>
          </w:p>
        </w:tc>
        <w:tc>
          <w:tcPr>
            <w:tcW w:w="893" w:type="pct"/>
            <w:tcBorders>
              <w:top w:val="single" w:color="auto" w:sz="4" w:space="0"/>
              <w:left w:val="single" w:color="auto" w:sz="4" w:space="0"/>
              <w:bottom w:val="single" w:color="auto" w:sz="4" w:space="0"/>
              <w:right w:val="single" w:color="auto" w:sz="4" w:space="0"/>
            </w:tcBorders>
          </w:tcPr>
          <w:p w14:paraId="5BCC90F4">
            <w:pPr>
              <w:jc w:val="right"/>
            </w:pPr>
          </w:p>
        </w:tc>
        <w:tc>
          <w:tcPr>
            <w:tcW w:w="905" w:type="pct"/>
            <w:tcBorders>
              <w:top w:val="single" w:color="auto" w:sz="4" w:space="0"/>
              <w:left w:val="single" w:color="auto" w:sz="4" w:space="0"/>
              <w:bottom w:val="single" w:color="auto" w:sz="4" w:space="0"/>
              <w:right w:val="single" w:color="auto" w:sz="4" w:space="0"/>
            </w:tcBorders>
          </w:tcPr>
          <w:p w14:paraId="51E1CC76">
            <w:pPr>
              <w:jc w:val="right"/>
            </w:pPr>
          </w:p>
        </w:tc>
      </w:tr>
      <w:tr w14:paraId="0932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82" w:type="pct"/>
            <w:tcBorders>
              <w:top w:val="single" w:color="auto" w:sz="4" w:space="0"/>
              <w:left w:val="single" w:color="auto" w:sz="4" w:space="0"/>
              <w:bottom w:val="single" w:color="auto" w:sz="4" w:space="0"/>
              <w:right w:val="single" w:color="auto" w:sz="4" w:space="0"/>
            </w:tcBorders>
          </w:tcPr>
          <w:p w14:paraId="31850C3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（2）其他转出</w:t>
            </w:r>
          </w:p>
        </w:tc>
        <w:tc>
          <w:tcPr>
            <w:tcW w:w="965" w:type="pct"/>
            <w:tcBorders>
              <w:top w:val="single" w:color="auto" w:sz="4" w:space="0"/>
              <w:left w:val="single" w:color="auto" w:sz="4" w:space="0"/>
              <w:bottom w:val="single" w:color="auto" w:sz="4" w:space="0"/>
              <w:right w:val="single" w:color="auto" w:sz="4" w:space="0"/>
            </w:tcBorders>
          </w:tcPr>
          <w:p w14:paraId="583228AA">
            <w:pPr>
              <w:jc w:val="right"/>
            </w:pPr>
          </w:p>
        </w:tc>
        <w:tc>
          <w:tcPr>
            <w:tcW w:w="955" w:type="pct"/>
            <w:tcBorders>
              <w:top w:val="single" w:color="auto" w:sz="4" w:space="0"/>
              <w:left w:val="single" w:color="auto" w:sz="4" w:space="0"/>
              <w:bottom w:val="single" w:color="auto" w:sz="4" w:space="0"/>
              <w:right w:val="single" w:color="auto" w:sz="4" w:space="0"/>
            </w:tcBorders>
          </w:tcPr>
          <w:p w14:paraId="174EF2AD">
            <w:pPr>
              <w:jc w:val="right"/>
            </w:pPr>
          </w:p>
        </w:tc>
        <w:tc>
          <w:tcPr>
            <w:tcW w:w="893" w:type="pct"/>
            <w:tcBorders>
              <w:top w:val="single" w:color="auto" w:sz="4" w:space="0"/>
              <w:left w:val="single" w:color="auto" w:sz="4" w:space="0"/>
              <w:bottom w:val="single" w:color="auto" w:sz="4" w:space="0"/>
              <w:right w:val="single" w:color="auto" w:sz="4" w:space="0"/>
            </w:tcBorders>
          </w:tcPr>
          <w:p w14:paraId="4AC0A66C">
            <w:pPr>
              <w:jc w:val="right"/>
            </w:pPr>
          </w:p>
        </w:tc>
        <w:tc>
          <w:tcPr>
            <w:tcW w:w="905" w:type="pct"/>
            <w:tcBorders>
              <w:top w:val="single" w:color="auto" w:sz="4" w:space="0"/>
              <w:left w:val="single" w:color="auto" w:sz="4" w:space="0"/>
              <w:bottom w:val="single" w:color="auto" w:sz="4" w:space="0"/>
              <w:right w:val="single" w:color="auto" w:sz="4" w:space="0"/>
            </w:tcBorders>
          </w:tcPr>
          <w:p w14:paraId="5BBD5353">
            <w:pPr>
              <w:jc w:val="right"/>
            </w:pPr>
          </w:p>
        </w:tc>
      </w:tr>
      <w:tr w14:paraId="4E42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82" w:type="pct"/>
            <w:tcBorders>
              <w:top w:val="single" w:color="auto" w:sz="4" w:space="0"/>
              <w:left w:val="single" w:color="auto" w:sz="4" w:space="0"/>
              <w:bottom w:val="single" w:color="auto" w:sz="4" w:space="0"/>
              <w:right w:val="single" w:color="auto" w:sz="4" w:space="0"/>
            </w:tcBorders>
          </w:tcPr>
          <w:p w14:paraId="3E58B785">
            <w:pPr>
              <w:rPr>
                <w:color w:val="000000" w:themeColor="text1"/>
                <w14:textFill>
                  <w14:solidFill>
                    <w14:schemeClr w14:val="tx1"/>
                  </w14:solidFill>
                </w14:textFill>
              </w:rPr>
            </w:pPr>
            <w:r>
              <w:rPr>
                <w:rFonts w:hint="eastAsia"/>
                <w:color w:val="000000" w:themeColor="text1"/>
                <w14:textFill>
                  <w14:solidFill>
                    <w14:schemeClr w14:val="tx1"/>
                  </w14:solidFill>
                </w14:textFill>
              </w:rPr>
              <w:t>4.期末余额</w:t>
            </w:r>
          </w:p>
        </w:tc>
        <w:tc>
          <w:tcPr>
            <w:tcW w:w="965" w:type="pct"/>
            <w:tcBorders>
              <w:top w:val="single" w:color="auto" w:sz="4" w:space="0"/>
              <w:left w:val="single" w:color="auto" w:sz="4" w:space="0"/>
              <w:bottom w:val="single" w:color="auto" w:sz="4" w:space="0"/>
              <w:right w:val="single" w:color="auto" w:sz="4" w:space="0"/>
            </w:tcBorders>
          </w:tcPr>
          <w:p w14:paraId="6C85313F">
            <w:pPr>
              <w:jc w:val="right"/>
            </w:pPr>
            <w:r>
              <w:t>35,273,378.08</w:t>
            </w:r>
          </w:p>
        </w:tc>
        <w:tc>
          <w:tcPr>
            <w:tcW w:w="955" w:type="pct"/>
            <w:tcBorders>
              <w:top w:val="single" w:color="auto" w:sz="4" w:space="0"/>
              <w:left w:val="single" w:color="auto" w:sz="4" w:space="0"/>
              <w:bottom w:val="single" w:color="auto" w:sz="4" w:space="0"/>
              <w:right w:val="single" w:color="auto" w:sz="4" w:space="0"/>
            </w:tcBorders>
          </w:tcPr>
          <w:p w14:paraId="4CBF261D">
            <w:pPr>
              <w:jc w:val="right"/>
            </w:pPr>
          </w:p>
        </w:tc>
        <w:tc>
          <w:tcPr>
            <w:tcW w:w="893" w:type="pct"/>
            <w:tcBorders>
              <w:top w:val="single" w:color="auto" w:sz="4" w:space="0"/>
              <w:left w:val="single" w:color="auto" w:sz="4" w:space="0"/>
              <w:bottom w:val="single" w:color="auto" w:sz="4" w:space="0"/>
              <w:right w:val="single" w:color="auto" w:sz="4" w:space="0"/>
            </w:tcBorders>
          </w:tcPr>
          <w:p w14:paraId="5C25F37C">
            <w:pPr>
              <w:jc w:val="right"/>
            </w:pPr>
          </w:p>
        </w:tc>
        <w:tc>
          <w:tcPr>
            <w:tcW w:w="905" w:type="pct"/>
            <w:tcBorders>
              <w:top w:val="single" w:color="auto" w:sz="4" w:space="0"/>
              <w:left w:val="single" w:color="auto" w:sz="4" w:space="0"/>
              <w:bottom w:val="single" w:color="auto" w:sz="4" w:space="0"/>
              <w:right w:val="single" w:color="auto" w:sz="4" w:space="0"/>
            </w:tcBorders>
          </w:tcPr>
          <w:p w14:paraId="36FACACB">
            <w:pPr>
              <w:jc w:val="right"/>
            </w:pPr>
            <w:r>
              <w:t>35,273,378.08</w:t>
            </w:r>
          </w:p>
        </w:tc>
      </w:tr>
      <w:tr w14:paraId="6D70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sdt>
          <w:sdtPr>
            <w:tag w:val="_PLD_4ff260cebdf0497dab373adc76b90366"/>
            <w:id w:val="1742366891"/>
          </w:sdtPr>
          <w:sdtContent>
            <w:tc>
              <w:tcPr>
                <w:tcW w:w="5000" w:type="pct"/>
                <w:gridSpan w:val="5"/>
                <w:tcBorders>
                  <w:top w:val="single" w:color="auto" w:sz="4" w:space="0"/>
                  <w:left w:val="single" w:color="auto" w:sz="4" w:space="0"/>
                  <w:bottom w:val="single" w:color="auto" w:sz="4" w:space="0"/>
                  <w:right w:val="single" w:color="auto" w:sz="4" w:space="0"/>
                </w:tcBorders>
              </w:tcPr>
              <w:p w14:paraId="6B105A99">
                <w:pPr>
                  <w:rPr>
                    <w:color w:val="000000" w:themeColor="text1"/>
                    <w14:textFill>
                      <w14:solidFill>
                        <w14:schemeClr w14:val="tx1"/>
                      </w14:solidFill>
                    </w14:textFill>
                  </w:rPr>
                </w:pPr>
                <w:r>
                  <w:rPr>
                    <w:rFonts w:hint="eastAsia"/>
                    <w:color w:val="000000" w:themeColor="text1"/>
                    <w14:textFill>
                      <w14:solidFill>
                        <w14:schemeClr w14:val="tx1"/>
                      </w14:solidFill>
                    </w14:textFill>
                  </w:rPr>
                  <w:t>三、减值准备</w:t>
                </w:r>
              </w:p>
            </w:tc>
          </w:sdtContent>
        </w:sdt>
      </w:tr>
      <w:tr w14:paraId="0C1B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82" w:type="pct"/>
            <w:tcBorders>
              <w:top w:val="single" w:color="auto" w:sz="4" w:space="0"/>
              <w:left w:val="single" w:color="auto" w:sz="4" w:space="0"/>
              <w:bottom w:val="single" w:color="auto" w:sz="4" w:space="0"/>
              <w:right w:val="single" w:color="auto" w:sz="4" w:space="0"/>
            </w:tcBorders>
          </w:tcPr>
          <w:p w14:paraId="115BDA0D">
            <w:pP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期初余额</w:t>
            </w:r>
          </w:p>
        </w:tc>
        <w:tc>
          <w:tcPr>
            <w:tcW w:w="965" w:type="pct"/>
            <w:tcBorders>
              <w:top w:val="single" w:color="auto" w:sz="4" w:space="0"/>
              <w:left w:val="single" w:color="auto" w:sz="4" w:space="0"/>
              <w:bottom w:val="single" w:color="auto" w:sz="4" w:space="0"/>
              <w:right w:val="single" w:color="auto" w:sz="4" w:space="0"/>
            </w:tcBorders>
          </w:tcPr>
          <w:p w14:paraId="0BC8D701">
            <w:pPr>
              <w:jc w:val="right"/>
            </w:pPr>
          </w:p>
        </w:tc>
        <w:tc>
          <w:tcPr>
            <w:tcW w:w="955" w:type="pct"/>
            <w:tcBorders>
              <w:top w:val="single" w:color="auto" w:sz="4" w:space="0"/>
              <w:left w:val="single" w:color="auto" w:sz="4" w:space="0"/>
              <w:bottom w:val="single" w:color="auto" w:sz="4" w:space="0"/>
              <w:right w:val="single" w:color="auto" w:sz="4" w:space="0"/>
            </w:tcBorders>
          </w:tcPr>
          <w:p w14:paraId="32ECF045">
            <w:pPr>
              <w:jc w:val="right"/>
            </w:pPr>
          </w:p>
        </w:tc>
        <w:tc>
          <w:tcPr>
            <w:tcW w:w="893" w:type="pct"/>
            <w:tcBorders>
              <w:top w:val="single" w:color="auto" w:sz="4" w:space="0"/>
              <w:left w:val="single" w:color="auto" w:sz="4" w:space="0"/>
              <w:bottom w:val="single" w:color="auto" w:sz="4" w:space="0"/>
              <w:right w:val="single" w:color="auto" w:sz="4" w:space="0"/>
            </w:tcBorders>
          </w:tcPr>
          <w:p w14:paraId="46CA55AB">
            <w:pPr>
              <w:jc w:val="right"/>
            </w:pPr>
          </w:p>
        </w:tc>
        <w:tc>
          <w:tcPr>
            <w:tcW w:w="905" w:type="pct"/>
            <w:tcBorders>
              <w:top w:val="single" w:color="auto" w:sz="4" w:space="0"/>
              <w:left w:val="single" w:color="auto" w:sz="4" w:space="0"/>
              <w:bottom w:val="single" w:color="auto" w:sz="4" w:space="0"/>
              <w:right w:val="single" w:color="auto" w:sz="4" w:space="0"/>
            </w:tcBorders>
          </w:tcPr>
          <w:p w14:paraId="5B45495A">
            <w:pPr>
              <w:jc w:val="right"/>
            </w:pPr>
          </w:p>
        </w:tc>
      </w:tr>
      <w:tr w14:paraId="374E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82" w:type="pct"/>
            <w:tcBorders>
              <w:top w:val="single" w:color="auto" w:sz="4" w:space="0"/>
              <w:left w:val="single" w:color="auto" w:sz="4" w:space="0"/>
              <w:bottom w:val="single" w:color="auto" w:sz="4" w:space="0"/>
              <w:right w:val="single" w:color="auto" w:sz="4" w:space="0"/>
            </w:tcBorders>
          </w:tcPr>
          <w:p w14:paraId="245761B8">
            <w:pPr>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本期增加金额</w:t>
            </w:r>
          </w:p>
        </w:tc>
        <w:tc>
          <w:tcPr>
            <w:tcW w:w="965" w:type="pct"/>
            <w:tcBorders>
              <w:top w:val="single" w:color="auto" w:sz="4" w:space="0"/>
              <w:left w:val="single" w:color="auto" w:sz="4" w:space="0"/>
              <w:bottom w:val="single" w:color="auto" w:sz="4" w:space="0"/>
              <w:right w:val="single" w:color="auto" w:sz="4" w:space="0"/>
            </w:tcBorders>
          </w:tcPr>
          <w:p w14:paraId="474C92C1">
            <w:pPr>
              <w:jc w:val="right"/>
            </w:pPr>
          </w:p>
        </w:tc>
        <w:tc>
          <w:tcPr>
            <w:tcW w:w="955" w:type="pct"/>
            <w:tcBorders>
              <w:top w:val="single" w:color="auto" w:sz="4" w:space="0"/>
              <w:left w:val="single" w:color="auto" w:sz="4" w:space="0"/>
              <w:bottom w:val="single" w:color="auto" w:sz="4" w:space="0"/>
              <w:right w:val="single" w:color="auto" w:sz="4" w:space="0"/>
            </w:tcBorders>
          </w:tcPr>
          <w:p w14:paraId="5FA6D7D1">
            <w:pPr>
              <w:jc w:val="right"/>
            </w:pPr>
          </w:p>
        </w:tc>
        <w:tc>
          <w:tcPr>
            <w:tcW w:w="893" w:type="pct"/>
            <w:tcBorders>
              <w:top w:val="single" w:color="auto" w:sz="4" w:space="0"/>
              <w:left w:val="single" w:color="auto" w:sz="4" w:space="0"/>
              <w:bottom w:val="single" w:color="auto" w:sz="4" w:space="0"/>
              <w:right w:val="single" w:color="auto" w:sz="4" w:space="0"/>
            </w:tcBorders>
          </w:tcPr>
          <w:p w14:paraId="1EB267BC">
            <w:pPr>
              <w:jc w:val="right"/>
            </w:pPr>
          </w:p>
        </w:tc>
        <w:tc>
          <w:tcPr>
            <w:tcW w:w="905" w:type="pct"/>
            <w:tcBorders>
              <w:top w:val="single" w:color="auto" w:sz="4" w:space="0"/>
              <w:left w:val="single" w:color="auto" w:sz="4" w:space="0"/>
              <w:bottom w:val="single" w:color="auto" w:sz="4" w:space="0"/>
              <w:right w:val="single" w:color="auto" w:sz="4" w:space="0"/>
            </w:tcBorders>
          </w:tcPr>
          <w:p w14:paraId="3D4265F9">
            <w:pPr>
              <w:jc w:val="right"/>
            </w:pPr>
          </w:p>
        </w:tc>
      </w:tr>
      <w:tr w14:paraId="5DAD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82" w:type="pct"/>
            <w:tcBorders>
              <w:top w:val="single" w:color="auto" w:sz="4" w:space="0"/>
              <w:left w:val="single" w:color="auto" w:sz="4" w:space="0"/>
              <w:bottom w:val="single" w:color="auto" w:sz="4" w:space="0"/>
              <w:right w:val="single" w:color="auto" w:sz="4" w:space="0"/>
            </w:tcBorders>
          </w:tcPr>
          <w:p w14:paraId="65A796A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（1）计提</w:t>
            </w:r>
          </w:p>
        </w:tc>
        <w:tc>
          <w:tcPr>
            <w:tcW w:w="965" w:type="pct"/>
            <w:tcBorders>
              <w:top w:val="single" w:color="auto" w:sz="4" w:space="0"/>
              <w:left w:val="single" w:color="auto" w:sz="4" w:space="0"/>
              <w:bottom w:val="single" w:color="auto" w:sz="4" w:space="0"/>
              <w:right w:val="single" w:color="auto" w:sz="4" w:space="0"/>
            </w:tcBorders>
          </w:tcPr>
          <w:p w14:paraId="694B1B12">
            <w:pPr>
              <w:jc w:val="right"/>
            </w:pPr>
          </w:p>
        </w:tc>
        <w:tc>
          <w:tcPr>
            <w:tcW w:w="955" w:type="pct"/>
            <w:tcBorders>
              <w:top w:val="single" w:color="auto" w:sz="4" w:space="0"/>
              <w:left w:val="single" w:color="auto" w:sz="4" w:space="0"/>
              <w:bottom w:val="single" w:color="auto" w:sz="4" w:space="0"/>
              <w:right w:val="single" w:color="auto" w:sz="4" w:space="0"/>
            </w:tcBorders>
          </w:tcPr>
          <w:p w14:paraId="015A674C">
            <w:pPr>
              <w:jc w:val="right"/>
            </w:pPr>
          </w:p>
        </w:tc>
        <w:tc>
          <w:tcPr>
            <w:tcW w:w="893" w:type="pct"/>
            <w:tcBorders>
              <w:top w:val="single" w:color="auto" w:sz="4" w:space="0"/>
              <w:left w:val="single" w:color="auto" w:sz="4" w:space="0"/>
              <w:bottom w:val="single" w:color="auto" w:sz="4" w:space="0"/>
              <w:right w:val="single" w:color="auto" w:sz="4" w:space="0"/>
            </w:tcBorders>
          </w:tcPr>
          <w:p w14:paraId="0439755A">
            <w:pPr>
              <w:jc w:val="right"/>
            </w:pPr>
          </w:p>
        </w:tc>
        <w:tc>
          <w:tcPr>
            <w:tcW w:w="905" w:type="pct"/>
            <w:tcBorders>
              <w:top w:val="single" w:color="auto" w:sz="4" w:space="0"/>
              <w:left w:val="single" w:color="auto" w:sz="4" w:space="0"/>
              <w:bottom w:val="single" w:color="auto" w:sz="4" w:space="0"/>
              <w:right w:val="single" w:color="auto" w:sz="4" w:space="0"/>
            </w:tcBorders>
          </w:tcPr>
          <w:p w14:paraId="2B57ADA7">
            <w:pPr>
              <w:jc w:val="right"/>
            </w:pPr>
          </w:p>
        </w:tc>
      </w:tr>
      <w:tr w14:paraId="751D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82" w:type="pct"/>
            <w:tcBorders>
              <w:top w:val="single" w:color="auto" w:sz="4" w:space="0"/>
              <w:left w:val="single" w:color="auto" w:sz="4" w:space="0"/>
              <w:bottom w:val="single" w:color="auto" w:sz="4" w:space="0"/>
              <w:right w:val="single" w:color="auto" w:sz="4" w:space="0"/>
            </w:tcBorders>
          </w:tcPr>
          <w:p w14:paraId="3C58F3D2">
            <w:pPr>
              <w:rPr>
                <w:color w:val="000000" w:themeColor="text1"/>
                <w14:textFill>
                  <w14:solidFill>
                    <w14:schemeClr w14:val="tx1"/>
                  </w14:solidFill>
                </w14:textFill>
              </w:rPr>
            </w:pPr>
            <w:r>
              <w:rPr>
                <w:rFonts w:hint="eastAsia"/>
                <w:color w:val="000000" w:themeColor="text1"/>
                <w14:textFill>
                  <w14:solidFill>
                    <w14:schemeClr w14:val="tx1"/>
                  </w14:solidFill>
                </w14:textFill>
              </w:rPr>
              <w:t>3、本期减少金额</w:t>
            </w:r>
          </w:p>
        </w:tc>
        <w:tc>
          <w:tcPr>
            <w:tcW w:w="965" w:type="pct"/>
            <w:tcBorders>
              <w:top w:val="single" w:color="auto" w:sz="4" w:space="0"/>
              <w:left w:val="single" w:color="auto" w:sz="4" w:space="0"/>
              <w:bottom w:val="single" w:color="auto" w:sz="4" w:space="0"/>
              <w:right w:val="single" w:color="auto" w:sz="4" w:space="0"/>
            </w:tcBorders>
          </w:tcPr>
          <w:p w14:paraId="3B8E9C20">
            <w:pPr>
              <w:jc w:val="right"/>
            </w:pPr>
          </w:p>
        </w:tc>
        <w:tc>
          <w:tcPr>
            <w:tcW w:w="955" w:type="pct"/>
            <w:tcBorders>
              <w:top w:val="single" w:color="auto" w:sz="4" w:space="0"/>
              <w:left w:val="single" w:color="auto" w:sz="4" w:space="0"/>
              <w:bottom w:val="single" w:color="auto" w:sz="4" w:space="0"/>
              <w:right w:val="single" w:color="auto" w:sz="4" w:space="0"/>
            </w:tcBorders>
          </w:tcPr>
          <w:p w14:paraId="6908537C">
            <w:pPr>
              <w:jc w:val="right"/>
            </w:pPr>
          </w:p>
        </w:tc>
        <w:tc>
          <w:tcPr>
            <w:tcW w:w="893" w:type="pct"/>
            <w:tcBorders>
              <w:top w:val="single" w:color="auto" w:sz="4" w:space="0"/>
              <w:left w:val="single" w:color="auto" w:sz="4" w:space="0"/>
              <w:bottom w:val="single" w:color="auto" w:sz="4" w:space="0"/>
              <w:right w:val="single" w:color="auto" w:sz="4" w:space="0"/>
            </w:tcBorders>
          </w:tcPr>
          <w:p w14:paraId="7F77B068">
            <w:pPr>
              <w:jc w:val="right"/>
            </w:pPr>
          </w:p>
        </w:tc>
        <w:tc>
          <w:tcPr>
            <w:tcW w:w="905" w:type="pct"/>
            <w:tcBorders>
              <w:top w:val="single" w:color="auto" w:sz="4" w:space="0"/>
              <w:left w:val="single" w:color="auto" w:sz="4" w:space="0"/>
              <w:bottom w:val="single" w:color="auto" w:sz="4" w:space="0"/>
              <w:right w:val="single" w:color="auto" w:sz="4" w:space="0"/>
            </w:tcBorders>
          </w:tcPr>
          <w:p w14:paraId="2DB7895B">
            <w:pPr>
              <w:jc w:val="right"/>
            </w:pPr>
          </w:p>
        </w:tc>
      </w:tr>
      <w:tr w14:paraId="46EC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82" w:type="pct"/>
            <w:tcBorders>
              <w:top w:val="single" w:color="auto" w:sz="4" w:space="0"/>
              <w:left w:val="single" w:color="auto" w:sz="4" w:space="0"/>
              <w:bottom w:val="single" w:color="auto" w:sz="4" w:space="0"/>
              <w:right w:val="single" w:color="auto" w:sz="4" w:space="0"/>
            </w:tcBorders>
          </w:tcPr>
          <w:p w14:paraId="7E3C68C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（1）处置</w:t>
            </w:r>
          </w:p>
        </w:tc>
        <w:tc>
          <w:tcPr>
            <w:tcW w:w="965" w:type="pct"/>
            <w:tcBorders>
              <w:top w:val="single" w:color="auto" w:sz="4" w:space="0"/>
              <w:left w:val="single" w:color="auto" w:sz="4" w:space="0"/>
              <w:bottom w:val="single" w:color="auto" w:sz="4" w:space="0"/>
              <w:right w:val="single" w:color="auto" w:sz="4" w:space="0"/>
            </w:tcBorders>
          </w:tcPr>
          <w:p w14:paraId="6E8DD2CB">
            <w:pPr>
              <w:jc w:val="right"/>
            </w:pPr>
          </w:p>
        </w:tc>
        <w:tc>
          <w:tcPr>
            <w:tcW w:w="955" w:type="pct"/>
            <w:tcBorders>
              <w:top w:val="single" w:color="auto" w:sz="4" w:space="0"/>
              <w:left w:val="single" w:color="auto" w:sz="4" w:space="0"/>
              <w:bottom w:val="single" w:color="auto" w:sz="4" w:space="0"/>
              <w:right w:val="single" w:color="auto" w:sz="4" w:space="0"/>
            </w:tcBorders>
          </w:tcPr>
          <w:p w14:paraId="51DCB0DA">
            <w:pPr>
              <w:jc w:val="right"/>
            </w:pPr>
          </w:p>
        </w:tc>
        <w:tc>
          <w:tcPr>
            <w:tcW w:w="893" w:type="pct"/>
            <w:tcBorders>
              <w:top w:val="single" w:color="auto" w:sz="4" w:space="0"/>
              <w:left w:val="single" w:color="auto" w:sz="4" w:space="0"/>
              <w:bottom w:val="single" w:color="auto" w:sz="4" w:space="0"/>
              <w:right w:val="single" w:color="auto" w:sz="4" w:space="0"/>
            </w:tcBorders>
          </w:tcPr>
          <w:p w14:paraId="1A7985D2">
            <w:pPr>
              <w:jc w:val="right"/>
            </w:pPr>
          </w:p>
        </w:tc>
        <w:tc>
          <w:tcPr>
            <w:tcW w:w="905" w:type="pct"/>
            <w:tcBorders>
              <w:top w:val="single" w:color="auto" w:sz="4" w:space="0"/>
              <w:left w:val="single" w:color="auto" w:sz="4" w:space="0"/>
              <w:bottom w:val="single" w:color="auto" w:sz="4" w:space="0"/>
              <w:right w:val="single" w:color="auto" w:sz="4" w:space="0"/>
            </w:tcBorders>
          </w:tcPr>
          <w:p w14:paraId="430F8EF9">
            <w:pPr>
              <w:jc w:val="right"/>
            </w:pPr>
          </w:p>
        </w:tc>
      </w:tr>
      <w:tr w14:paraId="6608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82" w:type="pct"/>
            <w:tcBorders>
              <w:top w:val="single" w:color="auto" w:sz="4" w:space="0"/>
              <w:left w:val="single" w:color="auto" w:sz="4" w:space="0"/>
              <w:bottom w:val="single" w:color="auto" w:sz="4" w:space="0"/>
              <w:right w:val="single" w:color="auto" w:sz="4" w:space="0"/>
            </w:tcBorders>
          </w:tcPr>
          <w:p w14:paraId="032CBA33">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（2）其他转出</w:t>
            </w:r>
          </w:p>
        </w:tc>
        <w:tc>
          <w:tcPr>
            <w:tcW w:w="965" w:type="pct"/>
            <w:tcBorders>
              <w:top w:val="single" w:color="auto" w:sz="4" w:space="0"/>
              <w:left w:val="single" w:color="auto" w:sz="4" w:space="0"/>
              <w:bottom w:val="single" w:color="auto" w:sz="4" w:space="0"/>
              <w:right w:val="single" w:color="auto" w:sz="4" w:space="0"/>
            </w:tcBorders>
          </w:tcPr>
          <w:p w14:paraId="65EFECB3">
            <w:pPr>
              <w:jc w:val="right"/>
            </w:pPr>
          </w:p>
        </w:tc>
        <w:tc>
          <w:tcPr>
            <w:tcW w:w="955" w:type="pct"/>
            <w:tcBorders>
              <w:top w:val="single" w:color="auto" w:sz="4" w:space="0"/>
              <w:left w:val="single" w:color="auto" w:sz="4" w:space="0"/>
              <w:bottom w:val="single" w:color="auto" w:sz="4" w:space="0"/>
              <w:right w:val="single" w:color="auto" w:sz="4" w:space="0"/>
            </w:tcBorders>
          </w:tcPr>
          <w:p w14:paraId="40587562">
            <w:pPr>
              <w:jc w:val="right"/>
            </w:pPr>
          </w:p>
        </w:tc>
        <w:tc>
          <w:tcPr>
            <w:tcW w:w="893" w:type="pct"/>
            <w:tcBorders>
              <w:top w:val="single" w:color="auto" w:sz="4" w:space="0"/>
              <w:left w:val="single" w:color="auto" w:sz="4" w:space="0"/>
              <w:bottom w:val="single" w:color="auto" w:sz="4" w:space="0"/>
              <w:right w:val="single" w:color="auto" w:sz="4" w:space="0"/>
            </w:tcBorders>
          </w:tcPr>
          <w:p w14:paraId="1C9BFFBA">
            <w:pPr>
              <w:jc w:val="right"/>
            </w:pPr>
          </w:p>
        </w:tc>
        <w:tc>
          <w:tcPr>
            <w:tcW w:w="905" w:type="pct"/>
            <w:tcBorders>
              <w:top w:val="single" w:color="auto" w:sz="4" w:space="0"/>
              <w:left w:val="single" w:color="auto" w:sz="4" w:space="0"/>
              <w:bottom w:val="single" w:color="auto" w:sz="4" w:space="0"/>
              <w:right w:val="single" w:color="auto" w:sz="4" w:space="0"/>
            </w:tcBorders>
          </w:tcPr>
          <w:p w14:paraId="27AE5538">
            <w:pPr>
              <w:jc w:val="right"/>
            </w:pPr>
          </w:p>
        </w:tc>
      </w:tr>
      <w:tr w14:paraId="1067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82" w:type="pct"/>
            <w:tcBorders>
              <w:top w:val="single" w:color="auto" w:sz="4" w:space="0"/>
              <w:left w:val="single" w:color="auto" w:sz="4" w:space="0"/>
              <w:bottom w:val="single" w:color="auto" w:sz="4" w:space="0"/>
              <w:right w:val="single" w:color="auto" w:sz="4" w:space="0"/>
            </w:tcBorders>
          </w:tcPr>
          <w:p w14:paraId="37CEF523">
            <w:pPr>
              <w:rPr>
                <w:color w:val="000000" w:themeColor="text1"/>
                <w14:textFill>
                  <w14:solidFill>
                    <w14:schemeClr w14:val="tx1"/>
                  </w14:solidFill>
                </w14:textFill>
              </w:rPr>
            </w:pPr>
            <w:r>
              <w:rPr>
                <w:rFonts w:hint="eastAsia"/>
                <w:color w:val="000000" w:themeColor="text1"/>
                <w14:textFill>
                  <w14:solidFill>
                    <w14:schemeClr w14:val="tx1"/>
                  </w14:solidFill>
                </w14:textFill>
              </w:rPr>
              <w:t>4.期末余额</w:t>
            </w:r>
          </w:p>
        </w:tc>
        <w:tc>
          <w:tcPr>
            <w:tcW w:w="965" w:type="pct"/>
            <w:tcBorders>
              <w:top w:val="single" w:color="auto" w:sz="4" w:space="0"/>
              <w:left w:val="single" w:color="auto" w:sz="4" w:space="0"/>
              <w:bottom w:val="single" w:color="auto" w:sz="4" w:space="0"/>
              <w:right w:val="single" w:color="auto" w:sz="4" w:space="0"/>
            </w:tcBorders>
          </w:tcPr>
          <w:p w14:paraId="199F174F">
            <w:pPr>
              <w:jc w:val="right"/>
            </w:pPr>
          </w:p>
        </w:tc>
        <w:tc>
          <w:tcPr>
            <w:tcW w:w="955" w:type="pct"/>
            <w:tcBorders>
              <w:top w:val="single" w:color="auto" w:sz="4" w:space="0"/>
              <w:left w:val="single" w:color="auto" w:sz="4" w:space="0"/>
              <w:bottom w:val="single" w:color="auto" w:sz="4" w:space="0"/>
              <w:right w:val="single" w:color="auto" w:sz="4" w:space="0"/>
            </w:tcBorders>
          </w:tcPr>
          <w:p w14:paraId="074DF224">
            <w:pPr>
              <w:jc w:val="right"/>
            </w:pPr>
          </w:p>
        </w:tc>
        <w:tc>
          <w:tcPr>
            <w:tcW w:w="893" w:type="pct"/>
            <w:tcBorders>
              <w:top w:val="single" w:color="auto" w:sz="4" w:space="0"/>
              <w:left w:val="single" w:color="auto" w:sz="4" w:space="0"/>
              <w:bottom w:val="single" w:color="auto" w:sz="4" w:space="0"/>
              <w:right w:val="single" w:color="auto" w:sz="4" w:space="0"/>
            </w:tcBorders>
          </w:tcPr>
          <w:p w14:paraId="544F0AA5">
            <w:pPr>
              <w:jc w:val="right"/>
            </w:pPr>
          </w:p>
        </w:tc>
        <w:tc>
          <w:tcPr>
            <w:tcW w:w="905" w:type="pct"/>
            <w:tcBorders>
              <w:top w:val="single" w:color="auto" w:sz="4" w:space="0"/>
              <w:left w:val="single" w:color="auto" w:sz="4" w:space="0"/>
              <w:bottom w:val="single" w:color="auto" w:sz="4" w:space="0"/>
              <w:right w:val="single" w:color="auto" w:sz="4" w:space="0"/>
            </w:tcBorders>
          </w:tcPr>
          <w:p w14:paraId="7758454A">
            <w:pPr>
              <w:jc w:val="right"/>
            </w:pPr>
          </w:p>
        </w:tc>
      </w:tr>
      <w:tr w14:paraId="737A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sdt>
          <w:sdtPr>
            <w:tag w:val="_PLD_dd5ff8f664da49d38ce3a1157275c392"/>
            <w:id w:val="-1295973929"/>
          </w:sdtPr>
          <w:sdtContent>
            <w:tc>
              <w:tcPr>
                <w:tcW w:w="5000" w:type="pct"/>
                <w:gridSpan w:val="5"/>
                <w:tcBorders>
                  <w:top w:val="single" w:color="auto" w:sz="4" w:space="0"/>
                  <w:left w:val="single" w:color="auto" w:sz="4" w:space="0"/>
                  <w:bottom w:val="single" w:color="auto" w:sz="4" w:space="0"/>
                  <w:right w:val="single" w:color="auto" w:sz="4" w:space="0"/>
                </w:tcBorders>
              </w:tcPr>
              <w:p w14:paraId="5CF30E59">
                <w:pPr>
                  <w:rPr>
                    <w:color w:val="000000" w:themeColor="text1"/>
                    <w14:textFill>
                      <w14:solidFill>
                        <w14:schemeClr w14:val="tx1"/>
                      </w14:solidFill>
                    </w14:textFill>
                  </w:rPr>
                </w:pPr>
                <w:r>
                  <w:rPr>
                    <w:rFonts w:hint="eastAsia"/>
                    <w:color w:val="000000" w:themeColor="text1"/>
                    <w14:textFill>
                      <w14:solidFill>
                        <w14:schemeClr w14:val="tx1"/>
                      </w14:solidFill>
                    </w14:textFill>
                  </w:rPr>
                  <w:t>四、账面价值</w:t>
                </w:r>
              </w:p>
            </w:tc>
          </w:sdtContent>
        </w:sdt>
      </w:tr>
      <w:tr w14:paraId="5222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82" w:type="pct"/>
            <w:tcBorders>
              <w:top w:val="single" w:color="auto" w:sz="4" w:space="0"/>
              <w:left w:val="single" w:color="auto" w:sz="4" w:space="0"/>
              <w:bottom w:val="single" w:color="auto" w:sz="4" w:space="0"/>
              <w:right w:val="single" w:color="auto" w:sz="4" w:space="0"/>
            </w:tcBorders>
          </w:tcPr>
          <w:p w14:paraId="34503E41">
            <w:pP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期末账面价值</w:t>
            </w:r>
          </w:p>
        </w:tc>
        <w:tc>
          <w:tcPr>
            <w:tcW w:w="965" w:type="pct"/>
            <w:tcBorders>
              <w:top w:val="single" w:color="auto" w:sz="4" w:space="0"/>
              <w:left w:val="single" w:color="auto" w:sz="4" w:space="0"/>
              <w:bottom w:val="single" w:color="auto" w:sz="4" w:space="0"/>
              <w:right w:val="single" w:color="auto" w:sz="4" w:space="0"/>
            </w:tcBorders>
          </w:tcPr>
          <w:p w14:paraId="05710913">
            <w:pPr>
              <w:jc w:val="right"/>
            </w:pPr>
            <w:r>
              <w:t>52,819,122.43</w:t>
            </w:r>
          </w:p>
        </w:tc>
        <w:tc>
          <w:tcPr>
            <w:tcW w:w="955" w:type="pct"/>
            <w:tcBorders>
              <w:top w:val="single" w:color="auto" w:sz="4" w:space="0"/>
              <w:left w:val="single" w:color="auto" w:sz="4" w:space="0"/>
              <w:bottom w:val="single" w:color="auto" w:sz="4" w:space="0"/>
              <w:right w:val="single" w:color="auto" w:sz="4" w:space="0"/>
            </w:tcBorders>
          </w:tcPr>
          <w:p w14:paraId="5C75DFFD">
            <w:pPr>
              <w:jc w:val="right"/>
            </w:pPr>
          </w:p>
        </w:tc>
        <w:tc>
          <w:tcPr>
            <w:tcW w:w="893" w:type="pct"/>
            <w:tcBorders>
              <w:top w:val="single" w:color="auto" w:sz="4" w:space="0"/>
              <w:left w:val="single" w:color="auto" w:sz="4" w:space="0"/>
              <w:bottom w:val="single" w:color="auto" w:sz="4" w:space="0"/>
              <w:right w:val="single" w:color="auto" w:sz="4" w:space="0"/>
            </w:tcBorders>
          </w:tcPr>
          <w:p w14:paraId="311ECEB1">
            <w:pPr>
              <w:jc w:val="right"/>
            </w:pPr>
          </w:p>
        </w:tc>
        <w:tc>
          <w:tcPr>
            <w:tcW w:w="905" w:type="pct"/>
            <w:tcBorders>
              <w:top w:val="single" w:color="auto" w:sz="4" w:space="0"/>
              <w:left w:val="single" w:color="auto" w:sz="4" w:space="0"/>
              <w:bottom w:val="single" w:color="auto" w:sz="4" w:space="0"/>
              <w:right w:val="single" w:color="auto" w:sz="4" w:space="0"/>
            </w:tcBorders>
          </w:tcPr>
          <w:p w14:paraId="05EC37B8">
            <w:pPr>
              <w:jc w:val="right"/>
            </w:pPr>
            <w:r>
              <w:t>52,819,122.43</w:t>
            </w:r>
          </w:p>
        </w:tc>
      </w:tr>
      <w:tr w14:paraId="394E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282" w:type="pct"/>
            <w:tcBorders>
              <w:top w:val="single" w:color="auto" w:sz="4" w:space="0"/>
              <w:left w:val="single" w:color="auto" w:sz="4" w:space="0"/>
              <w:bottom w:val="single" w:color="auto" w:sz="4" w:space="0"/>
              <w:right w:val="single" w:color="auto" w:sz="4" w:space="0"/>
            </w:tcBorders>
          </w:tcPr>
          <w:p w14:paraId="04E652D9">
            <w:pPr>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期初账面价值</w:t>
            </w:r>
          </w:p>
        </w:tc>
        <w:tc>
          <w:tcPr>
            <w:tcW w:w="965" w:type="pct"/>
            <w:tcBorders>
              <w:top w:val="single" w:color="auto" w:sz="4" w:space="0"/>
              <w:left w:val="single" w:color="auto" w:sz="4" w:space="0"/>
              <w:bottom w:val="single" w:color="auto" w:sz="4" w:space="0"/>
              <w:right w:val="single" w:color="auto" w:sz="4" w:space="0"/>
            </w:tcBorders>
          </w:tcPr>
          <w:p w14:paraId="1304FE90">
            <w:pPr>
              <w:jc w:val="right"/>
            </w:pPr>
            <w:r>
              <w:t>54,220,388.29</w:t>
            </w:r>
          </w:p>
        </w:tc>
        <w:tc>
          <w:tcPr>
            <w:tcW w:w="955" w:type="pct"/>
            <w:tcBorders>
              <w:top w:val="single" w:color="auto" w:sz="4" w:space="0"/>
              <w:left w:val="single" w:color="auto" w:sz="4" w:space="0"/>
              <w:bottom w:val="single" w:color="auto" w:sz="4" w:space="0"/>
              <w:right w:val="single" w:color="auto" w:sz="4" w:space="0"/>
            </w:tcBorders>
          </w:tcPr>
          <w:p w14:paraId="41A6A8D6">
            <w:pPr>
              <w:jc w:val="right"/>
            </w:pPr>
          </w:p>
        </w:tc>
        <w:tc>
          <w:tcPr>
            <w:tcW w:w="893" w:type="pct"/>
            <w:tcBorders>
              <w:top w:val="single" w:color="auto" w:sz="4" w:space="0"/>
              <w:left w:val="single" w:color="auto" w:sz="4" w:space="0"/>
              <w:bottom w:val="single" w:color="auto" w:sz="4" w:space="0"/>
              <w:right w:val="single" w:color="auto" w:sz="4" w:space="0"/>
            </w:tcBorders>
          </w:tcPr>
          <w:p w14:paraId="31A8015F">
            <w:pPr>
              <w:jc w:val="right"/>
            </w:pPr>
          </w:p>
        </w:tc>
        <w:tc>
          <w:tcPr>
            <w:tcW w:w="905" w:type="pct"/>
            <w:tcBorders>
              <w:top w:val="single" w:color="auto" w:sz="4" w:space="0"/>
              <w:left w:val="single" w:color="auto" w:sz="4" w:space="0"/>
              <w:bottom w:val="single" w:color="auto" w:sz="4" w:space="0"/>
              <w:right w:val="single" w:color="auto" w:sz="4" w:space="0"/>
            </w:tcBorders>
          </w:tcPr>
          <w:p w14:paraId="15495502">
            <w:pPr>
              <w:jc w:val="right"/>
            </w:pPr>
            <w:r>
              <w:t>54,220,388.29</w:t>
            </w:r>
          </w:p>
        </w:tc>
      </w:tr>
    </w:tbl>
    <w:p w14:paraId="236A0AD2">
      <w:pPr>
        <w:rPr>
          <w:color w:val="000000" w:themeColor="text1"/>
          <w14:textFill>
            <w14:solidFill>
              <w14:schemeClr w14:val="tx1"/>
            </w14:solidFill>
          </w14:textFill>
        </w:rPr>
      </w:pPr>
    </w:p>
    <w:p w14:paraId="362DEA3D">
      <w:pPr>
        <w:pStyle w:val="5"/>
        <w:numPr>
          <w:ilvl w:val="0"/>
          <w:numId w:val="68"/>
        </w:numPr>
        <w:tabs>
          <w:tab w:val="left" w:pos="616"/>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未办妥产权证书的投资性房地产情况：</w:t>
      </w:r>
    </w:p>
    <w:p w14:paraId="6AAD551B">
      <w:pPr>
        <w:rPr>
          <w:color w:val="000000" w:themeColor="text1"/>
          <w14:textFill>
            <w14:solidFill>
              <w14:schemeClr w14:val="tx1"/>
            </w14:solidFill>
          </w14:textFill>
        </w:rPr>
      </w:pPr>
      <w:sdt>
        <w:sdtPr>
          <w:rPr>
            <w:color w:val="000000" w:themeColor="text1"/>
            <w14:textFill>
              <w14:solidFill>
                <w14:schemeClr w14:val="tx1"/>
              </w14:solidFill>
            </w14:textFill>
          </w:rPr>
          <w:alias w:val="是否适用：未办妥产权证书的投资性房地产情况[双击切换]"/>
          <w:tag w:val="_GBC_6ea8ec03c59f4a3585f376319ae453c5"/>
          <w:id w:val="-736562205"/>
          <w:placeholder>
            <w:docPart w:val="GBC22222222222222222222222222222"/>
          </w:placeholder>
        </w:sdtPr>
        <w:sdtEndPr>
          <w:rPr>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p w14:paraId="1777A3D0">
      <w:pPr>
        <w:rPr>
          <w:rFonts w:cstheme="minorBidi"/>
          <w:color w:val="000000" w:themeColor="text1"/>
          <w:kern w:val="2"/>
          <w14:textFill>
            <w14:solidFill>
              <w14:schemeClr w14:val="tx1"/>
            </w14:solidFill>
          </w14:textFill>
        </w:rPr>
      </w:pPr>
    </w:p>
    <w:p w14:paraId="16A6DABB">
      <w:pPr>
        <w:pStyle w:val="5"/>
        <w:numPr>
          <w:ilvl w:val="0"/>
          <w:numId w:val="68"/>
        </w:numPr>
        <w:tabs>
          <w:tab w:val="left" w:pos="616"/>
        </w:tabs>
        <w:rPr>
          <w:rFonts w:hint="eastAsia" w:ascii="宋体" w:hAnsi="宋体"/>
          <w:color w:val="000000" w:themeColor="text1"/>
          <w:szCs w:val="21"/>
          <w14:textFill>
            <w14:solidFill>
              <w14:schemeClr w14:val="tx1"/>
            </w14:solidFill>
          </w14:textFill>
        </w:rPr>
      </w:pPr>
      <w:bookmarkStart w:id="285" w:name="_Hlk153460290"/>
      <w:bookmarkStart w:id="286" w:name="_Hlk167895351"/>
      <w:r>
        <w:rPr>
          <w:rFonts w:hint="eastAsia" w:ascii="宋体" w:hAnsi="宋体"/>
          <w:color w:val="000000" w:themeColor="text1"/>
          <w:szCs w:val="21"/>
          <w14:textFill>
            <w14:solidFill>
              <w14:schemeClr w14:val="tx1"/>
            </w14:solidFill>
          </w14:textFill>
        </w:rPr>
        <w:t>采用成本计量模式的投资性房地产的减值测试情况</w:t>
      </w:r>
    </w:p>
    <w:sdt>
      <w:sdtPr>
        <w:rPr>
          <w:color w:val="000000" w:themeColor="text1"/>
          <w14:textFill>
            <w14:solidFill>
              <w14:schemeClr w14:val="tx1"/>
            </w14:solidFill>
          </w14:textFill>
        </w:rPr>
        <w:alias w:val="是否适用：减值测试情况[双击切换]"/>
        <w:tag w:val="_GBC_14e138c3da48491787bccf21877f5a28"/>
        <w:id w:val="738606811"/>
        <w:placeholder>
          <w:docPart w:val="GBC22222222222222222222222222222"/>
        </w:placeholder>
      </w:sdtPr>
      <w:sdtEndPr>
        <w:rPr>
          <w:color w:val="000000" w:themeColor="text1"/>
          <w14:textFill>
            <w14:solidFill>
              <w14:schemeClr w14:val="tx1"/>
            </w14:solidFill>
          </w14:textFill>
        </w:rPr>
      </w:sdtEndPr>
      <w:sdtContent>
        <w:p w14:paraId="1A21FD5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D60F725">
      <w:pPr>
        <w:rPr>
          <w:color w:val="000000" w:themeColor="text1"/>
          <w14:textFill>
            <w14:solidFill>
              <w14:schemeClr w14:val="tx1"/>
            </w14:solidFill>
          </w14:textFill>
        </w:rPr>
      </w:pPr>
    </w:p>
    <w:p w14:paraId="7BF61111">
      <w:pPr>
        <w:snapToGrid w:val="0"/>
        <w:spacing w:line="240" w:lineRule="atLeast"/>
        <w:rPr>
          <w:color w:val="000000" w:themeColor="text1"/>
          <w14:textFill>
            <w14:solidFill>
              <w14:schemeClr w14:val="tx1"/>
            </w14:solidFill>
          </w14:textFill>
        </w:rPr>
      </w:pPr>
    </w:p>
    <w:bookmarkEnd w:id="285"/>
    <w:bookmarkEnd w:id="286"/>
    <w:p w14:paraId="29F9B615">
      <w:pPr>
        <w:rPr>
          <w:color w:val="000000" w:themeColor="text1"/>
          <w14:textFill>
            <w14:solidFill>
              <w14:schemeClr w14:val="tx1"/>
            </w14:solidFill>
          </w14:textFill>
        </w:rPr>
      </w:pPr>
      <w:bookmarkStart w:id="287" w:name="_Hlk167895445"/>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投资性房地产的说明[双击切换]"/>
        <w:tag w:val="_GBC_b8a71f0668054d4690d61665ba8183c0"/>
        <w:id w:val="1836730044"/>
        <w:placeholder>
          <w:docPart w:val="GBC22222222222222222222222222222"/>
        </w:placeholder>
      </w:sdtPr>
      <w:sdtEndPr>
        <w:rPr>
          <w:color w:val="000000" w:themeColor="text1"/>
          <w14:textFill>
            <w14:solidFill>
              <w14:schemeClr w14:val="tx1"/>
            </w14:solidFill>
          </w14:textFill>
        </w:rPr>
      </w:sdtEndPr>
      <w:sdtContent>
        <w:p w14:paraId="690B63B7">
          <w:pPr>
            <w:rPr>
              <w:rFonts w:cstheme="minorBidi"/>
              <w:color w:val="000000" w:themeColor="text1"/>
              <w:kern w:val="2"/>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4FD439C">
      <w:pPr>
        <w:rPr>
          <w:color w:val="000000" w:themeColor="text1"/>
          <w14:textFill>
            <w14:solidFill>
              <w14:schemeClr w14:val="tx1"/>
            </w14:solidFill>
          </w14:textFill>
        </w:rPr>
      </w:pPr>
    </w:p>
    <w:bookmarkEnd w:id="287"/>
    <w:p w14:paraId="3317B999">
      <w:pPr>
        <w:ind w:right="283"/>
        <w:rPr>
          <w:color w:val="000000" w:themeColor="text1"/>
          <w14:textFill>
            <w14:solidFill>
              <w14:schemeClr w14:val="tx1"/>
            </w14:solidFill>
          </w14:textFill>
        </w:rPr>
      </w:pPr>
      <w:bookmarkStart w:id="288" w:name="_Hlk167895546"/>
      <w:bookmarkEnd w:id="288"/>
    </w:p>
    <w:p w14:paraId="3037FB39">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固定资产</w:t>
      </w:r>
    </w:p>
    <w:p w14:paraId="6EAD8EF9">
      <w:pPr>
        <w:pStyle w:val="5"/>
        <w:tabs>
          <w:tab w:val="left" w:pos="588"/>
        </w:tabs>
        <w:rPr>
          <w:rFonts w:hint="eastAsia" w:ascii="宋体" w:hAnsi="宋体"/>
          <w:color w:val="000000" w:themeColor="text1"/>
          <w14:textFill>
            <w14:solidFill>
              <w14:schemeClr w14:val="tx1"/>
            </w14:solidFill>
          </w14:textFill>
        </w:rPr>
      </w:pPr>
      <w:bookmarkStart w:id="289" w:name="_Hlk10472369"/>
      <w:r>
        <w:rPr>
          <w:rFonts w:hint="eastAsia" w:ascii="宋体" w:hAnsi="宋体"/>
          <w:color w:val="000000" w:themeColor="text1"/>
          <w14:textFill>
            <w14:solidFill>
              <w14:schemeClr w14:val="tx1"/>
            </w14:solidFill>
          </w14:textFill>
        </w:rPr>
        <w:t>项目列示</w:t>
      </w:r>
    </w:p>
    <w:sdt>
      <w:sdtPr>
        <w:rPr>
          <w:color w:val="000000" w:themeColor="text1"/>
          <w14:textFill>
            <w14:solidFill>
              <w14:schemeClr w14:val="tx1"/>
            </w14:solidFill>
          </w14:textFill>
        </w:rPr>
        <w:alias w:val="是否适用：固定资产分类列示[双击切换]"/>
        <w:tag w:val="_GBC_73d82e583dcc4330bebfeb83abd5f5bb"/>
        <w:id w:val="1175615470"/>
        <w:placeholder>
          <w:docPart w:val="GBC22222222222222222222222222222"/>
        </w:placeholder>
      </w:sdtPr>
      <w:sdtEndPr>
        <w:rPr>
          <w:color w:val="000000" w:themeColor="text1"/>
          <w14:textFill>
            <w14:solidFill>
              <w14:schemeClr w14:val="tx1"/>
            </w14:solidFill>
          </w14:textFill>
        </w:rPr>
      </w:sdtEndPr>
      <w:sdtContent>
        <w:p w14:paraId="1352DB6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CB8868A">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固定资产分类列示"/>
          <w:tag w:val="_GBC_1ddbfde119544f109a3b12a48ffde12d"/>
          <w:id w:val="13039616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固定资产分类列示"/>
          <w:tag w:val="_GBC_fcb83ec59024431d9f3167f55c1ae7c0"/>
          <w:id w:val="-6681762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5"/>
        <w:gridCol w:w="2792"/>
        <w:gridCol w:w="2806"/>
      </w:tblGrid>
      <w:tr w14:paraId="6D16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8242dd3761084b5fa8943b910dbdbe45"/>
            <w:id w:val="-401131802"/>
          </w:sdtPr>
          <w:sdtContent>
            <w:tc>
              <w:tcPr>
                <w:tcW w:w="1828" w:type="pct"/>
                <w:vAlign w:val="center"/>
              </w:tcPr>
              <w:p w14:paraId="7E0E40D5">
                <w:pPr>
                  <w:tabs>
                    <w:tab w:val="right" w:pos="3690"/>
                    <w:tab w:val="right" w:pos="5130"/>
                    <w:tab w:val="right" w:pos="6030"/>
                    <w:tab w:val="right" w:pos="7650"/>
                    <w:tab w:val="right" w:pos="9270"/>
                  </w:tabs>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666df388ce2f4405af4694ebf5c112ca"/>
            <w:id w:val="1665123817"/>
          </w:sdtPr>
          <w:sdtContent>
            <w:tc>
              <w:tcPr>
                <w:tcW w:w="1582" w:type="pct"/>
                <w:vAlign w:val="center"/>
              </w:tcPr>
              <w:p w14:paraId="03DA306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ca4fd9ec8b6a43259f78c36475f04e58"/>
            <w:id w:val="-576818513"/>
          </w:sdtPr>
          <w:sdtContent>
            <w:tc>
              <w:tcPr>
                <w:tcW w:w="1590" w:type="pct"/>
                <w:vAlign w:val="center"/>
              </w:tcPr>
              <w:p w14:paraId="647EBC9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2BD0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pct"/>
          </w:tcPr>
          <w:p w14:paraId="04A5F462">
            <w:pPr>
              <w:tabs>
                <w:tab w:val="right" w:pos="3690"/>
                <w:tab w:val="right" w:pos="5130"/>
                <w:tab w:val="right" w:pos="6030"/>
                <w:tab w:val="right" w:pos="7650"/>
                <w:tab w:val="right" w:pos="9270"/>
              </w:tabs>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固定资产</w:t>
            </w:r>
          </w:p>
        </w:tc>
        <w:tc>
          <w:tcPr>
            <w:tcW w:w="1582" w:type="pct"/>
          </w:tcPr>
          <w:p w14:paraId="6D9CFE3C">
            <w:pPr>
              <w:tabs>
                <w:tab w:val="right" w:pos="3690"/>
                <w:tab w:val="right" w:pos="5130"/>
                <w:tab w:val="right" w:pos="6030"/>
                <w:tab w:val="right" w:pos="7650"/>
                <w:tab w:val="right" w:pos="9270"/>
              </w:tabs>
              <w:adjustRightInd w:val="0"/>
              <w:snapToGrid w:val="0"/>
              <w:jc w:val="right"/>
            </w:pPr>
            <w:r>
              <w:t>3,148,783,333.48</w:t>
            </w:r>
          </w:p>
        </w:tc>
        <w:tc>
          <w:tcPr>
            <w:tcW w:w="1590" w:type="pct"/>
          </w:tcPr>
          <w:p w14:paraId="3AD22B33">
            <w:pPr>
              <w:tabs>
                <w:tab w:val="right" w:pos="3690"/>
                <w:tab w:val="right" w:pos="5130"/>
                <w:tab w:val="right" w:pos="6030"/>
                <w:tab w:val="right" w:pos="7650"/>
                <w:tab w:val="right" w:pos="9270"/>
              </w:tabs>
              <w:adjustRightInd w:val="0"/>
              <w:snapToGrid w:val="0"/>
              <w:jc w:val="right"/>
            </w:pPr>
            <w:r>
              <w:t>3,228,611,565.05</w:t>
            </w:r>
          </w:p>
        </w:tc>
      </w:tr>
      <w:tr w14:paraId="57BC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pct"/>
          </w:tcPr>
          <w:p w14:paraId="68150710">
            <w:pPr>
              <w:tabs>
                <w:tab w:val="right" w:pos="3690"/>
                <w:tab w:val="right" w:pos="5130"/>
                <w:tab w:val="right" w:pos="6030"/>
                <w:tab w:val="right" w:pos="7650"/>
                <w:tab w:val="right" w:pos="9270"/>
              </w:tabs>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固定资产清理</w:t>
            </w:r>
          </w:p>
        </w:tc>
        <w:tc>
          <w:tcPr>
            <w:tcW w:w="1582" w:type="pct"/>
          </w:tcPr>
          <w:p w14:paraId="09BCDC7D">
            <w:pPr>
              <w:tabs>
                <w:tab w:val="right" w:pos="3690"/>
                <w:tab w:val="right" w:pos="5130"/>
                <w:tab w:val="right" w:pos="6030"/>
                <w:tab w:val="right" w:pos="7650"/>
                <w:tab w:val="right" w:pos="9270"/>
              </w:tabs>
              <w:adjustRightInd w:val="0"/>
              <w:snapToGrid w:val="0"/>
              <w:jc w:val="right"/>
            </w:pPr>
          </w:p>
        </w:tc>
        <w:tc>
          <w:tcPr>
            <w:tcW w:w="1590" w:type="pct"/>
          </w:tcPr>
          <w:p w14:paraId="2D635B90">
            <w:pPr>
              <w:tabs>
                <w:tab w:val="right" w:pos="3690"/>
                <w:tab w:val="right" w:pos="5130"/>
                <w:tab w:val="right" w:pos="6030"/>
                <w:tab w:val="right" w:pos="7650"/>
                <w:tab w:val="right" w:pos="9270"/>
              </w:tabs>
              <w:adjustRightInd w:val="0"/>
              <w:snapToGrid w:val="0"/>
              <w:jc w:val="right"/>
            </w:pPr>
          </w:p>
        </w:tc>
      </w:tr>
      <w:tr w14:paraId="4DFB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pct"/>
            <w:vAlign w:val="center"/>
          </w:tcPr>
          <w:p w14:paraId="71C7391E">
            <w:pPr>
              <w:tabs>
                <w:tab w:val="right" w:pos="3690"/>
                <w:tab w:val="right" w:pos="5130"/>
                <w:tab w:val="right" w:pos="6030"/>
                <w:tab w:val="right" w:pos="7650"/>
                <w:tab w:val="right" w:pos="9270"/>
              </w:tabs>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582" w:type="pct"/>
          </w:tcPr>
          <w:p w14:paraId="02E72BDD">
            <w:pPr>
              <w:tabs>
                <w:tab w:val="right" w:pos="3690"/>
                <w:tab w:val="right" w:pos="5130"/>
                <w:tab w:val="right" w:pos="6030"/>
                <w:tab w:val="right" w:pos="7650"/>
                <w:tab w:val="right" w:pos="9270"/>
              </w:tabs>
              <w:adjustRightInd w:val="0"/>
              <w:snapToGrid w:val="0"/>
              <w:jc w:val="right"/>
            </w:pPr>
            <w:r>
              <w:t>3,148,783,333.48</w:t>
            </w:r>
          </w:p>
        </w:tc>
        <w:tc>
          <w:tcPr>
            <w:tcW w:w="1590" w:type="pct"/>
          </w:tcPr>
          <w:p w14:paraId="798A696A">
            <w:pPr>
              <w:tabs>
                <w:tab w:val="right" w:pos="3690"/>
                <w:tab w:val="right" w:pos="5130"/>
                <w:tab w:val="right" w:pos="6030"/>
                <w:tab w:val="right" w:pos="7650"/>
                <w:tab w:val="right" w:pos="9270"/>
              </w:tabs>
              <w:adjustRightInd w:val="0"/>
              <w:snapToGrid w:val="0"/>
              <w:jc w:val="right"/>
            </w:pPr>
            <w:r>
              <w:t>3,228,611,565.05</w:t>
            </w:r>
          </w:p>
        </w:tc>
      </w:tr>
      <w:bookmarkEnd w:id="289"/>
    </w:tbl>
    <w:p w14:paraId="324F9AC6">
      <w:pPr>
        <w:rPr>
          <w:color w:val="000000" w:themeColor="text1"/>
          <w14:textFill>
            <w14:solidFill>
              <w14:schemeClr w14:val="tx1"/>
            </w14:solidFill>
          </w14:textFill>
        </w:rPr>
      </w:pPr>
      <w:bookmarkStart w:id="290" w:name="_Hlk10472389"/>
      <w:bookmarkStart w:id="291" w:name="_Hlk10472397"/>
      <w:r>
        <w:rPr>
          <w:rFonts w:hint="eastAsia"/>
          <w:color w:val="000000" w:themeColor="text1"/>
          <w14:textFill>
            <w14:solidFill>
              <w14:schemeClr w14:val="tx1"/>
            </w14:solidFill>
          </w14:textFill>
        </w:rPr>
        <w:t>其他说明：</w:t>
      </w:r>
      <w:bookmarkEnd w:id="290"/>
    </w:p>
    <w:p w14:paraId="32F16BB5">
      <w:pPr>
        <w:rPr>
          <w:color w:val="000000" w:themeColor="text1"/>
          <w14:textFill>
            <w14:solidFill>
              <w14:schemeClr w14:val="tx1"/>
            </w14:solidFill>
          </w14:textFill>
        </w:rPr>
      </w:pPr>
      <w:sdt>
        <w:sdtPr>
          <w:rPr>
            <w:color w:val="000000" w:themeColor="text1"/>
            <w14:textFill>
              <w14:solidFill>
                <w14:schemeClr w14:val="tx1"/>
              </w14:solidFill>
            </w14:textFill>
          </w:rPr>
          <w:alias w:val="固定资产分类列示其他说明"/>
          <w:tag w:val="_GBC_9028bab58a12485bb8ef4d316280f591"/>
          <w:id w:val="-54391861"/>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无</w:t>
          </w:r>
        </w:sdtContent>
      </w:sdt>
    </w:p>
    <w:bookmarkEnd w:id="291"/>
    <w:p w14:paraId="72BDC70F">
      <w:pPr>
        <w:rPr>
          <w:color w:val="000000" w:themeColor="text1"/>
          <w14:textFill>
            <w14:solidFill>
              <w14:schemeClr w14:val="tx1"/>
            </w14:solidFill>
          </w14:textFill>
        </w:rPr>
      </w:pPr>
    </w:p>
    <w:p w14:paraId="758A6F26">
      <w:pPr>
        <w:pStyle w:val="5"/>
        <w:tabs>
          <w:tab w:val="left" w:pos="588"/>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固定资产</w:t>
      </w:r>
    </w:p>
    <w:p w14:paraId="5AD709CD">
      <w:pPr>
        <w:pStyle w:val="6"/>
        <w:numPr>
          <w:ilvl w:val="0"/>
          <w:numId w:val="69"/>
        </w:numPr>
      </w:pPr>
      <w:r>
        <w:rPr>
          <w:rFonts w:hint="eastAsia"/>
        </w:rPr>
        <w:t>固定资产情况</w:t>
      </w:r>
    </w:p>
    <w:sdt>
      <w:sdtPr>
        <w:rPr>
          <w:color w:val="000000" w:themeColor="text1"/>
          <w14:textFill>
            <w14:solidFill>
              <w14:schemeClr w14:val="tx1"/>
            </w14:solidFill>
          </w14:textFill>
        </w:rPr>
        <w:alias w:val="是否适用：固定资产情况[双击切换]"/>
        <w:tag w:val="_GBC_dea1f620aab74d63b1372d831b5b450f"/>
        <w:id w:val="-1224676344"/>
        <w:placeholder>
          <w:docPart w:val="GBC22222222222222222222222222222"/>
        </w:placeholder>
      </w:sdtPr>
      <w:sdtEndPr>
        <w:rPr>
          <w:color w:val="000000" w:themeColor="text1"/>
          <w14:textFill>
            <w14:solidFill>
              <w14:schemeClr w14:val="tx1"/>
            </w14:solidFill>
          </w14:textFill>
        </w:rPr>
      </w:sdtEndPr>
      <w:sdtContent>
        <w:p w14:paraId="069FE73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F754E51">
      <w:pPr>
        <w:autoSpaceDE w:val="0"/>
        <w:autoSpaceDN w:val="0"/>
        <w:adjustRightInd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固定资产情况"/>
          <w:tag w:val="_GBC_563afa3e91c048118558af0713b1a1af"/>
          <w:id w:val="155720371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固定资产情况"/>
          <w:tag w:val="_GBC_c5ecae448dd948eca54add973afbe77b"/>
          <w:id w:val="7129344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1748"/>
        <w:gridCol w:w="1530"/>
        <w:gridCol w:w="1373"/>
        <w:gridCol w:w="1373"/>
        <w:gridCol w:w="1269"/>
        <w:gridCol w:w="1530"/>
      </w:tblGrid>
      <w:tr w14:paraId="2DFD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sdt>
          <w:sdtPr>
            <w:tag w:val="_PLD_1741958de41447b7ac4cbd15ce893c6c"/>
            <w:id w:val="249397491"/>
          </w:sdtPr>
          <w:sdtContent>
            <w:tc>
              <w:tcPr>
                <w:tcW w:w="991" w:type="pct"/>
                <w:vAlign w:val="center"/>
              </w:tcPr>
              <w:p w14:paraId="124A5B8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tc>
          <w:tcPr>
            <w:tcW w:w="867" w:type="pct"/>
            <w:vAlign w:val="center"/>
          </w:tcPr>
          <w:p w14:paraId="49A55B26">
            <w:pPr>
              <w:jc w:val="center"/>
              <w:rPr>
                <w:color w:val="000000" w:themeColor="text1"/>
                <w14:textFill>
                  <w14:solidFill>
                    <w14:schemeClr w14:val="tx1"/>
                  </w14:solidFill>
                </w14:textFill>
              </w:rPr>
            </w:pPr>
            <w:r>
              <w:rPr>
                <w:rFonts w:hint="eastAsia" w:ascii="宋体" w:hAnsi="宋体"/>
              </w:rPr>
              <w:t>房屋及建筑物</w:t>
            </w:r>
          </w:p>
        </w:tc>
        <w:tc>
          <w:tcPr>
            <w:tcW w:w="778" w:type="pct"/>
            <w:vAlign w:val="center"/>
          </w:tcPr>
          <w:p w14:paraId="67A6A13C">
            <w:pPr>
              <w:jc w:val="center"/>
            </w:pPr>
            <w:r>
              <w:rPr>
                <w:rFonts w:hint="eastAsia" w:ascii="宋体" w:hAnsi="宋体"/>
                <w:bCs w:val="0"/>
                <w:sz w:val="18"/>
                <w:szCs w:val="18"/>
              </w:rPr>
              <w:t>通用设备</w:t>
            </w:r>
          </w:p>
        </w:tc>
        <w:tc>
          <w:tcPr>
            <w:tcW w:w="778" w:type="pct"/>
            <w:vAlign w:val="center"/>
          </w:tcPr>
          <w:p w14:paraId="7E84723B">
            <w:pPr>
              <w:jc w:val="center"/>
            </w:pPr>
            <w:r>
              <w:rPr>
                <w:rFonts w:hint="eastAsia" w:ascii="宋体" w:hAnsi="宋体"/>
                <w:bCs w:val="0"/>
                <w:sz w:val="18"/>
                <w:szCs w:val="18"/>
              </w:rPr>
              <w:t>专用设备</w:t>
            </w:r>
          </w:p>
        </w:tc>
        <w:tc>
          <w:tcPr>
            <w:tcW w:w="719" w:type="pct"/>
            <w:vAlign w:val="center"/>
          </w:tcPr>
          <w:p w14:paraId="3A1F2FCE">
            <w:pPr>
              <w:jc w:val="center"/>
            </w:pPr>
            <w:r>
              <w:rPr>
                <w:rFonts w:hint="eastAsia" w:ascii="宋体" w:hAnsi="宋体"/>
                <w:bCs w:val="0"/>
                <w:sz w:val="18"/>
                <w:szCs w:val="18"/>
              </w:rPr>
              <w:t>运输设备</w:t>
            </w:r>
          </w:p>
        </w:tc>
        <w:sdt>
          <w:sdtPr>
            <w:tag w:val="_PLD_0b635f975b4949dbb798f88c3dcf1d8d"/>
            <w:id w:val="784545104"/>
          </w:sdtPr>
          <w:sdtContent>
            <w:tc>
              <w:tcPr>
                <w:tcW w:w="867" w:type="pct"/>
                <w:vAlign w:val="center"/>
              </w:tcPr>
              <w:p w14:paraId="5979BAB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sdtContent>
        </w:sdt>
      </w:tr>
      <w:tr w14:paraId="4EE5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sdt>
          <w:sdtPr>
            <w:tag w:val="_PLD_e1d4e79d72fd45cc925f8729ecef795c"/>
            <w:id w:val="-2095694868"/>
          </w:sdtPr>
          <w:sdtContent>
            <w:tc>
              <w:tcPr>
                <w:tcW w:w="5000" w:type="pct"/>
                <w:gridSpan w:val="6"/>
              </w:tcPr>
              <w:p w14:paraId="7EBDB56A">
                <w:pPr>
                  <w:rPr>
                    <w:color w:val="000000" w:themeColor="text1"/>
                    <w14:textFill>
                      <w14:solidFill>
                        <w14:schemeClr w14:val="tx1"/>
                      </w14:solidFill>
                    </w14:textFill>
                  </w:rPr>
                </w:pPr>
                <w:r>
                  <w:rPr>
                    <w:rFonts w:hint="eastAsia"/>
                    <w:color w:val="000000" w:themeColor="text1"/>
                    <w14:textFill>
                      <w14:solidFill>
                        <w14:schemeClr w14:val="tx1"/>
                      </w14:solidFill>
                    </w14:textFill>
                  </w:rPr>
                  <w:t>一、账面原值：</w:t>
                </w:r>
              </w:p>
            </w:tc>
          </w:sdtContent>
        </w:sdt>
      </w:tr>
      <w:tr w14:paraId="2079F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57D810B1">
            <w:pP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期初余额</w:t>
            </w:r>
          </w:p>
        </w:tc>
        <w:tc>
          <w:tcPr>
            <w:tcW w:w="867" w:type="pct"/>
            <w:vAlign w:val="center"/>
          </w:tcPr>
          <w:p w14:paraId="17053F0E">
            <w:pPr>
              <w:jc w:val="right"/>
            </w:pPr>
            <w:r>
              <w:t>4,429,243,450.78</w:t>
            </w:r>
          </w:p>
        </w:tc>
        <w:tc>
          <w:tcPr>
            <w:tcW w:w="778" w:type="pct"/>
            <w:vAlign w:val="center"/>
          </w:tcPr>
          <w:p w14:paraId="3F50AD04">
            <w:pPr>
              <w:jc w:val="right"/>
            </w:pPr>
            <w:r>
              <w:t>292,319,963.91</w:t>
            </w:r>
          </w:p>
        </w:tc>
        <w:tc>
          <w:tcPr>
            <w:tcW w:w="778" w:type="pct"/>
            <w:vAlign w:val="center"/>
          </w:tcPr>
          <w:p w14:paraId="150A3D62">
            <w:pPr>
              <w:jc w:val="right"/>
            </w:pPr>
            <w:r>
              <w:t>340,355,325.81</w:t>
            </w:r>
          </w:p>
        </w:tc>
        <w:tc>
          <w:tcPr>
            <w:tcW w:w="719" w:type="pct"/>
            <w:vAlign w:val="center"/>
          </w:tcPr>
          <w:p w14:paraId="44E1A4A7">
            <w:pPr>
              <w:jc w:val="right"/>
            </w:pPr>
            <w:r>
              <w:t>13,022,587.29</w:t>
            </w:r>
          </w:p>
        </w:tc>
        <w:tc>
          <w:tcPr>
            <w:tcW w:w="867" w:type="pct"/>
            <w:vAlign w:val="center"/>
          </w:tcPr>
          <w:p w14:paraId="1F768285">
            <w:pPr>
              <w:jc w:val="right"/>
            </w:pPr>
            <w:r>
              <w:t>5,074,941,327.79</w:t>
            </w:r>
          </w:p>
        </w:tc>
      </w:tr>
      <w:tr w14:paraId="2FA5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02475A81">
            <w:pPr>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本期增加金额</w:t>
            </w:r>
          </w:p>
        </w:tc>
        <w:tc>
          <w:tcPr>
            <w:tcW w:w="867" w:type="pct"/>
            <w:vAlign w:val="center"/>
          </w:tcPr>
          <w:p w14:paraId="0667A80F">
            <w:pPr>
              <w:jc w:val="right"/>
            </w:pPr>
            <w:r>
              <w:t>2,180,120.00</w:t>
            </w:r>
          </w:p>
        </w:tc>
        <w:tc>
          <w:tcPr>
            <w:tcW w:w="778" w:type="pct"/>
            <w:vAlign w:val="center"/>
          </w:tcPr>
          <w:p w14:paraId="51A70CD6">
            <w:pPr>
              <w:jc w:val="right"/>
            </w:pPr>
            <w:r>
              <w:t>572,018.60</w:t>
            </w:r>
          </w:p>
        </w:tc>
        <w:tc>
          <w:tcPr>
            <w:tcW w:w="778" w:type="pct"/>
            <w:vAlign w:val="center"/>
          </w:tcPr>
          <w:p w14:paraId="10A43FDC">
            <w:pPr>
              <w:jc w:val="right"/>
            </w:pPr>
            <w:r>
              <w:t>336,495.57</w:t>
            </w:r>
          </w:p>
        </w:tc>
        <w:tc>
          <w:tcPr>
            <w:tcW w:w="719" w:type="pct"/>
            <w:vAlign w:val="center"/>
          </w:tcPr>
          <w:p w14:paraId="0832821D">
            <w:pPr>
              <w:jc w:val="right"/>
            </w:pPr>
            <w:r>
              <w:t>29,000.00</w:t>
            </w:r>
          </w:p>
        </w:tc>
        <w:tc>
          <w:tcPr>
            <w:tcW w:w="867" w:type="pct"/>
            <w:vAlign w:val="center"/>
          </w:tcPr>
          <w:p w14:paraId="14B645F0">
            <w:pPr>
              <w:jc w:val="right"/>
            </w:pPr>
            <w:r>
              <w:t>3,117,634.17</w:t>
            </w:r>
          </w:p>
        </w:tc>
      </w:tr>
      <w:tr w14:paraId="620B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0798525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（1）购置</w:t>
            </w:r>
          </w:p>
        </w:tc>
        <w:tc>
          <w:tcPr>
            <w:tcW w:w="867" w:type="pct"/>
            <w:vAlign w:val="center"/>
          </w:tcPr>
          <w:p w14:paraId="799BA174">
            <w:pPr>
              <w:jc w:val="right"/>
            </w:pPr>
            <w:r>
              <w:t>1,238,036.28</w:t>
            </w:r>
          </w:p>
        </w:tc>
        <w:tc>
          <w:tcPr>
            <w:tcW w:w="778" w:type="pct"/>
            <w:vAlign w:val="center"/>
          </w:tcPr>
          <w:p w14:paraId="628DD4C7">
            <w:pPr>
              <w:jc w:val="right"/>
            </w:pPr>
            <w:r>
              <w:t>572,018.60</w:t>
            </w:r>
          </w:p>
        </w:tc>
        <w:tc>
          <w:tcPr>
            <w:tcW w:w="778" w:type="pct"/>
            <w:vAlign w:val="center"/>
          </w:tcPr>
          <w:p w14:paraId="7628B706">
            <w:pPr>
              <w:jc w:val="right"/>
            </w:pPr>
            <w:r>
              <w:t>336,495.57</w:t>
            </w:r>
          </w:p>
        </w:tc>
        <w:tc>
          <w:tcPr>
            <w:tcW w:w="719" w:type="pct"/>
            <w:vAlign w:val="center"/>
          </w:tcPr>
          <w:p w14:paraId="13024E21">
            <w:pPr>
              <w:jc w:val="right"/>
            </w:pPr>
            <w:r>
              <w:t>29,000.00</w:t>
            </w:r>
          </w:p>
        </w:tc>
        <w:tc>
          <w:tcPr>
            <w:tcW w:w="867" w:type="pct"/>
            <w:vAlign w:val="center"/>
          </w:tcPr>
          <w:p w14:paraId="5A7BFFA9">
            <w:pPr>
              <w:jc w:val="right"/>
            </w:pPr>
            <w:r>
              <w:t>2,175,550.45</w:t>
            </w:r>
          </w:p>
        </w:tc>
      </w:tr>
      <w:tr w14:paraId="1BE1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7A04022E">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（2）在建工程转入</w:t>
            </w:r>
          </w:p>
        </w:tc>
        <w:tc>
          <w:tcPr>
            <w:tcW w:w="867" w:type="pct"/>
            <w:vAlign w:val="center"/>
          </w:tcPr>
          <w:p w14:paraId="06D4A848">
            <w:pPr>
              <w:jc w:val="right"/>
            </w:pPr>
            <w:r>
              <w:t>942,083.72</w:t>
            </w:r>
          </w:p>
        </w:tc>
        <w:tc>
          <w:tcPr>
            <w:tcW w:w="778" w:type="pct"/>
            <w:vAlign w:val="center"/>
          </w:tcPr>
          <w:p w14:paraId="27489884">
            <w:pPr>
              <w:jc w:val="right"/>
            </w:pPr>
          </w:p>
        </w:tc>
        <w:tc>
          <w:tcPr>
            <w:tcW w:w="778" w:type="pct"/>
            <w:vAlign w:val="center"/>
          </w:tcPr>
          <w:p w14:paraId="270FC8EF">
            <w:pPr>
              <w:jc w:val="right"/>
            </w:pPr>
          </w:p>
        </w:tc>
        <w:tc>
          <w:tcPr>
            <w:tcW w:w="719" w:type="pct"/>
            <w:vAlign w:val="center"/>
          </w:tcPr>
          <w:p w14:paraId="239C4F85">
            <w:pPr>
              <w:jc w:val="right"/>
            </w:pPr>
          </w:p>
        </w:tc>
        <w:tc>
          <w:tcPr>
            <w:tcW w:w="867" w:type="pct"/>
            <w:vAlign w:val="center"/>
          </w:tcPr>
          <w:p w14:paraId="3EA35ADD">
            <w:pPr>
              <w:jc w:val="right"/>
            </w:pPr>
            <w:r>
              <w:t>942,083.72</w:t>
            </w:r>
          </w:p>
        </w:tc>
      </w:tr>
      <w:tr w14:paraId="6746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3868806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（3）企业合并增加</w:t>
            </w:r>
          </w:p>
        </w:tc>
        <w:tc>
          <w:tcPr>
            <w:tcW w:w="867" w:type="pct"/>
            <w:vAlign w:val="center"/>
          </w:tcPr>
          <w:p w14:paraId="1C12DBFE">
            <w:pPr>
              <w:jc w:val="right"/>
            </w:pPr>
          </w:p>
        </w:tc>
        <w:tc>
          <w:tcPr>
            <w:tcW w:w="778" w:type="pct"/>
            <w:vAlign w:val="center"/>
          </w:tcPr>
          <w:p w14:paraId="1A8E5A52">
            <w:pPr>
              <w:jc w:val="right"/>
            </w:pPr>
          </w:p>
        </w:tc>
        <w:tc>
          <w:tcPr>
            <w:tcW w:w="778" w:type="pct"/>
            <w:vAlign w:val="center"/>
          </w:tcPr>
          <w:p w14:paraId="622BB45C">
            <w:pPr>
              <w:jc w:val="right"/>
            </w:pPr>
          </w:p>
        </w:tc>
        <w:tc>
          <w:tcPr>
            <w:tcW w:w="719" w:type="pct"/>
            <w:vAlign w:val="center"/>
          </w:tcPr>
          <w:p w14:paraId="41B30C95">
            <w:pPr>
              <w:jc w:val="right"/>
            </w:pPr>
          </w:p>
        </w:tc>
        <w:tc>
          <w:tcPr>
            <w:tcW w:w="867" w:type="pct"/>
            <w:vAlign w:val="center"/>
          </w:tcPr>
          <w:p w14:paraId="0CF67DD5">
            <w:pPr>
              <w:jc w:val="right"/>
            </w:pPr>
          </w:p>
        </w:tc>
      </w:tr>
      <w:tr w14:paraId="6642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7E70AE17">
            <w:pPr>
              <w:rPr>
                <w:color w:val="000000" w:themeColor="text1"/>
                <w14:textFill>
                  <w14:solidFill>
                    <w14:schemeClr w14:val="tx1"/>
                  </w14:solidFill>
                </w14:textFill>
              </w:rPr>
            </w:pPr>
            <w:r>
              <w:rPr>
                <w:rFonts w:hint="eastAsia"/>
                <w:color w:val="000000" w:themeColor="text1"/>
                <w14:textFill>
                  <w14:solidFill>
                    <w14:schemeClr w14:val="tx1"/>
                  </w14:solidFill>
                </w14:textFill>
              </w:rPr>
              <w:t>3.本期减少金额</w:t>
            </w:r>
          </w:p>
        </w:tc>
        <w:tc>
          <w:tcPr>
            <w:tcW w:w="867" w:type="pct"/>
            <w:vAlign w:val="center"/>
          </w:tcPr>
          <w:p w14:paraId="43D394ED">
            <w:pPr>
              <w:jc w:val="right"/>
            </w:pPr>
          </w:p>
        </w:tc>
        <w:tc>
          <w:tcPr>
            <w:tcW w:w="778" w:type="pct"/>
            <w:vAlign w:val="center"/>
          </w:tcPr>
          <w:p w14:paraId="27052995">
            <w:pPr>
              <w:jc w:val="right"/>
            </w:pPr>
            <w:r>
              <w:t>2,900,824.42</w:t>
            </w:r>
          </w:p>
        </w:tc>
        <w:tc>
          <w:tcPr>
            <w:tcW w:w="778" w:type="pct"/>
            <w:vAlign w:val="center"/>
          </w:tcPr>
          <w:p w14:paraId="0C18F8AC">
            <w:pPr>
              <w:jc w:val="right"/>
            </w:pPr>
            <w:r>
              <w:t>173,494,579.07</w:t>
            </w:r>
          </w:p>
        </w:tc>
        <w:tc>
          <w:tcPr>
            <w:tcW w:w="719" w:type="pct"/>
            <w:vAlign w:val="center"/>
          </w:tcPr>
          <w:p w14:paraId="35089329">
            <w:pPr>
              <w:jc w:val="right"/>
            </w:pPr>
            <w:r>
              <w:t>140,000.00</w:t>
            </w:r>
          </w:p>
        </w:tc>
        <w:tc>
          <w:tcPr>
            <w:tcW w:w="867" w:type="pct"/>
            <w:vAlign w:val="center"/>
          </w:tcPr>
          <w:p w14:paraId="250259F9">
            <w:pPr>
              <w:jc w:val="right"/>
            </w:pPr>
            <w:r>
              <w:t>176,535,403.49</w:t>
            </w:r>
          </w:p>
        </w:tc>
      </w:tr>
      <w:tr w14:paraId="5A0C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1BE748A7">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（1）处置或报废</w:t>
            </w:r>
          </w:p>
        </w:tc>
        <w:tc>
          <w:tcPr>
            <w:tcW w:w="867" w:type="pct"/>
            <w:vAlign w:val="center"/>
          </w:tcPr>
          <w:p w14:paraId="12DAE871">
            <w:pPr>
              <w:jc w:val="right"/>
            </w:pPr>
          </w:p>
        </w:tc>
        <w:tc>
          <w:tcPr>
            <w:tcW w:w="778" w:type="pct"/>
            <w:vAlign w:val="center"/>
          </w:tcPr>
          <w:p w14:paraId="7313EC3F">
            <w:pPr>
              <w:jc w:val="right"/>
            </w:pPr>
            <w:r>
              <w:t>2,900,824.42</w:t>
            </w:r>
          </w:p>
        </w:tc>
        <w:tc>
          <w:tcPr>
            <w:tcW w:w="778" w:type="pct"/>
            <w:vAlign w:val="center"/>
          </w:tcPr>
          <w:p w14:paraId="5E5B2BBD">
            <w:pPr>
              <w:jc w:val="right"/>
            </w:pPr>
            <w:r>
              <w:t>173,494,579.07</w:t>
            </w:r>
          </w:p>
        </w:tc>
        <w:tc>
          <w:tcPr>
            <w:tcW w:w="719" w:type="pct"/>
            <w:vAlign w:val="center"/>
          </w:tcPr>
          <w:p w14:paraId="6AA9DF6E">
            <w:pPr>
              <w:jc w:val="right"/>
            </w:pPr>
            <w:r>
              <w:t>140,000.00</w:t>
            </w:r>
          </w:p>
        </w:tc>
        <w:tc>
          <w:tcPr>
            <w:tcW w:w="867" w:type="pct"/>
            <w:vAlign w:val="center"/>
          </w:tcPr>
          <w:p w14:paraId="11ED5CC6">
            <w:pPr>
              <w:jc w:val="right"/>
            </w:pPr>
            <w:r>
              <w:t>176,535,403.49</w:t>
            </w:r>
          </w:p>
        </w:tc>
      </w:tr>
      <w:tr w14:paraId="52A0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1AF2E2FB">
            <w:pPr>
              <w:rPr>
                <w:color w:val="000000" w:themeColor="text1"/>
                <w14:textFill>
                  <w14:solidFill>
                    <w14:schemeClr w14:val="tx1"/>
                  </w14:solidFill>
                </w14:textFill>
              </w:rPr>
            </w:pPr>
            <w:r>
              <w:rPr>
                <w:rFonts w:hint="eastAsia"/>
                <w:color w:val="000000" w:themeColor="text1"/>
                <w14:textFill>
                  <w14:solidFill>
                    <w14:schemeClr w14:val="tx1"/>
                  </w14:solidFill>
                </w14:textFill>
              </w:rPr>
              <w:t>4.期末余额</w:t>
            </w:r>
          </w:p>
        </w:tc>
        <w:tc>
          <w:tcPr>
            <w:tcW w:w="867" w:type="pct"/>
            <w:vAlign w:val="center"/>
          </w:tcPr>
          <w:p w14:paraId="72FA7286">
            <w:pPr>
              <w:jc w:val="right"/>
            </w:pPr>
            <w:r>
              <w:t>4,431,423,570.78</w:t>
            </w:r>
          </w:p>
        </w:tc>
        <w:tc>
          <w:tcPr>
            <w:tcW w:w="778" w:type="pct"/>
            <w:vAlign w:val="center"/>
          </w:tcPr>
          <w:p w14:paraId="0D08797E">
            <w:pPr>
              <w:jc w:val="right"/>
            </w:pPr>
            <w:r>
              <w:t>289,991,158.09</w:t>
            </w:r>
          </w:p>
        </w:tc>
        <w:tc>
          <w:tcPr>
            <w:tcW w:w="778" w:type="pct"/>
            <w:vAlign w:val="center"/>
          </w:tcPr>
          <w:p w14:paraId="19297F2A">
            <w:pPr>
              <w:jc w:val="right"/>
            </w:pPr>
            <w:r>
              <w:t>167,197,242.31</w:t>
            </w:r>
          </w:p>
        </w:tc>
        <w:tc>
          <w:tcPr>
            <w:tcW w:w="719" w:type="pct"/>
            <w:vAlign w:val="center"/>
          </w:tcPr>
          <w:p w14:paraId="68001E0F">
            <w:pPr>
              <w:jc w:val="right"/>
            </w:pPr>
            <w:r>
              <w:t>12,911,587.29</w:t>
            </w:r>
          </w:p>
        </w:tc>
        <w:tc>
          <w:tcPr>
            <w:tcW w:w="867" w:type="pct"/>
            <w:vAlign w:val="center"/>
          </w:tcPr>
          <w:p w14:paraId="678E214E">
            <w:pPr>
              <w:jc w:val="right"/>
            </w:pPr>
            <w:r>
              <w:t>4,901,523,558.47</w:t>
            </w:r>
          </w:p>
        </w:tc>
      </w:tr>
      <w:tr w14:paraId="06B9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sdt>
          <w:sdtPr>
            <w:tag w:val="_PLD_3b9a984e6e834331844252acd1c6a321"/>
            <w:id w:val="438030063"/>
          </w:sdtPr>
          <w:sdtContent>
            <w:tc>
              <w:tcPr>
                <w:tcW w:w="5000" w:type="pct"/>
                <w:gridSpan w:val="6"/>
              </w:tcPr>
              <w:p w14:paraId="74E16A55">
                <w:pPr>
                  <w:rPr>
                    <w:color w:val="000000" w:themeColor="text1"/>
                    <w14:textFill>
                      <w14:solidFill>
                        <w14:schemeClr w14:val="tx1"/>
                      </w14:solidFill>
                    </w14:textFill>
                  </w:rPr>
                </w:pPr>
                <w:r>
                  <w:rPr>
                    <w:rFonts w:hint="eastAsia"/>
                    <w:color w:val="000000" w:themeColor="text1"/>
                    <w14:textFill>
                      <w14:solidFill>
                        <w14:schemeClr w14:val="tx1"/>
                      </w14:solidFill>
                    </w14:textFill>
                  </w:rPr>
                  <w:t>二、累计折旧</w:t>
                </w:r>
              </w:p>
            </w:tc>
          </w:sdtContent>
        </w:sdt>
      </w:tr>
      <w:tr w14:paraId="145D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0C7671CA">
            <w:pP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期初余额</w:t>
            </w:r>
          </w:p>
        </w:tc>
        <w:tc>
          <w:tcPr>
            <w:tcW w:w="867" w:type="pct"/>
            <w:vAlign w:val="center"/>
          </w:tcPr>
          <w:p w14:paraId="36F80BC7">
            <w:pPr>
              <w:jc w:val="right"/>
            </w:pPr>
            <w:r>
              <w:t>1,333,887,167.49</w:t>
            </w:r>
          </w:p>
        </w:tc>
        <w:tc>
          <w:tcPr>
            <w:tcW w:w="778" w:type="pct"/>
            <w:vAlign w:val="center"/>
          </w:tcPr>
          <w:p w14:paraId="64E8B060">
            <w:pPr>
              <w:jc w:val="right"/>
            </w:pPr>
            <w:r>
              <w:t>202,119,358.87</w:t>
            </w:r>
          </w:p>
        </w:tc>
        <w:tc>
          <w:tcPr>
            <w:tcW w:w="778" w:type="pct"/>
            <w:vAlign w:val="center"/>
          </w:tcPr>
          <w:p w14:paraId="4DC33FF8">
            <w:pPr>
              <w:jc w:val="right"/>
            </w:pPr>
            <w:r>
              <w:t>278,778,116.76</w:t>
            </w:r>
          </w:p>
        </w:tc>
        <w:tc>
          <w:tcPr>
            <w:tcW w:w="719" w:type="pct"/>
            <w:vAlign w:val="center"/>
          </w:tcPr>
          <w:p w14:paraId="5679F8EA">
            <w:pPr>
              <w:jc w:val="right"/>
            </w:pPr>
            <w:r>
              <w:t>10,562,492.67</w:t>
            </w:r>
          </w:p>
        </w:tc>
        <w:tc>
          <w:tcPr>
            <w:tcW w:w="867" w:type="pct"/>
            <w:vAlign w:val="center"/>
          </w:tcPr>
          <w:p w14:paraId="204F1176">
            <w:pPr>
              <w:jc w:val="right"/>
            </w:pPr>
            <w:r>
              <w:t>1,825,347,135.79</w:t>
            </w:r>
          </w:p>
        </w:tc>
      </w:tr>
      <w:tr w14:paraId="2B9F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6581A6EE">
            <w:pPr>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本期增加金额</w:t>
            </w:r>
          </w:p>
        </w:tc>
        <w:tc>
          <w:tcPr>
            <w:tcW w:w="867" w:type="pct"/>
            <w:vAlign w:val="center"/>
          </w:tcPr>
          <w:p w14:paraId="39EDE961">
            <w:pPr>
              <w:jc w:val="right"/>
            </w:pPr>
            <w:r>
              <w:t>56,898,354.27</w:t>
            </w:r>
          </w:p>
        </w:tc>
        <w:tc>
          <w:tcPr>
            <w:tcW w:w="778" w:type="pct"/>
            <w:vAlign w:val="center"/>
          </w:tcPr>
          <w:p w14:paraId="771EFDCF">
            <w:pPr>
              <w:jc w:val="right"/>
            </w:pPr>
            <w:r>
              <w:t>4,251,489.79</w:t>
            </w:r>
          </w:p>
        </w:tc>
        <w:tc>
          <w:tcPr>
            <w:tcW w:w="778" w:type="pct"/>
            <w:vAlign w:val="center"/>
          </w:tcPr>
          <w:p w14:paraId="7AFBEAA7">
            <w:pPr>
              <w:jc w:val="right"/>
            </w:pPr>
            <w:r>
              <w:t>5,300,358.13</w:t>
            </w:r>
          </w:p>
        </w:tc>
        <w:tc>
          <w:tcPr>
            <w:tcW w:w="719" w:type="pct"/>
            <w:vAlign w:val="center"/>
          </w:tcPr>
          <w:p w14:paraId="2D65FDA2">
            <w:pPr>
              <w:jc w:val="right"/>
            </w:pPr>
            <w:r>
              <w:t>109,265.93</w:t>
            </w:r>
          </w:p>
        </w:tc>
        <w:tc>
          <w:tcPr>
            <w:tcW w:w="867" w:type="pct"/>
            <w:vAlign w:val="center"/>
          </w:tcPr>
          <w:p w14:paraId="3CBFF828">
            <w:pPr>
              <w:jc w:val="right"/>
            </w:pPr>
            <w:r>
              <w:t>66,559,468.12</w:t>
            </w:r>
          </w:p>
        </w:tc>
      </w:tr>
      <w:tr w14:paraId="33A0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33760B6F">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（1）计提</w:t>
            </w:r>
          </w:p>
        </w:tc>
        <w:tc>
          <w:tcPr>
            <w:tcW w:w="867" w:type="pct"/>
            <w:vAlign w:val="center"/>
          </w:tcPr>
          <w:p w14:paraId="52A1649C">
            <w:pPr>
              <w:jc w:val="right"/>
            </w:pPr>
            <w:r>
              <w:t>56,898,354.27</w:t>
            </w:r>
          </w:p>
        </w:tc>
        <w:tc>
          <w:tcPr>
            <w:tcW w:w="778" w:type="pct"/>
            <w:vAlign w:val="center"/>
          </w:tcPr>
          <w:p w14:paraId="149D92DC">
            <w:pPr>
              <w:jc w:val="right"/>
            </w:pPr>
            <w:r>
              <w:t>4,251,489.79</w:t>
            </w:r>
          </w:p>
        </w:tc>
        <w:tc>
          <w:tcPr>
            <w:tcW w:w="778" w:type="pct"/>
            <w:vAlign w:val="center"/>
          </w:tcPr>
          <w:p w14:paraId="7C17C1C2">
            <w:pPr>
              <w:jc w:val="right"/>
            </w:pPr>
            <w:r>
              <w:t>5,300,358.13</w:t>
            </w:r>
          </w:p>
        </w:tc>
        <w:tc>
          <w:tcPr>
            <w:tcW w:w="719" w:type="pct"/>
            <w:vAlign w:val="center"/>
          </w:tcPr>
          <w:p w14:paraId="36712664">
            <w:pPr>
              <w:jc w:val="right"/>
            </w:pPr>
            <w:r>
              <w:t>109,265.93</w:t>
            </w:r>
          </w:p>
        </w:tc>
        <w:tc>
          <w:tcPr>
            <w:tcW w:w="867" w:type="pct"/>
            <w:vAlign w:val="center"/>
          </w:tcPr>
          <w:p w14:paraId="2DDA87FF">
            <w:pPr>
              <w:jc w:val="right"/>
            </w:pPr>
            <w:r>
              <w:t>66,559,468.12</w:t>
            </w:r>
          </w:p>
        </w:tc>
      </w:tr>
      <w:tr w14:paraId="7926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1E2BC0E9">
            <w:pPr>
              <w:rPr>
                <w:color w:val="000000" w:themeColor="text1"/>
                <w14:textFill>
                  <w14:solidFill>
                    <w14:schemeClr w14:val="tx1"/>
                  </w14:solidFill>
                </w14:textFill>
              </w:rPr>
            </w:pPr>
            <w:r>
              <w:rPr>
                <w:rFonts w:hint="eastAsia"/>
                <w:color w:val="000000" w:themeColor="text1"/>
                <w14:textFill>
                  <w14:solidFill>
                    <w14:schemeClr w14:val="tx1"/>
                  </w14:solidFill>
                </w14:textFill>
              </w:rPr>
              <w:t>3.本期减少金额</w:t>
            </w:r>
          </w:p>
        </w:tc>
        <w:tc>
          <w:tcPr>
            <w:tcW w:w="867" w:type="pct"/>
            <w:vAlign w:val="center"/>
          </w:tcPr>
          <w:p w14:paraId="0F94738E">
            <w:pPr>
              <w:jc w:val="right"/>
            </w:pPr>
            <w:r>
              <w:t>10,882.66</w:t>
            </w:r>
          </w:p>
        </w:tc>
        <w:tc>
          <w:tcPr>
            <w:tcW w:w="778" w:type="pct"/>
            <w:vAlign w:val="center"/>
          </w:tcPr>
          <w:p w14:paraId="4D21B7F2">
            <w:pPr>
              <w:jc w:val="right"/>
            </w:pPr>
            <w:r>
              <w:t>2,756,166.86</w:t>
            </w:r>
          </w:p>
        </w:tc>
        <w:tc>
          <w:tcPr>
            <w:tcW w:w="778" w:type="pct"/>
            <w:vAlign w:val="center"/>
          </w:tcPr>
          <w:p w14:paraId="219AA2F2">
            <w:pPr>
              <w:jc w:val="right"/>
            </w:pPr>
            <w:r>
              <w:t>157,248,956.35</w:t>
            </w:r>
          </w:p>
        </w:tc>
        <w:tc>
          <w:tcPr>
            <w:tcW w:w="719" w:type="pct"/>
            <w:vAlign w:val="center"/>
          </w:tcPr>
          <w:p w14:paraId="4469E432">
            <w:pPr>
              <w:jc w:val="right"/>
            </w:pPr>
            <w:r>
              <w:t>133,000.00</w:t>
            </w:r>
          </w:p>
        </w:tc>
        <w:tc>
          <w:tcPr>
            <w:tcW w:w="867" w:type="pct"/>
            <w:vAlign w:val="center"/>
          </w:tcPr>
          <w:p w14:paraId="2D643A8A">
            <w:pPr>
              <w:jc w:val="right"/>
            </w:pPr>
            <w:r>
              <w:t>160,149,005.87</w:t>
            </w:r>
          </w:p>
        </w:tc>
      </w:tr>
      <w:tr w14:paraId="2950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5913157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（1）处置或报废</w:t>
            </w:r>
          </w:p>
        </w:tc>
        <w:tc>
          <w:tcPr>
            <w:tcW w:w="867" w:type="pct"/>
            <w:vAlign w:val="center"/>
          </w:tcPr>
          <w:p w14:paraId="4C2AA708">
            <w:pPr>
              <w:jc w:val="right"/>
            </w:pPr>
            <w:r>
              <w:t>10,882.66</w:t>
            </w:r>
          </w:p>
        </w:tc>
        <w:tc>
          <w:tcPr>
            <w:tcW w:w="778" w:type="pct"/>
            <w:vAlign w:val="center"/>
          </w:tcPr>
          <w:p w14:paraId="1B56B7F9">
            <w:pPr>
              <w:jc w:val="right"/>
            </w:pPr>
            <w:r>
              <w:t>2,756,166.86</w:t>
            </w:r>
          </w:p>
        </w:tc>
        <w:tc>
          <w:tcPr>
            <w:tcW w:w="778" w:type="pct"/>
            <w:vAlign w:val="center"/>
          </w:tcPr>
          <w:p w14:paraId="68DC8BAB">
            <w:pPr>
              <w:jc w:val="right"/>
            </w:pPr>
            <w:r>
              <w:t>157,248,956.35</w:t>
            </w:r>
          </w:p>
        </w:tc>
        <w:tc>
          <w:tcPr>
            <w:tcW w:w="719" w:type="pct"/>
            <w:vAlign w:val="center"/>
          </w:tcPr>
          <w:p w14:paraId="6FE71282">
            <w:pPr>
              <w:jc w:val="right"/>
            </w:pPr>
            <w:r>
              <w:t>133,000.00</w:t>
            </w:r>
          </w:p>
        </w:tc>
        <w:tc>
          <w:tcPr>
            <w:tcW w:w="867" w:type="pct"/>
            <w:vAlign w:val="center"/>
          </w:tcPr>
          <w:p w14:paraId="0EBDFAF1">
            <w:pPr>
              <w:jc w:val="right"/>
            </w:pPr>
            <w:r>
              <w:t>160,149,005.87</w:t>
            </w:r>
          </w:p>
        </w:tc>
      </w:tr>
      <w:tr w14:paraId="00AC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0D771E91">
            <w:pPr>
              <w:rPr>
                <w:color w:val="000000" w:themeColor="text1"/>
                <w14:textFill>
                  <w14:solidFill>
                    <w14:schemeClr w14:val="tx1"/>
                  </w14:solidFill>
                </w14:textFill>
              </w:rPr>
            </w:pPr>
            <w:r>
              <w:rPr>
                <w:rFonts w:hint="eastAsia"/>
                <w:color w:val="000000" w:themeColor="text1"/>
                <w14:textFill>
                  <w14:solidFill>
                    <w14:schemeClr w14:val="tx1"/>
                  </w14:solidFill>
                </w14:textFill>
              </w:rPr>
              <w:t>4.期末余额</w:t>
            </w:r>
          </w:p>
        </w:tc>
        <w:tc>
          <w:tcPr>
            <w:tcW w:w="867" w:type="pct"/>
            <w:vAlign w:val="center"/>
          </w:tcPr>
          <w:p w14:paraId="2DDC5BCC">
            <w:pPr>
              <w:jc w:val="right"/>
            </w:pPr>
            <w:r>
              <w:t>1,390,774,639.10</w:t>
            </w:r>
          </w:p>
        </w:tc>
        <w:tc>
          <w:tcPr>
            <w:tcW w:w="778" w:type="pct"/>
            <w:vAlign w:val="center"/>
          </w:tcPr>
          <w:p w14:paraId="79BA60A5">
            <w:pPr>
              <w:jc w:val="right"/>
            </w:pPr>
            <w:r>
              <w:t>203,614,681.80</w:t>
            </w:r>
          </w:p>
        </w:tc>
        <w:tc>
          <w:tcPr>
            <w:tcW w:w="778" w:type="pct"/>
            <w:vAlign w:val="center"/>
          </w:tcPr>
          <w:p w14:paraId="7E1A9B57">
            <w:pPr>
              <w:jc w:val="right"/>
            </w:pPr>
            <w:r>
              <w:t>126,829,518.54</w:t>
            </w:r>
          </w:p>
        </w:tc>
        <w:tc>
          <w:tcPr>
            <w:tcW w:w="719" w:type="pct"/>
            <w:vAlign w:val="center"/>
          </w:tcPr>
          <w:p w14:paraId="5DC64D1E">
            <w:pPr>
              <w:jc w:val="right"/>
            </w:pPr>
            <w:r>
              <w:t>10,538,758.60</w:t>
            </w:r>
          </w:p>
        </w:tc>
        <w:tc>
          <w:tcPr>
            <w:tcW w:w="867" w:type="pct"/>
            <w:vAlign w:val="center"/>
          </w:tcPr>
          <w:p w14:paraId="1B896320">
            <w:pPr>
              <w:jc w:val="right"/>
            </w:pPr>
            <w:r>
              <w:t>1,731,757,598.04</w:t>
            </w:r>
          </w:p>
        </w:tc>
      </w:tr>
      <w:tr w14:paraId="5FA7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sdt>
          <w:sdtPr>
            <w:tag w:val="_PLD_662c84047b6d41648e46d047cc9b134a"/>
            <w:id w:val="58903144"/>
          </w:sdtPr>
          <w:sdtContent>
            <w:tc>
              <w:tcPr>
                <w:tcW w:w="5000" w:type="pct"/>
                <w:gridSpan w:val="6"/>
              </w:tcPr>
              <w:p w14:paraId="72D139E6">
                <w:pPr>
                  <w:rPr>
                    <w:color w:val="000000" w:themeColor="text1"/>
                    <w14:textFill>
                      <w14:solidFill>
                        <w14:schemeClr w14:val="tx1"/>
                      </w14:solidFill>
                    </w14:textFill>
                  </w:rPr>
                </w:pPr>
                <w:r>
                  <w:rPr>
                    <w:rFonts w:hint="eastAsia"/>
                    <w:color w:val="000000" w:themeColor="text1"/>
                    <w14:textFill>
                      <w14:solidFill>
                        <w14:schemeClr w14:val="tx1"/>
                      </w14:solidFill>
                    </w14:textFill>
                  </w:rPr>
                  <w:t>三、减值准备</w:t>
                </w:r>
              </w:p>
            </w:tc>
          </w:sdtContent>
        </w:sdt>
      </w:tr>
      <w:tr w14:paraId="34C8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2B364E25">
            <w:pP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期初余额</w:t>
            </w:r>
          </w:p>
        </w:tc>
        <w:tc>
          <w:tcPr>
            <w:tcW w:w="867" w:type="pct"/>
            <w:vAlign w:val="center"/>
          </w:tcPr>
          <w:p w14:paraId="5D60BB5B">
            <w:pPr>
              <w:jc w:val="right"/>
            </w:pPr>
            <w:r>
              <w:t>15,540,929.49</w:t>
            </w:r>
          </w:p>
        </w:tc>
        <w:tc>
          <w:tcPr>
            <w:tcW w:w="778" w:type="pct"/>
            <w:vAlign w:val="center"/>
          </w:tcPr>
          <w:p w14:paraId="63006AB2">
            <w:pPr>
              <w:jc w:val="right"/>
            </w:pPr>
            <w:r>
              <w:t>4,979,802.32</w:t>
            </w:r>
          </w:p>
        </w:tc>
        <w:tc>
          <w:tcPr>
            <w:tcW w:w="778" w:type="pct"/>
            <w:vAlign w:val="center"/>
          </w:tcPr>
          <w:p w14:paraId="220A2A4C">
            <w:pPr>
              <w:jc w:val="right"/>
            </w:pPr>
            <w:r>
              <w:t>461,895.14</w:t>
            </w:r>
          </w:p>
        </w:tc>
        <w:tc>
          <w:tcPr>
            <w:tcW w:w="719" w:type="pct"/>
            <w:vAlign w:val="center"/>
          </w:tcPr>
          <w:p w14:paraId="7B057435">
            <w:pPr>
              <w:jc w:val="right"/>
            </w:pPr>
          </w:p>
        </w:tc>
        <w:tc>
          <w:tcPr>
            <w:tcW w:w="867" w:type="pct"/>
            <w:vAlign w:val="center"/>
          </w:tcPr>
          <w:p w14:paraId="1B4803DA">
            <w:pPr>
              <w:jc w:val="right"/>
            </w:pPr>
            <w:r>
              <w:t>20,982,626.95</w:t>
            </w:r>
          </w:p>
        </w:tc>
      </w:tr>
      <w:tr w14:paraId="2BE1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09EC926F">
            <w:pPr>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本期增加金额</w:t>
            </w:r>
          </w:p>
        </w:tc>
        <w:tc>
          <w:tcPr>
            <w:tcW w:w="867" w:type="pct"/>
            <w:vAlign w:val="center"/>
          </w:tcPr>
          <w:p w14:paraId="53BA6F3C">
            <w:pPr>
              <w:jc w:val="right"/>
            </w:pPr>
          </w:p>
        </w:tc>
        <w:tc>
          <w:tcPr>
            <w:tcW w:w="778" w:type="pct"/>
            <w:vAlign w:val="center"/>
          </w:tcPr>
          <w:p w14:paraId="324A3281">
            <w:pPr>
              <w:jc w:val="right"/>
            </w:pPr>
          </w:p>
        </w:tc>
        <w:tc>
          <w:tcPr>
            <w:tcW w:w="778" w:type="pct"/>
            <w:vAlign w:val="center"/>
          </w:tcPr>
          <w:p w14:paraId="6380534E">
            <w:pPr>
              <w:jc w:val="right"/>
            </w:pPr>
          </w:p>
        </w:tc>
        <w:tc>
          <w:tcPr>
            <w:tcW w:w="719" w:type="pct"/>
            <w:vAlign w:val="center"/>
          </w:tcPr>
          <w:p w14:paraId="4D08CC60">
            <w:pPr>
              <w:jc w:val="right"/>
            </w:pPr>
          </w:p>
        </w:tc>
        <w:tc>
          <w:tcPr>
            <w:tcW w:w="867" w:type="pct"/>
            <w:vAlign w:val="center"/>
          </w:tcPr>
          <w:p w14:paraId="65954E12">
            <w:pPr>
              <w:jc w:val="right"/>
            </w:pPr>
          </w:p>
        </w:tc>
      </w:tr>
      <w:tr w14:paraId="5E2B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73109315">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（1）计提</w:t>
            </w:r>
          </w:p>
        </w:tc>
        <w:tc>
          <w:tcPr>
            <w:tcW w:w="867" w:type="pct"/>
            <w:vAlign w:val="center"/>
          </w:tcPr>
          <w:p w14:paraId="5DE77261">
            <w:pPr>
              <w:jc w:val="right"/>
            </w:pPr>
          </w:p>
        </w:tc>
        <w:tc>
          <w:tcPr>
            <w:tcW w:w="778" w:type="pct"/>
            <w:vAlign w:val="center"/>
          </w:tcPr>
          <w:p w14:paraId="131BE6DB">
            <w:pPr>
              <w:jc w:val="right"/>
            </w:pPr>
          </w:p>
        </w:tc>
        <w:tc>
          <w:tcPr>
            <w:tcW w:w="778" w:type="pct"/>
            <w:vAlign w:val="center"/>
          </w:tcPr>
          <w:p w14:paraId="30741D73">
            <w:pPr>
              <w:jc w:val="right"/>
            </w:pPr>
          </w:p>
        </w:tc>
        <w:tc>
          <w:tcPr>
            <w:tcW w:w="719" w:type="pct"/>
            <w:vAlign w:val="center"/>
          </w:tcPr>
          <w:p w14:paraId="719A9FF6">
            <w:pPr>
              <w:jc w:val="right"/>
            </w:pPr>
          </w:p>
        </w:tc>
        <w:tc>
          <w:tcPr>
            <w:tcW w:w="867" w:type="pct"/>
            <w:vAlign w:val="center"/>
          </w:tcPr>
          <w:p w14:paraId="53F7A2BE">
            <w:pPr>
              <w:jc w:val="right"/>
            </w:pPr>
          </w:p>
        </w:tc>
      </w:tr>
      <w:tr w14:paraId="5988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61E7B1A0">
            <w:pPr>
              <w:rPr>
                <w:color w:val="000000" w:themeColor="text1"/>
                <w14:textFill>
                  <w14:solidFill>
                    <w14:schemeClr w14:val="tx1"/>
                  </w14:solidFill>
                </w14:textFill>
              </w:rPr>
            </w:pPr>
            <w:r>
              <w:rPr>
                <w:rFonts w:hint="eastAsia"/>
                <w:color w:val="000000" w:themeColor="text1"/>
                <w14:textFill>
                  <w14:solidFill>
                    <w14:schemeClr w14:val="tx1"/>
                  </w14:solidFill>
                </w14:textFill>
              </w:rPr>
              <w:t>3.本期减少金额</w:t>
            </w:r>
          </w:p>
        </w:tc>
        <w:tc>
          <w:tcPr>
            <w:tcW w:w="867" w:type="pct"/>
            <w:vAlign w:val="center"/>
          </w:tcPr>
          <w:p w14:paraId="109639B2">
            <w:pPr>
              <w:jc w:val="right"/>
            </w:pPr>
          </w:p>
        </w:tc>
        <w:tc>
          <w:tcPr>
            <w:tcW w:w="778" w:type="pct"/>
            <w:vAlign w:val="center"/>
          </w:tcPr>
          <w:p w14:paraId="6E300AB9">
            <w:pPr>
              <w:jc w:val="right"/>
            </w:pPr>
          </w:p>
        </w:tc>
        <w:tc>
          <w:tcPr>
            <w:tcW w:w="778" w:type="pct"/>
            <w:vAlign w:val="center"/>
          </w:tcPr>
          <w:p w14:paraId="441849BA">
            <w:pPr>
              <w:jc w:val="right"/>
            </w:pPr>
          </w:p>
        </w:tc>
        <w:tc>
          <w:tcPr>
            <w:tcW w:w="719" w:type="pct"/>
            <w:vAlign w:val="center"/>
          </w:tcPr>
          <w:p w14:paraId="72D13B69">
            <w:pPr>
              <w:jc w:val="right"/>
            </w:pPr>
          </w:p>
        </w:tc>
        <w:tc>
          <w:tcPr>
            <w:tcW w:w="867" w:type="pct"/>
            <w:vAlign w:val="center"/>
          </w:tcPr>
          <w:p w14:paraId="5FE118FD">
            <w:pPr>
              <w:jc w:val="right"/>
            </w:pPr>
          </w:p>
        </w:tc>
      </w:tr>
      <w:tr w14:paraId="5562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65A9B348">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（1）处置或报废</w:t>
            </w:r>
          </w:p>
        </w:tc>
        <w:tc>
          <w:tcPr>
            <w:tcW w:w="867" w:type="pct"/>
            <w:vAlign w:val="center"/>
          </w:tcPr>
          <w:p w14:paraId="3A4FAE71">
            <w:pPr>
              <w:jc w:val="right"/>
            </w:pPr>
          </w:p>
        </w:tc>
        <w:tc>
          <w:tcPr>
            <w:tcW w:w="778" w:type="pct"/>
            <w:vAlign w:val="center"/>
          </w:tcPr>
          <w:p w14:paraId="1DE4045D">
            <w:pPr>
              <w:jc w:val="right"/>
            </w:pPr>
          </w:p>
        </w:tc>
        <w:tc>
          <w:tcPr>
            <w:tcW w:w="778" w:type="pct"/>
            <w:vAlign w:val="center"/>
          </w:tcPr>
          <w:p w14:paraId="4F88190F">
            <w:pPr>
              <w:jc w:val="right"/>
            </w:pPr>
          </w:p>
        </w:tc>
        <w:tc>
          <w:tcPr>
            <w:tcW w:w="719" w:type="pct"/>
            <w:vAlign w:val="center"/>
          </w:tcPr>
          <w:p w14:paraId="333633E9">
            <w:pPr>
              <w:jc w:val="right"/>
            </w:pPr>
          </w:p>
        </w:tc>
        <w:tc>
          <w:tcPr>
            <w:tcW w:w="867" w:type="pct"/>
            <w:vAlign w:val="center"/>
          </w:tcPr>
          <w:p w14:paraId="417234DB">
            <w:pPr>
              <w:jc w:val="right"/>
            </w:pPr>
          </w:p>
        </w:tc>
      </w:tr>
      <w:tr w14:paraId="311C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7F2BC36A">
            <w:pPr>
              <w:rPr>
                <w:color w:val="000000" w:themeColor="text1"/>
                <w14:textFill>
                  <w14:solidFill>
                    <w14:schemeClr w14:val="tx1"/>
                  </w14:solidFill>
                </w14:textFill>
              </w:rPr>
            </w:pPr>
            <w:r>
              <w:rPr>
                <w:rFonts w:hint="eastAsia"/>
                <w:color w:val="000000" w:themeColor="text1"/>
                <w14:textFill>
                  <w14:solidFill>
                    <w14:schemeClr w14:val="tx1"/>
                  </w14:solidFill>
                </w14:textFill>
              </w:rPr>
              <w:t>4.期末余额</w:t>
            </w:r>
          </w:p>
        </w:tc>
        <w:tc>
          <w:tcPr>
            <w:tcW w:w="867" w:type="pct"/>
            <w:vAlign w:val="center"/>
          </w:tcPr>
          <w:p w14:paraId="4CF4C6AC">
            <w:pPr>
              <w:jc w:val="right"/>
            </w:pPr>
            <w:r>
              <w:t>15,540,929.49</w:t>
            </w:r>
          </w:p>
        </w:tc>
        <w:tc>
          <w:tcPr>
            <w:tcW w:w="778" w:type="pct"/>
            <w:vAlign w:val="center"/>
          </w:tcPr>
          <w:p w14:paraId="6576966A">
            <w:pPr>
              <w:jc w:val="right"/>
            </w:pPr>
            <w:r>
              <w:t>4,979,802.32</w:t>
            </w:r>
          </w:p>
        </w:tc>
        <w:tc>
          <w:tcPr>
            <w:tcW w:w="778" w:type="pct"/>
            <w:vAlign w:val="center"/>
          </w:tcPr>
          <w:p w14:paraId="117549DC">
            <w:pPr>
              <w:jc w:val="right"/>
            </w:pPr>
            <w:r>
              <w:t>461,895.14</w:t>
            </w:r>
          </w:p>
        </w:tc>
        <w:tc>
          <w:tcPr>
            <w:tcW w:w="719" w:type="pct"/>
            <w:vAlign w:val="center"/>
          </w:tcPr>
          <w:p w14:paraId="5B9F3F3B">
            <w:pPr>
              <w:jc w:val="right"/>
            </w:pPr>
          </w:p>
        </w:tc>
        <w:tc>
          <w:tcPr>
            <w:tcW w:w="867" w:type="pct"/>
            <w:vAlign w:val="center"/>
          </w:tcPr>
          <w:p w14:paraId="0749B120">
            <w:pPr>
              <w:jc w:val="right"/>
            </w:pPr>
            <w:r>
              <w:t>20,982,626.95</w:t>
            </w:r>
          </w:p>
        </w:tc>
      </w:tr>
      <w:tr w14:paraId="69EA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sdt>
          <w:sdtPr>
            <w:tag w:val="_PLD_bea29c32f5204124a483fa6e274ca7df"/>
            <w:id w:val="1880819132"/>
          </w:sdtPr>
          <w:sdtContent>
            <w:tc>
              <w:tcPr>
                <w:tcW w:w="5000" w:type="pct"/>
                <w:gridSpan w:val="6"/>
              </w:tcPr>
              <w:p w14:paraId="3730E5BE">
                <w:pPr>
                  <w:rPr>
                    <w:color w:val="000000" w:themeColor="text1"/>
                    <w14:textFill>
                      <w14:solidFill>
                        <w14:schemeClr w14:val="tx1"/>
                      </w14:solidFill>
                    </w14:textFill>
                  </w:rPr>
                </w:pPr>
                <w:r>
                  <w:rPr>
                    <w:rFonts w:hint="eastAsia"/>
                    <w:color w:val="000000" w:themeColor="text1"/>
                    <w14:textFill>
                      <w14:solidFill>
                        <w14:schemeClr w14:val="tx1"/>
                      </w14:solidFill>
                    </w14:textFill>
                  </w:rPr>
                  <w:t>四、账面价值</w:t>
                </w:r>
              </w:p>
            </w:tc>
          </w:sdtContent>
        </w:sdt>
      </w:tr>
      <w:tr w14:paraId="3958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61B26AE8">
            <w:pPr>
              <w:rPr>
                <w:color w:val="000000" w:themeColor="text1"/>
                <w14:textFill>
                  <w14:solidFill>
                    <w14:schemeClr w14:val="tx1"/>
                  </w14:solidFill>
                </w14:textFill>
              </w:rPr>
            </w:pPr>
            <w:r>
              <w:rPr>
                <w:rFonts w:hint="eastAsia"/>
                <w:color w:val="000000" w:themeColor="text1"/>
                <w14:textFill>
                  <w14:solidFill>
                    <w14:schemeClr w14:val="tx1"/>
                  </w14:solidFill>
                </w14:textFill>
              </w:rPr>
              <w:t>1.期末账面价值</w:t>
            </w:r>
          </w:p>
        </w:tc>
        <w:tc>
          <w:tcPr>
            <w:tcW w:w="867" w:type="pct"/>
            <w:vAlign w:val="center"/>
          </w:tcPr>
          <w:p w14:paraId="14BC40CB">
            <w:pPr>
              <w:jc w:val="right"/>
            </w:pPr>
            <w:r>
              <w:t>3,025,108,002.19</w:t>
            </w:r>
          </w:p>
        </w:tc>
        <w:tc>
          <w:tcPr>
            <w:tcW w:w="778" w:type="pct"/>
            <w:vAlign w:val="center"/>
          </w:tcPr>
          <w:p w14:paraId="150E5E8D">
            <w:pPr>
              <w:jc w:val="right"/>
            </w:pPr>
            <w:r>
              <w:t>81,396,673.97</w:t>
            </w:r>
          </w:p>
        </w:tc>
        <w:tc>
          <w:tcPr>
            <w:tcW w:w="778" w:type="pct"/>
            <w:vAlign w:val="center"/>
          </w:tcPr>
          <w:p w14:paraId="634E008A">
            <w:pPr>
              <w:jc w:val="right"/>
            </w:pPr>
            <w:r>
              <w:t>39,905,828.63</w:t>
            </w:r>
          </w:p>
        </w:tc>
        <w:tc>
          <w:tcPr>
            <w:tcW w:w="719" w:type="pct"/>
            <w:vAlign w:val="center"/>
          </w:tcPr>
          <w:p w14:paraId="4277AC9D">
            <w:pPr>
              <w:jc w:val="right"/>
            </w:pPr>
            <w:r>
              <w:t>2,372,828.69</w:t>
            </w:r>
          </w:p>
        </w:tc>
        <w:tc>
          <w:tcPr>
            <w:tcW w:w="867" w:type="pct"/>
            <w:vAlign w:val="center"/>
          </w:tcPr>
          <w:p w14:paraId="0425CDE4">
            <w:pPr>
              <w:jc w:val="right"/>
            </w:pPr>
            <w:r>
              <w:t>3,148,783,333.48</w:t>
            </w:r>
          </w:p>
        </w:tc>
      </w:tr>
      <w:tr w14:paraId="60D6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91" w:type="pct"/>
          </w:tcPr>
          <w:p w14:paraId="0FBD9E9F">
            <w:pPr>
              <w:rPr>
                <w:color w:val="000000" w:themeColor="text1"/>
                <w14:textFill>
                  <w14:solidFill>
                    <w14:schemeClr w14:val="tx1"/>
                  </w14:solidFill>
                </w14:textFill>
              </w:rPr>
            </w:pPr>
            <w:r>
              <w:rPr>
                <w:rFonts w:hint="eastAsia"/>
                <w:color w:val="000000" w:themeColor="text1"/>
                <w14:textFill>
                  <w14:solidFill>
                    <w14:schemeClr w14:val="tx1"/>
                  </w14:solidFill>
                </w14:textFill>
              </w:rPr>
              <w:t>2.期初账面价值</w:t>
            </w:r>
          </w:p>
        </w:tc>
        <w:tc>
          <w:tcPr>
            <w:tcW w:w="867" w:type="pct"/>
            <w:vAlign w:val="center"/>
          </w:tcPr>
          <w:p w14:paraId="787AE36B">
            <w:pPr>
              <w:jc w:val="right"/>
            </w:pPr>
            <w:r>
              <w:t>3,079,815,353.80</w:t>
            </w:r>
          </w:p>
        </w:tc>
        <w:tc>
          <w:tcPr>
            <w:tcW w:w="778" w:type="pct"/>
            <w:vAlign w:val="center"/>
          </w:tcPr>
          <w:p w14:paraId="1D737FC7">
            <w:pPr>
              <w:jc w:val="right"/>
            </w:pPr>
            <w:r>
              <w:t>85,220,802.72</w:t>
            </w:r>
          </w:p>
        </w:tc>
        <w:tc>
          <w:tcPr>
            <w:tcW w:w="778" w:type="pct"/>
            <w:vAlign w:val="center"/>
          </w:tcPr>
          <w:p w14:paraId="72F9AB2A">
            <w:pPr>
              <w:jc w:val="right"/>
            </w:pPr>
            <w:r>
              <w:t>61,115,313.91</w:t>
            </w:r>
          </w:p>
        </w:tc>
        <w:tc>
          <w:tcPr>
            <w:tcW w:w="719" w:type="pct"/>
            <w:vAlign w:val="center"/>
          </w:tcPr>
          <w:p w14:paraId="6F285B19">
            <w:pPr>
              <w:jc w:val="right"/>
            </w:pPr>
            <w:r>
              <w:t>2,460,094.62</w:t>
            </w:r>
          </w:p>
        </w:tc>
        <w:tc>
          <w:tcPr>
            <w:tcW w:w="867" w:type="pct"/>
            <w:vAlign w:val="center"/>
          </w:tcPr>
          <w:p w14:paraId="7A3BBD33">
            <w:pPr>
              <w:jc w:val="right"/>
            </w:pPr>
            <w:r>
              <w:t>3,228,611,565.05</w:t>
            </w:r>
          </w:p>
        </w:tc>
      </w:tr>
    </w:tbl>
    <w:p w14:paraId="14D8FA11">
      <w:pPr>
        <w:rPr>
          <w:color w:val="000000" w:themeColor="text1"/>
          <w14:textFill>
            <w14:solidFill>
              <w14:schemeClr w14:val="tx1"/>
            </w14:solidFill>
          </w14:textFill>
        </w:rPr>
      </w:pPr>
    </w:p>
    <w:p w14:paraId="62FE268E">
      <w:pPr>
        <w:pStyle w:val="6"/>
        <w:numPr>
          <w:ilvl w:val="0"/>
          <w:numId w:val="69"/>
        </w:numPr>
        <w:rPr>
          <w:rFonts w:cs="宋体"/>
          <w:kern w:val="0"/>
        </w:rPr>
      </w:pPr>
      <w:r>
        <w:rPr>
          <w:rFonts w:hint="eastAsia" w:cs="宋体"/>
          <w:kern w:val="0"/>
        </w:rPr>
        <w:t>暂时闲置的固定资产情况</w:t>
      </w:r>
    </w:p>
    <w:sdt>
      <w:sdtPr>
        <w:rPr>
          <w:color w:val="000000" w:themeColor="text1"/>
          <w14:textFill>
            <w14:solidFill>
              <w14:schemeClr w14:val="tx1"/>
            </w14:solidFill>
          </w14:textFill>
        </w:rPr>
        <w:alias w:val="是否适用：暂时闲置的固定资产情况[双击切换]"/>
        <w:tag w:val="_GBC_ca31f29118c7481f95f99a2655f8c1e1"/>
        <w:id w:val="1161514592"/>
        <w:placeholder>
          <w:docPart w:val="GBC22222222222222222222222222222"/>
        </w:placeholder>
      </w:sdtPr>
      <w:sdtEndPr>
        <w:rPr>
          <w:color w:val="000000" w:themeColor="text1"/>
          <w14:textFill>
            <w14:solidFill>
              <w14:schemeClr w14:val="tx1"/>
            </w14:solidFill>
          </w14:textFill>
        </w:rPr>
      </w:sdtEndPr>
      <w:sdtContent>
        <w:p w14:paraId="03EA5B1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AC11475">
      <w:pPr>
        <w:rPr>
          <w:color w:val="000000" w:themeColor="text1"/>
          <w14:textFill>
            <w14:solidFill>
              <w14:schemeClr w14:val="tx1"/>
            </w14:solidFill>
          </w14:textFill>
        </w:rPr>
      </w:pPr>
    </w:p>
    <w:p w14:paraId="50B52DB6">
      <w:pPr>
        <w:pStyle w:val="6"/>
        <w:numPr>
          <w:ilvl w:val="0"/>
          <w:numId w:val="69"/>
        </w:numPr>
        <w:rPr>
          <w:rFonts w:cs="宋体"/>
          <w:kern w:val="0"/>
        </w:rPr>
      </w:pPr>
      <w:r>
        <w:rPr>
          <w:rFonts w:hint="eastAsia" w:cs="宋体"/>
          <w:kern w:val="0"/>
        </w:rPr>
        <w:t>通过经营租赁租出的固定资产</w:t>
      </w:r>
    </w:p>
    <w:sdt>
      <w:sdtPr>
        <w:rPr>
          <w:color w:val="000000" w:themeColor="text1"/>
          <w14:textFill>
            <w14:solidFill>
              <w14:schemeClr w14:val="tx1"/>
            </w14:solidFill>
          </w14:textFill>
        </w:rPr>
        <w:alias w:val="是否适用：通过经营租赁租出的固定资产[双击切换]"/>
        <w:tag w:val="_GBC_251e1c74f40b47869d759974b0f6a463"/>
        <w:id w:val="-881555589"/>
        <w:placeholder>
          <w:docPart w:val="GBC22222222222222222222222222222"/>
        </w:placeholder>
      </w:sdtPr>
      <w:sdtEndPr>
        <w:rPr>
          <w:color w:val="000000" w:themeColor="text1"/>
          <w14:textFill>
            <w14:solidFill>
              <w14:schemeClr w14:val="tx1"/>
            </w14:solidFill>
          </w14:textFill>
        </w:rPr>
      </w:sdtEndPr>
      <w:sdtContent>
        <w:p w14:paraId="21F3543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03FDE7D">
      <w:pPr>
        <w:rPr>
          <w:color w:val="000000" w:themeColor="text1"/>
          <w14:textFill>
            <w14:solidFill>
              <w14:schemeClr w14:val="tx1"/>
            </w14:solidFill>
          </w14:textFill>
        </w:rPr>
      </w:pPr>
    </w:p>
    <w:p w14:paraId="0EF282B9">
      <w:pPr>
        <w:pStyle w:val="6"/>
        <w:numPr>
          <w:ilvl w:val="0"/>
          <w:numId w:val="69"/>
        </w:numPr>
        <w:rPr>
          <w:rFonts w:cs="宋体"/>
          <w:kern w:val="0"/>
        </w:rPr>
      </w:pPr>
      <w:r>
        <w:rPr>
          <w:rFonts w:hint="eastAsia" w:cs="宋体"/>
          <w:kern w:val="0"/>
        </w:rPr>
        <w:t>未办妥产权证书的固定资产情况</w:t>
      </w:r>
    </w:p>
    <w:sdt>
      <w:sdtPr>
        <w:rPr>
          <w:color w:val="000000" w:themeColor="text1"/>
          <w14:textFill>
            <w14:solidFill>
              <w14:schemeClr w14:val="tx1"/>
            </w14:solidFill>
          </w14:textFill>
        </w:rPr>
        <w:alias w:val="是否适用：未办妥产权证书的固定资产情况[双击切换]"/>
        <w:tag w:val="_GBC_a26aa363313e4c8fbedf9041cd41bfc9"/>
        <w:id w:val="-678350118"/>
        <w:placeholder>
          <w:docPart w:val="GBC22222222222222222222222222222"/>
        </w:placeholder>
      </w:sdtPr>
      <w:sdtEndPr>
        <w:rPr>
          <w:color w:val="000000" w:themeColor="text1"/>
          <w14:textFill>
            <w14:solidFill>
              <w14:schemeClr w14:val="tx1"/>
            </w14:solidFill>
          </w14:textFill>
        </w:rPr>
      </w:sdtEndPr>
      <w:sdtContent>
        <w:p w14:paraId="27C20CCC">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CBE9B1B">
      <w:pPr>
        <w:rPr>
          <w:color w:val="000000" w:themeColor="text1"/>
          <w14:textFill>
            <w14:solidFill>
              <w14:schemeClr w14:val="tx1"/>
            </w14:solidFill>
          </w14:textFill>
        </w:rPr>
      </w:pPr>
    </w:p>
    <w:p w14:paraId="4750B1CB">
      <w:pPr>
        <w:pStyle w:val="6"/>
        <w:numPr>
          <w:ilvl w:val="0"/>
          <w:numId w:val="69"/>
        </w:numPr>
        <w:rPr>
          <w:rFonts w:cs="宋体"/>
          <w:kern w:val="0"/>
        </w:rPr>
      </w:pPr>
      <w:bookmarkStart w:id="292" w:name="_Hlk167957241"/>
      <w:bookmarkStart w:id="293" w:name="_Hlk153460880"/>
      <w:r>
        <w:rPr>
          <w:rFonts w:hint="eastAsia" w:cs="宋体"/>
          <w:kern w:val="0"/>
        </w:rPr>
        <w:t>固定资产的减值测试情况</w:t>
      </w:r>
    </w:p>
    <w:sdt>
      <w:sdtPr>
        <w:rPr>
          <w:color w:val="000000" w:themeColor="text1"/>
          <w14:textFill>
            <w14:solidFill>
              <w14:schemeClr w14:val="tx1"/>
            </w14:solidFill>
          </w14:textFill>
        </w:rPr>
        <w:alias w:val="是否适用：减值测试情况[双击切换]"/>
        <w:tag w:val="_GBC_9a66caee6756422c9cb01da54631670e"/>
        <w:id w:val="-257764559"/>
        <w:placeholder>
          <w:docPart w:val="GBC22222222222222222222222222222"/>
        </w:placeholder>
      </w:sdtPr>
      <w:sdtEndPr>
        <w:rPr>
          <w:color w:val="000000" w:themeColor="text1"/>
          <w14:textFill>
            <w14:solidFill>
              <w14:schemeClr w14:val="tx1"/>
            </w14:solidFill>
          </w14:textFill>
        </w:rPr>
      </w:sdtEndPr>
      <w:sdtContent>
        <w:p w14:paraId="7DC1A62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9493BCF">
      <w:pPr>
        <w:rPr>
          <w:color w:val="000000" w:themeColor="text1"/>
          <w14:textFill>
            <w14:solidFill>
              <w14:schemeClr w14:val="tx1"/>
            </w14:solidFill>
          </w14:textFill>
        </w:rPr>
      </w:pPr>
    </w:p>
    <w:p w14:paraId="79882D4B">
      <w:pPr>
        <w:snapToGrid w:val="0"/>
        <w:spacing w:line="240" w:lineRule="atLeast"/>
        <w:rPr>
          <w:color w:val="000000" w:themeColor="text1"/>
          <w14:textFill>
            <w14:solidFill>
              <w14:schemeClr w14:val="tx1"/>
            </w14:solidFill>
          </w14:textFill>
        </w:rPr>
      </w:pPr>
    </w:p>
    <w:bookmarkEnd w:id="292"/>
    <w:bookmarkEnd w:id="293"/>
    <w:p w14:paraId="783E7FD1">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固定资产的说明[双击切换]"/>
        <w:tag w:val="_GBC_e2fd7087594d4949ada40807334de5fb"/>
        <w:id w:val="-663314946"/>
        <w:placeholder>
          <w:docPart w:val="GBC22222222222222222222222222222"/>
        </w:placeholder>
      </w:sdtPr>
      <w:sdtEndPr>
        <w:rPr>
          <w:color w:val="000000" w:themeColor="text1"/>
          <w14:textFill>
            <w14:solidFill>
              <w14:schemeClr w14:val="tx1"/>
            </w14:solidFill>
          </w14:textFill>
        </w:rPr>
      </w:sdtEndPr>
      <w:sdtContent>
        <w:p w14:paraId="5BCA892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3FBB060">
      <w:pPr>
        <w:rPr>
          <w:color w:val="000000" w:themeColor="text1"/>
          <w14:textFill>
            <w14:solidFill>
              <w14:schemeClr w14:val="tx1"/>
            </w14:solidFill>
          </w14:textFill>
        </w:rPr>
      </w:pPr>
    </w:p>
    <w:p w14:paraId="69AA103D">
      <w:pPr>
        <w:pStyle w:val="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固定资产清理</w:t>
      </w:r>
    </w:p>
    <w:sdt>
      <w:sdtPr>
        <w:rPr>
          <w:color w:val="000000" w:themeColor="text1"/>
          <w14:textFill>
            <w14:solidFill>
              <w14:schemeClr w14:val="tx1"/>
            </w14:solidFill>
          </w14:textFill>
        </w:rPr>
        <w:alias w:val="是否适用：固定资产清理[双击切换]"/>
        <w:tag w:val="_GBC_d005d220fbda4cd2a58ced6d0d7a1404"/>
        <w:id w:val="-550925989"/>
        <w:placeholder>
          <w:docPart w:val="GBC22222222222222222222222222222"/>
        </w:placeholder>
      </w:sdtPr>
      <w:sdtEndPr>
        <w:rPr>
          <w:color w:val="000000" w:themeColor="text1"/>
          <w14:textFill>
            <w14:solidFill>
              <w14:schemeClr w14:val="tx1"/>
            </w14:solidFill>
          </w14:textFill>
        </w:rPr>
      </w:sdtEndPr>
      <w:sdtContent>
        <w:p w14:paraId="3C3DEB4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A592B1B">
      <w:pPr>
        <w:rPr>
          <w:color w:val="000000" w:themeColor="text1"/>
          <w14:textFill>
            <w14:solidFill>
              <w14:schemeClr w14:val="tx1"/>
            </w14:solidFill>
          </w14:textFill>
        </w:rPr>
      </w:pPr>
    </w:p>
    <w:p w14:paraId="29D7998E">
      <w:pPr>
        <w:rPr>
          <w:color w:val="000000" w:themeColor="text1"/>
          <w14:textFill>
            <w14:solidFill>
              <w14:schemeClr w14:val="tx1"/>
            </w14:solidFill>
          </w14:textFill>
        </w:rPr>
      </w:pPr>
    </w:p>
    <w:p w14:paraId="4F2AA1E5">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在建工程</w:t>
      </w:r>
    </w:p>
    <w:p w14:paraId="3191A8B5">
      <w:pPr>
        <w:pStyle w:val="5"/>
        <w:rPr>
          <w:rFonts w:hint="eastAsia" w:ascii="宋体" w:hAnsi="宋体"/>
          <w:color w:val="000000" w:themeColor="text1"/>
          <w14:textFill>
            <w14:solidFill>
              <w14:schemeClr w14:val="tx1"/>
            </w14:solidFill>
          </w14:textFill>
        </w:rPr>
      </w:pPr>
      <w:bookmarkStart w:id="294" w:name="_Hlk10472757"/>
      <w:r>
        <w:rPr>
          <w:rFonts w:hint="eastAsia" w:ascii="宋体" w:hAnsi="宋体"/>
          <w:color w:val="000000" w:themeColor="text1"/>
          <w14:textFill>
            <w14:solidFill>
              <w14:schemeClr w14:val="tx1"/>
            </w14:solidFill>
          </w14:textFill>
        </w:rPr>
        <w:t>项目列示</w:t>
      </w:r>
    </w:p>
    <w:sdt>
      <w:sdtPr>
        <w:rPr>
          <w:color w:val="000000" w:themeColor="text1"/>
          <w14:textFill>
            <w14:solidFill>
              <w14:schemeClr w14:val="tx1"/>
            </w14:solidFill>
          </w14:textFill>
        </w:rPr>
        <w:alias w:val="是否适用：在建工程分类列示[双击切换]"/>
        <w:tag w:val="_GBC_bcbd4315343844fc923825dd150041e5"/>
        <w:id w:val="-1445611596"/>
        <w:placeholder>
          <w:docPart w:val="GBC22222222222222222222222222222"/>
        </w:placeholder>
      </w:sdtPr>
      <w:sdtEndPr>
        <w:rPr>
          <w:color w:val="000000" w:themeColor="text1"/>
          <w14:textFill>
            <w14:solidFill>
              <w14:schemeClr w14:val="tx1"/>
            </w14:solidFill>
          </w14:textFill>
        </w:rPr>
      </w:sdtEndPr>
      <w:sdtContent>
        <w:p w14:paraId="3C01EB6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0B11C2C">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在建工程分类列示"/>
          <w:tag w:val="_GBC_9df8e16a6fb54a76b384d11e7a6dd52d"/>
          <w:id w:val="-7650068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在建工程分类列示"/>
          <w:tag w:val="_GBC_17b0bdb7b5f24e599fcea2e90510306a"/>
          <w:id w:val="11635129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3" w:type="dxa"/>
          <w:bottom w:w="0" w:type="dxa"/>
          <w:right w:w="113" w:type="dxa"/>
        </w:tblCellMar>
      </w:tblPr>
      <w:tblGrid>
        <w:gridCol w:w="3113"/>
        <w:gridCol w:w="2862"/>
        <w:gridCol w:w="2848"/>
      </w:tblGrid>
      <w:tr w14:paraId="5B75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sdt>
          <w:sdtPr>
            <w:tag w:val="_PLD_3a34a6496ee4454093b17b19ba9b805d"/>
            <w:id w:val="-354343627"/>
          </w:sdtPr>
          <w:sdtContent>
            <w:tc>
              <w:tcPr>
                <w:tcW w:w="1764" w:type="pct"/>
                <w:vAlign w:val="center"/>
              </w:tcPr>
              <w:p w14:paraId="1592959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88973d2835334cdbb31181ad26b55912"/>
            <w:id w:val="-1248493690"/>
          </w:sdtPr>
          <w:sdtContent>
            <w:tc>
              <w:tcPr>
                <w:tcW w:w="1622" w:type="pct"/>
                <w:vAlign w:val="center"/>
              </w:tcPr>
              <w:p w14:paraId="3381478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55f5bd8851c54b7897a165bee2df0273"/>
            <w:id w:val="-1825037398"/>
          </w:sdtPr>
          <w:sdtContent>
            <w:tc>
              <w:tcPr>
                <w:tcW w:w="1614" w:type="pct"/>
                <w:vAlign w:val="center"/>
              </w:tcPr>
              <w:p w14:paraId="01A2BE9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3984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764" w:type="pct"/>
          </w:tcPr>
          <w:p w14:paraId="4D4A825F">
            <w:pPr>
              <w:tabs>
                <w:tab w:val="right" w:pos="3690"/>
                <w:tab w:val="right" w:pos="5130"/>
                <w:tab w:val="right" w:pos="6030"/>
                <w:tab w:val="right" w:pos="7650"/>
                <w:tab w:val="right" w:pos="9270"/>
              </w:tabs>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在建工程</w:t>
            </w:r>
          </w:p>
        </w:tc>
        <w:tc>
          <w:tcPr>
            <w:tcW w:w="1622" w:type="pct"/>
          </w:tcPr>
          <w:p w14:paraId="3E78511A">
            <w:pPr>
              <w:ind w:right="5"/>
              <w:jc w:val="right"/>
            </w:pPr>
            <w:r>
              <w:t>2,770,233.15</w:t>
            </w:r>
          </w:p>
        </w:tc>
        <w:tc>
          <w:tcPr>
            <w:tcW w:w="1614" w:type="pct"/>
          </w:tcPr>
          <w:p w14:paraId="28CC1D13">
            <w:pPr>
              <w:ind w:right="5"/>
              <w:jc w:val="right"/>
            </w:pPr>
            <w:r>
              <w:t>1,697,848.20</w:t>
            </w:r>
          </w:p>
        </w:tc>
      </w:tr>
      <w:tr w14:paraId="4C6D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764" w:type="pct"/>
          </w:tcPr>
          <w:p w14:paraId="20763F63">
            <w:pPr>
              <w:tabs>
                <w:tab w:val="right" w:pos="3690"/>
                <w:tab w:val="right" w:pos="5130"/>
                <w:tab w:val="right" w:pos="6030"/>
                <w:tab w:val="right" w:pos="7650"/>
                <w:tab w:val="right" w:pos="9270"/>
              </w:tabs>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工程物资</w:t>
            </w:r>
          </w:p>
        </w:tc>
        <w:tc>
          <w:tcPr>
            <w:tcW w:w="1622" w:type="pct"/>
          </w:tcPr>
          <w:p w14:paraId="736A87DD">
            <w:pPr>
              <w:ind w:right="5"/>
              <w:jc w:val="right"/>
            </w:pPr>
          </w:p>
        </w:tc>
        <w:tc>
          <w:tcPr>
            <w:tcW w:w="1614" w:type="pct"/>
          </w:tcPr>
          <w:p w14:paraId="58EB0D63">
            <w:pPr>
              <w:ind w:right="5"/>
              <w:jc w:val="right"/>
            </w:pPr>
          </w:p>
        </w:tc>
      </w:tr>
      <w:tr w14:paraId="43B3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764" w:type="pct"/>
            <w:vAlign w:val="center"/>
          </w:tcPr>
          <w:p w14:paraId="20374C06">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22" w:type="pct"/>
          </w:tcPr>
          <w:p w14:paraId="046C3702">
            <w:pPr>
              <w:jc w:val="right"/>
            </w:pPr>
            <w:r>
              <w:t>2,770,233.15</w:t>
            </w:r>
          </w:p>
        </w:tc>
        <w:tc>
          <w:tcPr>
            <w:tcW w:w="1614" w:type="pct"/>
          </w:tcPr>
          <w:p w14:paraId="4686FD60">
            <w:pPr>
              <w:ind w:right="5"/>
              <w:jc w:val="right"/>
            </w:pPr>
            <w:r>
              <w:t>1,697,848.20</w:t>
            </w:r>
          </w:p>
        </w:tc>
      </w:tr>
      <w:bookmarkEnd w:id="294"/>
    </w:tbl>
    <w:p w14:paraId="4B0B2B88">
      <w:pPr>
        <w:rPr>
          <w:color w:val="000000" w:themeColor="text1"/>
          <w14:textFill>
            <w14:solidFill>
              <w14:schemeClr w14:val="tx1"/>
            </w14:solidFill>
          </w14:textFill>
        </w:rPr>
      </w:pPr>
      <w:bookmarkStart w:id="295" w:name="_Hlk10472837"/>
      <w:bookmarkStart w:id="296" w:name="_Hlk10472848"/>
      <w:r>
        <w:rPr>
          <w:rFonts w:hint="eastAsia"/>
          <w:color w:val="000000" w:themeColor="text1"/>
          <w14:textFill>
            <w14:solidFill>
              <w14:schemeClr w14:val="tx1"/>
            </w14:solidFill>
          </w14:textFill>
        </w:rPr>
        <w:t>其他说明：</w:t>
      </w:r>
      <w:bookmarkEnd w:id="295"/>
    </w:p>
    <w:p w14:paraId="0691D980">
      <w:pPr>
        <w:rPr>
          <w:color w:val="000000" w:themeColor="text1"/>
          <w14:textFill>
            <w14:solidFill>
              <w14:schemeClr w14:val="tx1"/>
            </w14:solidFill>
          </w14:textFill>
        </w:rPr>
      </w:pPr>
      <w:sdt>
        <w:sdtPr>
          <w:rPr>
            <w:color w:val="000000" w:themeColor="text1"/>
            <w14:textFill>
              <w14:solidFill>
                <w14:schemeClr w14:val="tx1"/>
              </w14:solidFill>
            </w14:textFill>
          </w:rPr>
          <w:alias w:val="在建工程分类列示其他说明"/>
          <w:tag w:val="_GBC_ebe1a06b82914095a2c469c32c78af71"/>
          <w:id w:val="1884743985"/>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无</w:t>
          </w:r>
        </w:sdtContent>
      </w:sdt>
    </w:p>
    <w:bookmarkEnd w:id="296"/>
    <w:p w14:paraId="2451B5DB">
      <w:pPr>
        <w:rPr>
          <w:color w:val="000000" w:themeColor="text1"/>
          <w14:textFill>
            <w14:solidFill>
              <w14:schemeClr w14:val="tx1"/>
            </w14:solidFill>
          </w14:textFill>
        </w:rPr>
      </w:pPr>
    </w:p>
    <w:p w14:paraId="6DBA486E">
      <w:pPr>
        <w:pStyle w:val="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在建工程</w:t>
      </w:r>
    </w:p>
    <w:p w14:paraId="1E7994CE">
      <w:pPr>
        <w:pStyle w:val="6"/>
        <w:numPr>
          <w:ilvl w:val="0"/>
          <w:numId w:val="70"/>
        </w:numPr>
      </w:pPr>
      <w:r>
        <w:rPr>
          <w:rFonts w:hint="eastAsia"/>
        </w:rPr>
        <w:t>在建工程情况</w:t>
      </w:r>
    </w:p>
    <w:sdt>
      <w:sdtPr>
        <w:rPr>
          <w:color w:val="000000" w:themeColor="text1"/>
          <w14:textFill>
            <w14:solidFill>
              <w14:schemeClr w14:val="tx1"/>
            </w14:solidFill>
          </w14:textFill>
        </w:rPr>
        <w:alias w:val="是否适用：在建工程情况[双击切换]"/>
        <w:tag w:val="_GBC_d9828cc7ad534f26902e1979f9d67530"/>
        <w:id w:val="114113628"/>
        <w:placeholder>
          <w:docPart w:val="GBC22222222222222222222222222222"/>
        </w:placeholder>
      </w:sdtPr>
      <w:sdtEndPr>
        <w:rPr>
          <w:color w:val="000000" w:themeColor="text1"/>
          <w14:textFill>
            <w14:solidFill>
              <w14:schemeClr w14:val="tx1"/>
            </w14:solidFill>
          </w14:textFill>
        </w:rPr>
      </w:sdtEndPr>
      <w:sdtContent>
        <w:p w14:paraId="394E6B9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0826802">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在建工程"/>
          <w:tag w:val="_GBC_d20598ce3f5b4d21a9055de674936a9a"/>
          <w:id w:val="-68636880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在建工程"/>
          <w:tag w:val="_GBC_9e96d736daa247dd96af144329fff105"/>
          <w:id w:val="-12616048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1" w:type="dxa"/>
          <w:bottom w:w="0" w:type="dxa"/>
          <w:right w:w="31" w:type="dxa"/>
        </w:tblCellMar>
      </w:tblPr>
      <w:tblGrid>
        <w:gridCol w:w="1774"/>
        <w:gridCol w:w="1270"/>
        <w:gridCol w:w="1105"/>
        <w:gridCol w:w="1239"/>
        <w:gridCol w:w="1165"/>
        <w:gridCol w:w="1105"/>
        <w:gridCol w:w="1165"/>
      </w:tblGrid>
      <w:tr w14:paraId="3E16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tag w:val="_PLD_27b31695edfd49cb9cafa333777d18c3"/>
            <w:id w:val="1768653546"/>
          </w:sdtPr>
          <w:sdtContent>
            <w:tc>
              <w:tcPr>
                <w:tcW w:w="1006" w:type="pct"/>
                <w:vMerge w:val="restart"/>
                <w:vAlign w:val="center"/>
              </w:tcPr>
              <w:p w14:paraId="75DCDAA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a5273bde7b2f4c6c8fbe3ea2d7a7eb84"/>
            <w:id w:val="-1386327955"/>
          </w:sdtPr>
          <w:sdtContent>
            <w:tc>
              <w:tcPr>
                <w:tcW w:w="2047" w:type="pct"/>
                <w:gridSpan w:val="3"/>
                <w:vAlign w:val="center"/>
              </w:tcPr>
              <w:p w14:paraId="34BC64C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ac57490b080449c8b91be5a872e19f79"/>
            <w:id w:val="-1356960893"/>
          </w:sdtPr>
          <w:sdtContent>
            <w:tc>
              <w:tcPr>
                <w:tcW w:w="1947" w:type="pct"/>
                <w:gridSpan w:val="3"/>
                <w:vAlign w:val="center"/>
              </w:tcPr>
              <w:p w14:paraId="3A71E2C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4E6E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006" w:type="pct"/>
            <w:vMerge w:val="continue"/>
            <w:vAlign w:val="center"/>
          </w:tcPr>
          <w:p w14:paraId="0D2FA1ED">
            <w:pPr>
              <w:tabs>
                <w:tab w:val="left" w:pos="420"/>
              </w:tabs>
              <w:ind w:left="420" w:hanging="420"/>
              <w:jc w:val="center"/>
              <w:rPr>
                <w:color w:val="000000" w:themeColor="text1"/>
                <w14:textFill>
                  <w14:solidFill>
                    <w14:schemeClr w14:val="tx1"/>
                  </w14:solidFill>
                </w14:textFill>
              </w:rPr>
            </w:pPr>
          </w:p>
        </w:tc>
        <w:sdt>
          <w:sdtPr>
            <w:tag w:val="_PLD_1d60491359e245e7bc54655c8c8c15fd"/>
            <w:id w:val="-615142810"/>
          </w:sdtPr>
          <w:sdtContent>
            <w:tc>
              <w:tcPr>
                <w:tcW w:w="720" w:type="pct"/>
                <w:vAlign w:val="center"/>
              </w:tcPr>
              <w:p w14:paraId="7763C820">
                <w:pPr>
                  <w:tabs>
                    <w:tab w:val="left" w:pos="420"/>
                  </w:tabs>
                  <w:ind w:left="420" w:hanging="42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tc>
          </w:sdtContent>
        </w:sdt>
        <w:sdt>
          <w:sdtPr>
            <w:tag w:val="_PLD_d5d8fa5186d44c82b146ad7151830389"/>
            <w:id w:val="1943343521"/>
          </w:sdtPr>
          <w:sdtContent>
            <w:tc>
              <w:tcPr>
                <w:tcW w:w="626" w:type="pct"/>
                <w:vAlign w:val="center"/>
              </w:tcPr>
              <w:p w14:paraId="4A017B52">
                <w:pPr>
                  <w:tabs>
                    <w:tab w:val="left" w:pos="420"/>
                  </w:tabs>
                  <w:ind w:left="420" w:hanging="42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减值准备</w:t>
                </w:r>
              </w:p>
            </w:tc>
          </w:sdtContent>
        </w:sdt>
        <w:sdt>
          <w:sdtPr>
            <w:tag w:val="_PLD_49aa1c2d25814b789479d76afb6fc844"/>
            <w:id w:val="-1419789841"/>
          </w:sdtPr>
          <w:sdtContent>
            <w:tc>
              <w:tcPr>
                <w:tcW w:w="702" w:type="pct"/>
                <w:vAlign w:val="center"/>
              </w:tcPr>
              <w:p w14:paraId="35E4D0D5">
                <w:pPr>
                  <w:tabs>
                    <w:tab w:val="left" w:pos="420"/>
                  </w:tabs>
                  <w:ind w:left="420" w:hanging="42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账面价值</w:t>
                </w:r>
              </w:p>
            </w:tc>
          </w:sdtContent>
        </w:sdt>
        <w:sdt>
          <w:sdtPr>
            <w:tag w:val="_PLD_4bba2db5e5a549ecafbf4e94a7af2e35"/>
            <w:id w:val="1890458372"/>
          </w:sdtPr>
          <w:sdtContent>
            <w:tc>
              <w:tcPr>
                <w:tcW w:w="660" w:type="pct"/>
                <w:vAlign w:val="center"/>
              </w:tcPr>
              <w:p w14:paraId="262C3F44">
                <w:pPr>
                  <w:tabs>
                    <w:tab w:val="left" w:pos="420"/>
                  </w:tabs>
                  <w:ind w:left="420" w:hanging="42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tc>
          </w:sdtContent>
        </w:sdt>
        <w:sdt>
          <w:sdtPr>
            <w:tag w:val="_PLD_e054d8cd1e1b4672ae08a495b587bdce"/>
            <w:id w:val="-1543052350"/>
          </w:sdtPr>
          <w:sdtContent>
            <w:tc>
              <w:tcPr>
                <w:tcW w:w="626" w:type="pct"/>
                <w:vAlign w:val="center"/>
              </w:tcPr>
              <w:p w14:paraId="0A83DCE9">
                <w:pPr>
                  <w:tabs>
                    <w:tab w:val="left" w:pos="420"/>
                  </w:tabs>
                  <w:ind w:left="420" w:hanging="42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减值准备</w:t>
                </w:r>
              </w:p>
            </w:tc>
          </w:sdtContent>
        </w:sdt>
        <w:sdt>
          <w:sdtPr>
            <w:tag w:val="_PLD_bd3055c2713a44fa9cbd3fd973d34c6a"/>
            <w:id w:val="-426812789"/>
          </w:sdtPr>
          <w:sdtContent>
            <w:tc>
              <w:tcPr>
                <w:tcW w:w="660" w:type="pct"/>
                <w:vAlign w:val="center"/>
              </w:tcPr>
              <w:p w14:paraId="7FBE9BE0">
                <w:pPr>
                  <w:tabs>
                    <w:tab w:val="left" w:pos="420"/>
                  </w:tabs>
                  <w:ind w:left="420" w:hanging="42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账面价值</w:t>
                </w:r>
              </w:p>
            </w:tc>
          </w:sdtContent>
        </w:sdt>
      </w:tr>
      <w:tr w14:paraId="1B4B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006" w:type="pct"/>
          </w:tcPr>
          <w:p w14:paraId="0DB8EA61">
            <w:r>
              <w:rPr>
                <w:rFonts w:hint="eastAsia"/>
              </w:rPr>
              <w:t>零星工程</w:t>
            </w:r>
          </w:p>
        </w:tc>
        <w:tc>
          <w:tcPr>
            <w:tcW w:w="720" w:type="pct"/>
          </w:tcPr>
          <w:p w14:paraId="0A044623">
            <w:pPr>
              <w:ind w:right="105"/>
              <w:jc w:val="right"/>
            </w:pPr>
            <w:r>
              <w:t>2,770,233.15</w:t>
            </w:r>
          </w:p>
        </w:tc>
        <w:tc>
          <w:tcPr>
            <w:tcW w:w="626" w:type="pct"/>
          </w:tcPr>
          <w:p w14:paraId="61035759">
            <w:pPr>
              <w:ind w:right="73"/>
              <w:jc w:val="right"/>
            </w:pPr>
          </w:p>
        </w:tc>
        <w:tc>
          <w:tcPr>
            <w:tcW w:w="702" w:type="pct"/>
          </w:tcPr>
          <w:p w14:paraId="583AD8BB">
            <w:pPr>
              <w:ind w:right="73"/>
              <w:jc w:val="right"/>
            </w:pPr>
            <w:r>
              <w:t>2,770,233.15</w:t>
            </w:r>
          </w:p>
        </w:tc>
        <w:tc>
          <w:tcPr>
            <w:tcW w:w="660" w:type="pct"/>
          </w:tcPr>
          <w:p w14:paraId="6499713F">
            <w:pPr>
              <w:jc w:val="right"/>
            </w:pPr>
            <w:r>
              <w:t>1,697,848.20</w:t>
            </w:r>
          </w:p>
        </w:tc>
        <w:tc>
          <w:tcPr>
            <w:tcW w:w="626" w:type="pct"/>
          </w:tcPr>
          <w:p w14:paraId="6D9A6CA1">
            <w:pPr>
              <w:jc w:val="right"/>
            </w:pPr>
          </w:p>
        </w:tc>
        <w:tc>
          <w:tcPr>
            <w:tcW w:w="660" w:type="pct"/>
          </w:tcPr>
          <w:p w14:paraId="58464829">
            <w:pPr>
              <w:jc w:val="right"/>
            </w:pPr>
            <w:r>
              <w:t>1,697,848.20</w:t>
            </w:r>
          </w:p>
        </w:tc>
      </w:tr>
      <w:tr w14:paraId="428E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006" w:type="pct"/>
            <w:vAlign w:val="center"/>
          </w:tcPr>
          <w:p w14:paraId="211AB29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720" w:type="pct"/>
          </w:tcPr>
          <w:p w14:paraId="18425EEB">
            <w:pPr>
              <w:ind w:right="105"/>
              <w:jc w:val="right"/>
            </w:pPr>
            <w:r>
              <w:t>2,770,233.15</w:t>
            </w:r>
          </w:p>
        </w:tc>
        <w:tc>
          <w:tcPr>
            <w:tcW w:w="626" w:type="pct"/>
          </w:tcPr>
          <w:p w14:paraId="45400DDA">
            <w:pPr>
              <w:ind w:right="73"/>
              <w:jc w:val="right"/>
            </w:pPr>
          </w:p>
        </w:tc>
        <w:tc>
          <w:tcPr>
            <w:tcW w:w="702" w:type="pct"/>
          </w:tcPr>
          <w:p w14:paraId="45602BAD">
            <w:pPr>
              <w:ind w:right="73"/>
              <w:jc w:val="right"/>
            </w:pPr>
            <w:r>
              <w:t>2,770,233.15</w:t>
            </w:r>
          </w:p>
        </w:tc>
        <w:tc>
          <w:tcPr>
            <w:tcW w:w="660" w:type="pct"/>
          </w:tcPr>
          <w:p w14:paraId="157870A1">
            <w:pPr>
              <w:jc w:val="right"/>
            </w:pPr>
            <w:r>
              <w:t>1,697,848.20</w:t>
            </w:r>
          </w:p>
        </w:tc>
        <w:tc>
          <w:tcPr>
            <w:tcW w:w="626" w:type="pct"/>
          </w:tcPr>
          <w:p w14:paraId="48858FBA">
            <w:pPr>
              <w:jc w:val="right"/>
            </w:pPr>
          </w:p>
        </w:tc>
        <w:tc>
          <w:tcPr>
            <w:tcW w:w="660" w:type="pct"/>
          </w:tcPr>
          <w:p w14:paraId="46E7B819">
            <w:pPr>
              <w:jc w:val="right"/>
            </w:pPr>
            <w:r>
              <w:t>1,697,848.20</w:t>
            </w:r>
          </w:p>
        </w:tc>
      </w:tr>
    </w:tbl>
    <w:p w14:paraId="6E43F742">
      <w:pPr>
        <w:rPr>
          <w:color w:val="000000" w:themeColor="text1"/>
          <w14:textFill>
            <w14:solidFill>
              <w14:schemeClr w14:val="tx1"/>
            </w14:solidFill>
          </w14:textFill>
        </w:rPr>
      </w:pPr>
    </w:p>
    <w:p w14:paraId="40718148">
      <w:pPr>
        <w:pStyle w:val="6"/>
        <w:numPr>
          <w:ilvl w:val="0"/>
          <w:numId w:val="70"/>
        </w:numPr>
        <w:rPr>
          <w:rFonts w:cs="宋体"/>
          <w:kern w:val="0"/>
        </w:rPr>
      </w:pPr>
      <w:r>
        <w:rPr>
          <w:rFonts w:hint="eastAsia" w:cs="宋体"/>
          <w:kern w:val="0"/>
        </w:rPr>
        <w:t>重要在建工程项目本期变动情况</w:t>
      </w:r>
    </w:p>
    <w:sdt>
      <w:sdtPr>
        <w:rPr>
          <w:color w:val="000000" w:themeColor="text1"/>
          <w14:textFill>
            <w14:solidFill>
              <w14:schemeClr w14:val="tx1"/>
            </w14:solidFill>
          </w14:textFill>
        </w:rPr>
        <w:alias w:val="是否适用：重要在建工程项目本期变动情况[双击切换]"/>
        <w:tag w:val="_GBC_ec2dd768673145d4bb9d3c31a6fa701a"/>
        <w:id w:val="-682127691"/>
        <w:placeholder>
          <w:docPart w:val="GBC22222222222222222222222222222"/>
        </w:placeholder>
      </w:sdtPr>
      <w:sdtEndPr>
        <w:rPr>
          <w:color w:val="000000" w:themeColor="text1"/>
          <w14:textFill>
            <w14:solidFill>
              <w14:schemeClr w14:val="tx1"/>
            </w14:solidFill>
          </w14:textFill>
        </w:rPr>
      </w:sdtEndPr>
      <w:sdtContent>
        <w:p w14:paraId="3D81C82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32AA998">
      <w:pPr>
        <w:rPr>
          <w:color w:val="000000" w:themeColor="text1"/>
          <w14:textFill>
            <w14:solidFill>
              <w14:schemeClr w14:val="tx1"/>
            </w14:solidFill>
          </w14:textFill>
        </w:rPr>
      </w:pPr>
    </w:p>
    <w:p w14:paraId="36E75C60">
      <w:pPr>
        <w:pStyle w:val="6"/>
        <w:numPr>
          <w:ilvl w:val="0"/>
          <w:numId w:val="70"/>
        </w:numPr>
        <w:rPr>
          <w:rFonts w:hint="eastAsia" w:ascii="宋体" w:hAnsi="宋体" w:cs="宋体"/>
          <w:color w:val="000000" w:themeColor="text1"/>
          <w:kern w:val="0"/>
          <w:szCs w:val="24"/>
          <w14:textFill>
            <w14:solidFill>
              <w14:schemeClr w14:val="tx1"/>
            </w14:solidFill>
          </w14:textFill>
        </w:rPr>
      </w:pPr>
      <w:bookmarkStart w:id="297" w:name="_Hlk167958414"/>
      <w:r>
        <w:rPr>
          <w:rFonts w:hint="eastAsia" w:ascii="宋体" w:hAnsi="宋体" w:cs="宋体"/>
          <w:color w:val="000000" w:themeColor="text1"/>
          <w:kern w:val="0"/>
          <w:szCs w:val="24"/>
          <w14:textFill>
            <w14:solidFill>
              <w14:schemeClr w14:val="tx1"/>
            </w14:solidFill>
          </w14:textFill>
        </w:rPr>
        <w:t>本期计提在建工程减值准备</w:t>
      </w:r>
      <w:r>
        <w:rPr>
          <w:rFonts w:hint="eastAsia" w:ascii="宋体" w:hAnsi="宋体" w:cs="宋体"/>
          <w:color w:val="000000" w:themeColor="text1"/>
          <w:kern w:val="0"/>
          <w:szCs w:val="21"/>
          <w14:textFill>
            <w14:solidFill>
              <w14:schemeClr w14:val="tx1"/>
            </w14:solidFill>
          </w14:textFill>
        </w:rPr>
        <w:t>情况</w:t>
      </w:r>
    </w:p>
    <w:sdt>
      <w:sdtPr>
        <w:rPr>
          <w:color w:val="000000" w:themeColor="text1"/>
          <w14:textFill>
            <w14:solidFill>
              <w14:schemeClr w14:val="tx1"/>
            </w14:solidFill>
          </w14:textFill>
        </w:rPr>
        <w:alias w:val="是否适用：本期计提在建工程减值准备情况[双击切换]"/>
        <w:tag w:val="_GBC_7dd31cf4784347cd87139a8c2548b22d"/>
        <w:id w:val="368194277"/>
        <w:placeholder>
          <w:docPart w:val="GBC22222222222222222222222222222"/>
        </w:placeholder>
      </w:sdtPr>
      <w:sdtEndPr>
        <w:rPr>
          <w:color w:val="000000" w:themeColor="text1"/>
          <w14:textFill>
            <w14:solidFill>
              <w14:schemeClr w14:val="tx1"/>
            </w14:solidFill>
          </w14:textFill>
        </w:rPr>
      </w:sdtEndPr>
      <w:sdtContent>
        <w:p w14:paraId="47D0A5B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DD31A7C">
      <w:pPr>
        <w:rPr>
          <w:rFonts w:asciiTheme="minorHAnsi" w:hAnsiTheme="minorHAnsi" w:cstheme="minorBidi"/>
          <w:color w:val="000000" w:themeColor="text1"/>
          <w:kern w:val="2"/>
          <w:szCs w:val="22"/>
          <w14:textFill>
            <w14:solidFill>
              <w14:schemeClr w14:val="tx1"/>
            </w14:solidFill>
          </w14:textFill>
        </w:rPr>
      </w:pPr>
    </w:p>
    <w:p w14:paraId="2A7363DC">
      <w:pPr>
        <w:pStyle w:val="6"/>
        <w:numPr>
          <w:ilvl w:val="0"/>
          <w:numId w:val="70"/>
        </w:numPr>
        <w:rPr>
          <w:rFonts w:hint="eastAsia" w:ascii="宋体" w:hAnsi="宋体" w:cs="宋体"/>
          <w:color w:val="000000" w:themeColor="text1"/>
          <w:kern w:val="0"/>
          <w:szCs w:val="24"/>
          <w14:textFill>
            <w14:solidFill>
              <w14:schemeClr w14:val="tx1"/>
            </w14:solidFill>
          </w14:textFill>
        </w:rPr>
      </w:pPr>
      <w:bookmarkStart w:id="298" w:name="_Hlk153461314"/>
      <w:r>
        <w:rPr>
          <w:rFonts w:hint="eastAsia" w:ascii="宋体" w:hAnsi="宋体" w:cs="宋体"/>
          <w:color w:val="000000" w:themeColor="text1"/>
          <w:kern w:val="0"/>
          <w:szCs w:val="24"/>
          <w14:textFill>
            <w14:solidFill>
              <w14:schemeClr w14:val="tx1"/>
            </w14:solidFill>
          </w14:textFill>
        </w:rPr>
        <w:t>在建工程的减值测试情况</w:t>
      </w:r>
    </w:p>
    <w:sdt>
      <w:sdtPr>
        <w:rPr>
          <w:color w:val="000000" w:themeColor="text1"/>
          <w14:textFill>
            <w14:solidFill>
              <w14:schemeClr w14:val="tx1"/>
            </w14:solidFill>
          </w14:textFill>
        </w:rPr>
        <w:alias w:val="是否适用：减值测试情况[双击切换]"/>
        <w:tag w:val="_GBC_f6d4bcf1dee14a709974326281981b12"/>
        <w:id w:val="1781377349"/>
        <w:placeholder>
          <w:docPart w:val="GBC22222222222222222222222222222"/>
        </w:placeholder>
      </w:sdtPr>
      <w:sdtEndPr>
        <w:rPr>
          <w:color w:val="000000" w:themeColor="text1"/>
          <w14:textFill>
            <w14:solidFill>
              <w14:schemeClr w14:val="tx1"/>
            </w14:solidFill>
          </w14:textFill>
        </w:rPr>
      </w:sdtEndPr>
      <w:sdtContent>
        <w:p w14:paraId="27CAAFB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4626E68">
      <w:pPr>
        <w:rPr>
          <w:color w:val="000000" w:themeColor="text1"/>
          <w14:textFill>
            <w14:solidFill>
              <w14:schemeClr w14:val="tx1"/>
            </w14:solidFill>
          </w14:textFill>
        </w:rPr>
      </w:pPr>
    </w:p>
    <w:p w14:paraId="7F327128">
      <w:pPr>
        <w:snapToGrid w:val="0"/>
        <w:spacing w:line="240" w:lineRule="atLeast"/>
        <w:rPr>
          <w:color w:val="000000" w:themeColor="text1"/>
          <w14:textFill>
            <w14:solidFill>
              <w14:schemeClr w14:val="tx1"/>
            </w14:solidFill>
          </w14:textFill>
        </w:rPr>
      </w:pPr>
    </w:p>
    <w:bookmarkEnd w:id="297"/>
    <w:bookmarkEnd w:id="298"/>
    <w:p w14:paraId="4D2C0298">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在建工程的说明[双击切换]"/>
        <w:tag w:val="_GBC_c0ffdfbb304348758da855627ba6d858"/>
        <w:id w:val="385457371"/>
        <w:placeholder>
          <w:docPart w:val="GBC22222222222222222222222222222"/>
        </w:placeholder>
      </w:sdtPr>
      <w:sdtEndPr>
        <w:rPr>
          <w:color w:val="000000" w:themeColor="text1"/>
          <w14:textFill>
            <w14:solidFill>
              <w14:schemeClr w14:val="tx1"/>
            </w14:solidFill>
          </w14:textFill>
        </w:rPr>
      </w:sdtEndPr>
      <w:sdtContent>
        <w:p w14:paraId="51CBF8B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910876E">
      <w:pPr>
        <w:rPr>
          <w:color w:val="000000" w:themeColor="text1"/>
          <w14:textFill>
            <w14:solidFill>
              <w14:schemeClr w14:val="tx1"/>
            </w14:solidFill>
          </w14:textFill>
        </w:rPr>
      </w:pPr>
    </w:p>
    <w:p w14:paraId="2A28345F">
      <w:pPr>
        <w:pStyle w:val="5"/>
        <w:rPr>
          <w:rFonts w:hint="eastAsia" w:ascii="宋体" w:hAnsi="宋体"/>
          <w:color w:val="000000" w:themeColor="text1"/>
          <w14:textFill>
            <w14:solidFill>
              <w14:schemeClr w14:val="tx1"/>
            </w14:solidFill>
          </w14:textFill>
        </w:rPr>
      </w:pPr>
      <w:bookmarkStart w:id="299" w:name="_Hlk11683481"/>
      <w:r>
        <w:rPr>
          <w:rFonts w:hint="eastAsia" w:ascii="宋体" w:hAnsi="宋体"/>
          <w:color w:val="000000" w:themeColor="text1"/>
          <w14:textFill>
            <w14:solidFill>
              <w14:schemeClr w14:val="tx1"/>
            </w14:solidFill>
          </w14:textFill>
        </w:rPr>
        <w:t>工程物资</w:t>
      </w:r>
    </w:p>
    <w:sdt>
      <w:sdtPr>
        <w:rPr>
          <w:color w:val="000000" w:themeColor="text1"/>
          <w14:textFill>
            <w14:solidFill>
              <w14:schemeClr w14:val="tx1"/>
            </w14:solidFill>
          </w14:textFill>
        </w:rPr>
        <w:alias w:val="是否适用：工程物资[双击切换]"/>
        <w:tag w:val="_GBC_0d711628566c4b08b883151766986b20"/>
        <w:id w:val="-2063476484"/>
        <w:placeholder>
          <w:docPart w:val="GBC22222222222222222222222222222"/>
        </w:placeholder>
      </w:sdtPr>
      <w:sdtEndPr>
        <w:rPr>
          <w:color w:val="000000" w:themeColor="text1"/>
          <w14:textFill>
            <w14:solidFill>
              <w14:schemeClr w14:val="tx1"/>
            </w14:solidFill>
          </w14:textFill>
        </w:rPr>
      </w:sdtEndPr>
      <w:sdtContent>
        <w:p w14:paraId="636DD6D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F8E7072">
      <w:pPr>
        <w:rPr>
          <w:color w:val="000000" w:themeColor="text1"/>
          <w14:textFill>
            <w14:solidFill>
              <w14:schemeClr w14:val="tx1"/>
            </w14:solidFill>
          </w14:textFill>
        </w:rPr>
      </w:pPr>
    </w:p>
    <w:bookmarkEnd w:id="299"/>
    <w:p w14:paraId="167CB1EA">
      <w:pPr>
        <w:rPr>
          <w:color w:val="000000" w:themeColor="text1"/>
          <w14:textFill>
            <w14:solidFill>
              <w14:schemeClr w14:val="tx1"/>
            </w14:solidFill>
          </w14:textFill>
        </w:rPr>
      </w:pPr>
    </w:p>
    <w:p w14:paraId="48C21215">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生产性生物资产</w:t>
      </w:r>
    </w:p>
    <w:p w14:paraId="583C92AF">
      <w:pPr>
        <w:pStyle w:val="5"/>
        <w:numPr>
          <w:ilvl w:val="0"/>
          <w:numId w:val="71"/>
        </w:numPr>
        <w:tabs>
          <w:tab w:val="left" w:pos="602"/>
          <w:tab w:val="left" w:pos="798"/>
        </w:tabs>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采用成本计量模式的生产性生物资产</w:t>
      </w:r>
    </w:p>
    <w:sdt>
      <w:sdtPr>
        <w:rPr>
          <w:rFonts w:hint="eastAsia"/>
          <w:color w:val="000000" w:themeColor="text1"/>
          <w14:textFill>
            <w14:solidFill>
              <w14:schemeClr w14:val="tx1"/>
            </w14:solidFill>
          </w14:textFill>
        </w:rPr>
        <w:alias w:val="是否适用：财务附注：以成本计量的生产性生物资产[双击切换]"/>
        <w:tag w:val="_GBC_fca5101d9b46492484acd605f0ade969"/>
        <w:id w:val="711927689"/>
        <w:placeholder>
          <w:docPart w:val="GBC22222222222222222222222222222"/>
        </w:placeholder>
      </w:sdtPr>
      <w:sdtEndPr>
        <w:rPr>
          <w:rFonts w:hint="eastAsia"/>
          <w:color w:val="000000" w:themeColor="text1"/>
          <w14:textFill>
            <w14:solidFill>
              <w14:schemeClr w14:val="tx1"/>
            </w14:solidFill>
          </w14:textFill>
        </w:rPr>
      </w:sdtEndPr>
      <w:sdtContent>
        <w:p w14:paraId="28FAB2D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51EFC3C">
      <w:pPr>
        <w:rPr>
          <w:rFonts w:cstheme="minorBidi"/>
          <w:color w:val="000000" w:themeColor="text1"/>
          <w:kern w:val="2"/>
          <w14:textFill>
            <w14:solidFill>
              <w14:schemeClr w14:val="tx1"/>
            </w14:solidFill>
          </w14:textFill>
        </w:rPr>
      </w:pPr>
    </w:p>
    <w:p w14:paraId="34AC08D2">
      <w:pPr>
        <w:pStyle w:val="5"/>
        <w:numPr>
          <w:ilvl w:val="0"/>
          <w:numId w:val="71"/>
        </w:numPr>
        <w:tabs>
          <w:tab w:val="left" w:pos="602"/>
          <w:tab w:val="left" w:pos="798"/>
        </w:tabs>
        <w:rPr>
          <w:rFonts w:hint="eastAsia" w:ascii="宋体" w:hAnsi="宋体" w:cstheme="minorBidi"/>
          <w:color w:val="000000" w:themeColor="text1"/>
          <w:kern w:val="0"/>
          <w:szCs w:val="21"/>
          <w14:textFill>
            <w14:solidFill>
              <w14:schemeClr w14:val="tx1"/>
            </w14:solidFill>
          </w14:textFill>
        </w:rPr>
      </w:pPr>
      <w:bookmarkStart w:id="300" w:name="_Hlk167958925"/>
      <w:bookmarkStart w:id="301" w:name="_Hlk153461442"/>
      <w:r>
        <w:rPr>
          <w:rFonts w:hint="eastAsia" w:ascii="宋体" w:hAnsi="宋体" w:cstheme="minorBidi"/>
          <w:color w:val="000000" w:themeColor="text1"/>
          <w:kern w:val="0"/>
          <w:szCs w:val="21"/>
          <w14:textFill>
            <w14:solidFill>
              <w14:schemeClr w14:val="tx1"/>
            </w14:solidFill>
          </w14:textFill>
        </w:rPr>
        <w:t>采用成本计量模式的生产性生物资产的减值测试情况</w:t>
      </w:r>
    </w:p>
    <w:sdt>
      <w:sdtPr>
        <w:rPr>
          <w:color w:val="000000" w:themeColor="text1"/>
          <w14:textFill>
            <w14:solidFill>
              <w14:schemeClr w14:val="tx1"/>
            </w14:solidFill>
          </w14:textFill>
        </w:rPr>
        <w:alias w:val="是否适用：减值测试情况[双击切换]"/>
        <w:tag w:val="_GBC_9e260b0f45a84f50898aaf872db0ca84"/>
        <w:id w:val="696890630"/>
        <w:placeholder>
          <w:docPart w:val="GBC22222222222222222222222222222"/>
        </w:placeholder>
      </w:sdtPr>
      <w:sdtEndPr>
        <w:rPr>
          <w:color w:val="000000" w:themeColor="text1"/>
          <w14:textFill>
            <w14:solidFill>
              <w14:schemeClr w14:val="tx1"/>
            </w14:solidFill>
          </w14:textFill>
        </w:rPr>
      </w:sdtEndPr>
      <w:sdtContent>
        <w:p w14:paraId="46DB3FE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EC5BDDE">
      <w:pPr>
        <w:rPr>
          <w:color w:val="000000" w:themeColor="text1"/>
          <w14:textFill>
            <w14:solidFill>
              <w14:schemeClr w14:val="tx1"/>
            </w14:solidFill>
          </w14:textFill>
        </w:rPr>
      </w:pPr>
    </w:p>
    <w:p w14:paraId="1311D341">
      <w:pPr>
        <w:snapToGrid w:val="0"/>
        <w:spacing w:line="240" w:lineRule="atLeast"/>
        <w:rPr>
          <w:color w:val="000000" w:themeColor="text1"/>
          <w14:textFill>
            <w14:solidFill>
              <w14:schemeClr w14:val="tx1"/>
            </w14:solidFill>
          </w14:textFill>
        </w:rPr>
      </w:pPr>
    </w:p>
    <w:bookmarkEnd w:id="300"/>
    <w:bookmarkEnd w:id="301"/>
    <w:p w14:paraId="2DE223C7">
      <w:pPr>
        <w:pStyle w:val="5"/>
        <w:numPr>
          <w:ilvl w:val="0"/>
          <w:numId w:val="71"/>
        </w:numPr>
        <w:tabs>
          <w:tab w:val="left" w:pos="602"/>
          <w:tab w:val="left" w:pos="798"/>
        </w:tabs>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采用公允价值计量模式的生产性生物资产</w:t>
      </w:r>
    </w:p>
    <w:sdt>
      <w:sdtPr>
        <w:rPr>
          <w:color w:val="000000" w:themeColor="text1"/>
          <w14:textFill>
            <w14:solidFill>
              <w14:schemeClr w14:val="tx1"/>
            </w14:solidFill>
          </w14:textFill>
        </w:rPr>
        <w:alias w:val="是否适用：财务附注：以公允价值计量的生产性生物资产[双击切换]"/>
        <w:tag w:val="_GBC_3a67921e606f4abca6478a1ffb759394"/>
        <w:id w:val="1446963123"/>
        <w:placeholder>
          <w:docPart w:val="GBC22222222222222222222222222222"/>
        </w:placeholder>
      </w:sdtPr>
      <w:sdtEndPr>
        <w:rPr>
          <w:color w:val="000000" w:themeColor="text1"/>
          <w14:textFill>
            <w14:solidFill>
              <w14:schemeClr w14:val="tx1"/>
            </w14:solidFill>
          </w14:textFill>
        </w:rPr>
      </w:sdtEndPr>
      <w:sdtContent>
        <w:p w14:paraId="0D5CF9E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CAEDF22">
      <w:pPr>
        <w:rPr>
          <w:color w:val="000000" w:themeColor="text1"/>
          <w14:textFill>
            <w14:solidFill>
              <w14:schemeClr w14:val="tx1"/>
            </w14:solidFill>
          </w14:textFill>
        </w:rPr>
      </w:pPr>
    </w:p>
    <w:p w14:paraId="42EC64DE">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生产性生物资产的说明[双击切换]"/>
        <w:tag w:val="_GBC_48247874e2c54937aabce9db1308bea7"/>
        <w:id w:val="1731189947"/>
        <w:placeholder>
          <w:docPart w:val="GBC22222222222222222222222222222"/>
        </w:placeholder>
      </w:sdtPr>
      <w:sdtEndPr>
        <w:rPr>
          <w:color w:val="000000" w:themeColor="text1"/>
          <w14:textFill>
            <w14:solidFill>
              <w14:schemeClr w14:val="tx1"/>
            </w14:solidFill>
          </w14:textFill>
        </w:rPr>
      </w:sdtEndPr>
      <w:sdtContent>
        <w:p w14:paraId="0083B9EE">
          <w:pPr>
            <w:autoSpaceDE w:val="0"/>
            <w:autoSpaceDN w:val="0"/>
            <w:adjustRightInd w:val="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880A06D">
      <w:pPr>
        <w:rPr>
          <w:color w:val="000000" w:themeColor="text1"/>
          <w14:textFill>
            <w14:solidFill>
              <w14:schemeClr w14:val="tx1"/>
            </w14:solidFill>
          </w14:textFill>
        </w:rPr>
      </w:pPr>
    </w:p>
    <w:p w14:paraId="59975294">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油气资产</w:t>
      </w:r>
    </w:p>
    <w:p w14:paraId="1D47CE76">
      <w:pPr>
        <w:pStyle w:val="5"/>
        <w:numPr>
          <w:ilvl w:val="0"/>
          <w:numId w:val="72"/>
        </w:numPr>
        <w:rPr>
          <w:color w:val="000000" w:themeColor="text1"/>
          <w14:textFill>
            <w14:solidFill>
              <w14:schemeClr w14:val="tx1"/>
            </w14:solidFill>
          </w14:textFill>
        </w:rPr>
      </w:pPr>
      <w:r>
        <w:rPr>
          <w:rFonts w:hint="eastAsia"/>
          <w:color w:val="000000" w:themeColor="text1"/>
          <w14:textFill>
            <w14:solidFill>
              <w14:schemeClr w14:val="tx1"/>
            </w14:solidFill>
          </w14:textFill>
        </w:rPr>
        <w:t>油气资产情况</w:t>
      </w:r>
    </w:p>
    <w:sdt>
      <w:sdtPr>
        <w:rPr>
          <w:color w:val="000000" w:themeColor="text1"/>
          <w14:textFill>
            <w14:solidFill>
              <w14:schemeClr w14:val="tx1"/>
            </w14:solidFill>
          </w14:textFill>
        </w:rPr>
        <w:alias w:val="是否适用：油气资产[双击切换]"/>
        <w:tag w:val="_GBC_7dce41817eb749dba0d132424020d250"/>
        <w:id w:val="2120867235"/>
        <w:placeholder>
          <w:docPart w:val="GBC22222222222222222222222222222"/>
        </w:placeholder>
      </w:sdtPr>
      <w:sdtEndPr>
        <w:rPr>
          <w:color w:val="000000" w:themeColor="text1"/>
          <w14:textFill>
            <w14:solidFill>
              <w14:schemeClr w14:val="tx1"/>
            </w14:solidFill>
          </w14:textFill>
        </w:rPr>
      </w:sdtEndPr>
      <w:sdtContent>
        <w:p w14:paraId="31D71E7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1236963">
      <w:pPr>
        <w:rPr>
          <w:color w:val="000000" w:themeColor="text1"/>
          <w14:textFill>
            <w14:solidFill>
              <w14:schemeClr w14:val="tx1"/>
            </w14:solidFill>
          </w14:textFill>
        </w:rPr>
      </w:pPr>
    </w:p>
    <w:p w14:paraId="24B9B818">
      <w:pPr>
        <w:pStyle w:val="5"/>
        <w:numPr>
          <w:ilvl w:val="0"/>
          <w:numId w:val="72"/>
        </w:numPr>
        <w:rPr>
          <w:color w:val="000000" w:themeColor="text1"/>
          <w14:textFill>
            <w14:solidFill>
              <w14:schemeClr w14:val="tx1"/>
            </w14:solidFill>
          </w14:textFill>
        </w:rPr>
      </w:pPr>
      <w:bookmarkStart w:id="302" w:name="_Hlk153461604"/>
      <w:bookmarkStart w:id="303" w:name="_Hlk167959265"/>
      <w:r>
        <w:rPr>
          <w:rFonts w:hint="eastAsia"/>
          <w:color w:val="000000" w:themeColor="text1"/>
          <w14:textFill>
            <w14:solidFill>
              <w14:schemeClr w14:val="tx1"/>
            </w14:solidFill>
          </w14:textFill>
        </w:rPr>
        <w:t>油气资产的减值测试情况</w:t>
      </w:r>
    </w:p>
    <w:sdt>
      <w:sdtPr>
        <w:rPr>
          <w:color w:val="000000" w:themeColor="text1"/>
          <w14:textFill>
            <w14:solidFill>
              <w14:schemeClr w14:val="tx1"/>
            </w14:solidFill>
          </w14:textFill>
        </w:rPr>
        <w:alias w:val="是否适用：减值测试情况[双击切换]"/>
        <w:tag w:val="_GBC_3d3afd59d9f741639537a668ab2d0ccf"/>
        <w:id w:val="1548649496"/>
        <w:placeholder>
          <w:docPart w:val="GBC22222222222222222222222222222"/>
        </w:placeholder>
      </w:sdtPr>
      <w:sdtEndPr>
        <w:rPr>
          <w:color w:val="000000" w:themeColor="text1"/>
          <w14:textFill>
            <w14:solidFill>
              <w14:schemeClr w14:val="tx1"/>
            </w14:solidFill>
          </w14:textFill>
        </w:rPr>
      </w:sdtEndPr>
      <w:sdtContent>
        <w:p w14:paraId="03D82EE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29AC34F">
      <w:pPr>
        <w:rPr>
          <w:color w:val="000000" w:themeColor="text1"/>
          <w14:textFill>
            <w14:solidFill>
              <w14:schemeClr w14:val="tx1"/>
            </w14:solidFill>
          </w14:textFill>
        </w:rPr>
      </w:pPr>
    </w:p>
    <w:p w14:paraId="064353B1">
      <w:pPr>
        <w:snapToGrid w:val="0"/>
        <w:spacing w:line="240" w:lineRule="atLeast"/>
        <w:rPr>
          <w:color w:val="000000" w:themeColor="text1"/>
          <w14:textFill>
            <w14:solidFill>
              <w14:schemeClr w14:val="tx1"/>
            </w14:solidFill>
          </w14:textFill>
        </w:rPr>
      </w:pPr>
    </w:p>
    <w:bookmarkEnd w:id="302"/>
    <w:bookmarkEnd w:id="303"/>
    <w:p w14:paraId="5FEE644D">
      <w:pPr>
        <w:autoSpaceDE w:val="0"/>
        <w:autoSpaceDN w:val="0"/>
        <w:adjustRightInd w:val="0"/>
        <w:rPr>
          <w:color w:val="000000" w:themeColor="text1"/>
          <w14:textFill>
            <w14:solidFill>
              <w14:schemeClr w14:val="tx1"/>
            </w14:solidFill>
          </w14:textFill>
        </w:rPr>
      </w:pPr>
      <w:bookmarkStart w:id="304" w:name="_Hlk167959495"/>
      <w:r>
        <w:rPr>
          <w:rFonts w:hint="eastAsia"/>
          <w:color w:val="000000" w:themeColor="text1"/>
          <w14:textFill>
            <w14:solidFill>
              <w14:schemeClr w14:val="tx1"/>
            </w14:solidFill>
          </w14:textFill>
        </w:rPr>
        <w:t>其他说明：</w:t>
      </w:r>
    </w:p>
    <w:p w14:paraId="578AB4E1">
      <w:pPr>
        <w:autoSpaceDE w:val="0"/>
        <w:autoSpaceDN w:val="0"/>
        <w:adjustRightInd w:val="0"/>
        <w:rPr>
          <w:color w:val="000000" w:themeColor="text1"/>
          <w14:textFill>
            <w14:solidFill>
              <w14:schemeClr w14:val="tx1"/>
            </w14:solidFill>
          </w14:textFill>
        </w:rPr>
      </w:pPr>
      <w:sdt>
        <w:sdtPr>
          <w:rPr>
            <w:color w:val="000000" w:themeColor="text1"/>
            <w14:textFill>
              <w14:solidFill>
                <w14:schemeClr w14:val="tx1"/>
              </w14:solidFill>
            </w14:textFill>
          </w:rPr>
          <w:alias w:val="油气资产的说明"/>
          <w:tag w:val="_GBC_f691a34a4bb64e549c6319049096f28b"/>
          <w:id w:val="-204873472"/>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无</w:t>
          </w:r>
        </w:sdtContent>
      </w:sdt>
    </w:p>
    <w:p w14:paraId="7F4A0143">
      <w:pPr>
        <w:snapToGrid w:val="0"/>
        <w:spacing w:line="240" w:lineRule="atLeast"/>
        <w:rPr>
          <w:color w:val="000000" w:themeColor="text1"/>
          <w14:textFill>
            <w14:solidFill>
              <w14:schemeClr w14:val="tx1"/>
            </w14:solidFill>
          </w14:textFill>
        </w:rPr>
      </w:pPr>
    </w:p>
    <w:bookmarkEnd w:id="304"/>
    <w:sdt>
      <w:sdtPr>
        <w:rPr>
          <w:rFonts w:hint="eastAsia" w:ascii="宋体" w:hAnsi="宋体" w:cs="宋体"/>
          <w:b w:val="0"/>
          <w:bCs/>
          <w:color w:val="000000" w:themeColor="text1"/>
          <w:kern w:val="0"/>
          <w:szCs w:val="21"/>
          <w14:textFill>
            <w14:solidFill>
              <w14:schemeClr w14:val="tx1"/>
            </w14:solidFill>
          </w14:textFill>
        </w:rPr>
        <w:alias w:val="模块:使用权资产"/>
        <w:tag w:val="_SEC_42126bf96c7241e38ff33aae0d98dae2"/>
        <w:id w:val="-762991938"/>
        <w:placeholder>
          <w:docPart w:val="GBC22222222222222222222222222222"/>
        </w:placeholder>
      </w:sdtPr>
      <w:sdtEndPr>
        <w:rPr>
          <w:rFonts w:hint="eastAsia" w:ascii="Times New Roman" w:hAnsi="Times New Roman" w:cs="宋体"/>
          <w:b w:val="0"/>
          <w:bCs/>
          <w:color w:val="000000" w:themeColor="text1"/>
          <w:kern w:val="0"/>
          <w:szCs w:val="21"/>
          <w14:textFill>
            <w14:solidFill>
              <w14:schemeClr w14:val="tx1"/>
            </w14:solidFill>
          </w14:textFill>
        </w:rPr>
      </w:sdtEndPr>
      <w:sdtContent>
        <w:sdt>
          <w:sdtPr>
            <w:tag w:val="_PLD_dbf30b0808914e11a730d24190f6e581"/>
            <w:id w:val="841753787"/>
          </w:sdtPr>
          <w:sdtContent>
            <w:p w14:paraId="551F6C43">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使用权资产</w:t>
              </w:r>
            </w:p>
          </w:sdtContent>
        </w:sdt>
        <w:p w14:paraId="3189292C">
          <w:pPr>
            <w:pStyle w:val="5"/>
            <w:numPr>
              <w:ilvl w:val="0"/>
              <w:numId w:val="73"/>
            </w:numPr>
            <w:rPr>
              <w:color w:val="000000" w:themeColor="text1"/>
              <w14:textFill>
                <w14:solidFill>
                  <w14:schemeClr w14:val="tx1"/>
                </w14:solidFill>
              </w14:textFill>
            </w:rPr>
          </w:pPr>
          <w:r>
            <w:rPr>
              <w:rFonts w:hint="eastAsia"/>
              <w:color w:val="000000" w:themeColor="text1"/>
              <w14:textFill>
                <w14:solidFill>
                  <w14:schemeClr w14:val="tx1"/>
                </w14:solidFill>
              </w14:textFill>
            </w:rPr>
            <w:t>使用权资产情况</w:t>
          </w:r>
        </w:p>
        <w:sdt>
          <w:sdtPr>
            <w:rPr>
              <w:color w:val="000000" w:themeColor="text1"/>
              <w14:textFill>
                <w14:solidFill>
                  <w14:schemeClr w14:val="tx1"/>
                </w14:solidFill>
              </w14:textFill>
            </w:rPr>
            <w:alias w:val="是否适用：使用权资产[双击切换]"/>
            <w:tag w:val="_GBC_3ac132175b304712af4889ae3914ef7d"/>
            <w:id w:val="1534083103"/>
            <w:placeholder>
              <w:docPart w:val="GBC22222222222222222222222222222"/>
            </w:placeholder>
          </w:sdtPr>
          <w:sdtEndPr>
            <w:rPr>
              <w:color w:val="000000" w:themeColor="text1"/>
              <w14:textFill>
                <w14:solidFill>
                  <w14:schemeClr w14:val="tx1"/>
                </w14:solidFill>
              </w14:textFill>
            </w:rPr>
          </w:sdtEndPr>
          <w:sdtContent>
            <w:p w14:paraId="75FD46DC">
              <w:pPr>
                <w:rPr>
                  <w:color w:val="000000" w:themeColor="text1"/>
                  <w14:textFill>
                    <w14:solidFill>
                      <w14:schemeClr w14:val="tx1"/>
                    </w14:solidFill>
                  </w14:textFill>
                </w:rPr>
              </w:pPr>
              <w:bookmarkStart w:id="305" w:name="_Hlk11679747"/>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09469E0">
          <w:pPr>
            <w:autoSpaceDE w:val="0"/>
            <w:autoSpaceDN w:val="0"/>
            <w:adjustRightInd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使用权资产"/>
              <w:tag w:val="_GBC_126de13c7c92490d95bdebd7efe2d59b"/>
              <w:id w:val="112250251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使用权资产"/>
              <w:tag w:val="_GBC_bb9e8b7096ab49fc95311a6c81431e95"/>
              <w:id w:val="-13779970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0"/>
            <w:gridCol w:w="2252"/>
            <w:gridCol w:w="2126"/>
            <w:gridCol w:w="2165"/>
          </w:tblGrid>
          <w:tr w14:paraId="4360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sdt>
              <w:sdtPr>
                <w:tag w:val="_PLD_e7cc7a86c52f4dc596615cce534e6d6a"/>
                <w:id w:val="-2018384205"/>
              </w:sdtPr>
              <w:sdtContent>
                <w:tc>
                  <w:tcPr>
                    <w:tcW w:w="1292" w:type="pct"/>
                    <w:vAlign w:val="center"/>
                  </w:tcPr>
                  <w:p w14:paraId="7A7DD825">
                    <w:pPr>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tc>
              <w:tcPr>
                <w:tcW w:w="1276" w:type="pct"/>
                <w:vAlign w:val="center"/>
              </w:tcPr>
              <w:p w14:paraId="48D9EC0B">
                <w:pPr>
                  <w:spacing w:line="240" w:lineRule="atLeast"/>
                  <w:jc w:val="center"/>
                  <w:rPr>
                    <w:color w:val="000000" w:themeColor="text1"/>
                    <w14:textFill>
                      <w14:solidFill>
                        <w14:schemeClr w14:val="tx1"/>
                      </w14:solidFill>
                    </w14:textFill>
                  </w:rPr>
                </w:pPr>
                <w:sdt>
                  <w:sdtPr>
                    <w:rPr>
                      <w:color w:val="000000" w:themeColor="text1"/>
                      <w14:textFill>
                        <w14:solidFill>
                          <w14:schemeClr w14:val="tx1"/>
                        </w14:solidFill>
                      </w14:textFill>
                    </w:rPr>
                    <w:alias w:val="使用权资产明细-项目"/>
                    <w:tag w:val="_GBC_ea9ffc7b81304e04ad88fe7fcccf7ec1"/>
                    <w:id w:val="-755904045"/>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房屋建筑物</w:t>
                    </w:r>
                  </w:sdtContent>
                </w:sdt>
              </w:p>
            </w:tc>
            <w:sdt>
              <w:sdtPr>
                <w:alias w:val="使用权资产明细-项目"/>
                <w:tag w:val="_GBC_ea9ffc7b81304e04ad88fe7fcccf7ec1"/>
                <w:id w:val="-1113899665"/>
              </w:sdtPr>
              <w:sdtContent>
                <w:tc>
                  <w:tcPr>
                    <w:tcW w:w="1205" w:type="pct"/>
                    <w:vAlign w:val="center"/>
                  </w:tcPr>
                  <w:p w14:paraId="6B412B59">
                    <w:pPr>
                      <w:spacing w:line="240" w:lineRule="atLeast"/>
                      <w:jc w:val="center"/>
                    </w:pPr>
                    <w:r>
                      <w:rPr>
                        <w:rFonts w:hint="eastAsia"/>
                      </w:rPr>
                      <w:t>水库</w:t>
                    </w:r>
                  </w:p>
                </w:tc>
              </w:sdtContent>
            </w:sdt>
            <w:sdt>
              <w:sdtPr>
                <w:tag w:val="_PLD_8404013d36434d0f94f9d2e0e06379db"/>
                <w:id w:val="435492102"/>
              </w:sdtPr>
              <w:sdtContent>
                <w:tc>
                  <w:tcPr>
                    <w:tcW w:w="1227" w:type="pct"/>
                    <w:vAlign w:val="center"/>
                  </w:tcPr>
                  <w:p w14:paraId="3E28EEDE">
                    <w:pPr>
                      <w:spacing w:line="240" w:lineRule="atLeast"/>
                      <w:jc w:val="center"/>
                      <w:rPr>
                        <w:color w:val="000000" w:themeColor="text1"/>
                        <w14:textFill>
                          <w14:solidFill>
                            <w14:schemeClr w14:val="tx1"/>
                          </w14:solidFill>
                        </w14:textFill>
                      </w:rPr>
                    </w:pPr>
                    <w:r>
                      <w:rPr>
                        <w:color w:val="000000" w:themeColor="text1"/>
                        <w14:textFill>
                          <w14:solidFill>
                            <w14:schemeClr w14:val="tx1"/>
                          </w14:solidFill>
                        </w14:textFill>
                      </w:rPr>
                      <w:t>合计</w:t>
                    </w:r>
                  </w:p>
                </w:tc>
              </w:sdtContent>
            </w:sdt>
          </w:tr>
          <w:tr w14:paraId="0FBD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sdt>
              <w:sdtPr>
                <w:tag w:val="_PLD_8a1172a4974b4db489d9ace1c9b06ff9"/>
                <w:id w:val="-556935518"/>
              </w:sdtPr>
              <w:sdtContent>
                <w:tc>
                  <w:tcPr>
                    <w:tcW w:w="5000" w:type="pct"/>
                    <w:gridSpan w:val="4"/>
                    <w:vAlign w:val="center"/>
                  </w:tcPr>
                  <w:p w14:paraId="690569E9">
                    <w:pPr>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一、</w:t>
                    </w:r>
                    <w:r>
                      <w:rPr>
                        <w:rFonts w:hint="eastAsia"/>
                        <w:color w:val="000000" w:themeColor="text1"/>
                        <w14:textFill>
                          <w14:solidFill>
                            <w14:schemeClr w14:val="tx1"/>
                          </w14:solidFill>
                        </w14:textFill>
                      </w:rPr>
                      <w:t>账面</w:t>
                    </w:r>
                    <w:r>
                      <w:rPr>
                        <w:color w:val="000000" w:themeColor="text1"/>
                        <w14:textFill>
                          <w14:solidFill>
                            <w14:schemeClr w14:val="tx1"/>
                          </w14:solidFill>
                        </w14:textFill>
                      </w:rPr>
                      <w:t>原</w:t>
                    </w:r>
                    <w:r>
                      <w:rPr>
                        <w:rFonts w:hint="eastAsia"/>
                        <w:color w:val="000000" w:themeColor="text1"/>
                        <w14:textFill>
                          <w14:solidFill>
                            <w14:schemeClr w14:val="tx1"/>
                          </w14:solidFill>
                        </w14:textFill>
                      </w:rPr>
                      <w:t>值</w:t>
                    </w:r>
                  </w:p>
                </w:tc>
              </w:sdtContent>
            </w:sdt>
          </w:tr>
          <w:tr w14:paraId="266D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60DCA31C">
                <w:pPr>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期</w:t>
                </w:r>
                <w:r>
                  <w:rPr>
                    <w:color w:val="000000" w:themeColor="text1"/>
                    <w14:textFill>
                      <w14:solidFill>
                        <w14:schemeClr w14:val="tx1"/>
                      </w14:solidFill>
                    </w14:textFill>
                  </w:rPr>
                  <w:t>初余额</w:t>
                </w:r>
              </w:p>
            </w:tc>
            <w:tc>
              <w:tcPr>
                <w:tcW w:w="1276" w:type="pct"/>
              </w:tcPr>
              <w:p w14:paraId="0B6A4CE8">
                <w:pPr>
                  <w:spacing w:line="240" w:lineRule="atLeast"/>
                  <w:ind w:firstLine="420" w:firstLineChars="200"/>
                  <w:jc w:val="right"/>
                  <w:rPr>
                    <w:color w:val="000000" w:themeColor="text1"/>
                    <w14:textFill>
                      <w14:solidFill>
                        <w14:schemeClr w14:val="tx1"/>
                      </w14:solidFill>
                    </w14:textFill>
                  </w:rPr>
                </w:pPr>
                <w:r>
                  <w:rPr>
                    <w:color w:val="000000" w:themeColor="text1"/>
                    <w14:textFill>
                      <w14:solidFill>
                        <w14:schemeClr w14:val="tx1"/>
                      </w14:solidFill>
                    </w14:textFill>
                  </w:rPr>
                  <w:t>3,813,051.43</w:t>
                </w:r>
              </w:p>
            </w:tc>
            <w:tc>
              <w:tcPr>
                <w:tcW w:w="1205" w:type="pct"/>
              </w:tcPr>
              <w:p w14:paraId="08150AB2">
                <w:pPr>
                  <w:spacing w:line="240" w:lineRule="atLeast"/>
                  <w:ind w:firstLine="420" w:firstLineChars="200"/>
                  <w:jc w:val="right"/>
                  <w:rPr>
                    <w:color w:val="000000" w:themeColor="text1"/>
                    <w14:textFill>
                      <w14:solidFill>
                        <w14:schemeClr w14:val="tx1"/>
                      </w14:solidFill>
                    </w14:textFill>
                  </w:rPr>
                </w:pPr>
                <w:r>
                  <w:rPr>
                    <w:color w:val="000000" w:themeColor="text1"/>
                    <w14:textFill>
                      <w14:solidFill>
                        <w14:schemeClr w14:val="tx1"/>
                      </w14:solidFill>
                    </w14:textFill>
                  </w:rPr>
                  <w:t>48,279,000.00</w:t>
                </w:r>
              </w:p>
            </w:tc>
            <w:tc>
              <w:tcPr>
                <w:tcW w:w="1227" w:type="pct"/>
              </w:tcPr>
              <w:p w14:paraId="2A47FACC">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52,092,051.43</w:t>
                </w:r>
              </w:p>
            </w:tc>
          </w:tr>
          <w:tr w14:paraId="7D5A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47DA45DB">
                <w:pPr>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2.本期增加</w:t>
                </w:r>
                <w:r>
                  <w:rPr>
                    <w:rFonts w:hint="eastAsia"/>
                    <w:color w:val="000000" w:themeColor="text1"/>
                    <w14:textFill>
                      <w14:solidFill>
                        <w14:schemeClr w14:val="tx1"/>
                      </w14:solidFill>
                    </w14:textFill>
                  </w:rPr>
                  <w:t>金额</w:t>
                </w:r>
              </w:p>
            </w:tc>
            <w:tc>
              <w:tcPr>
                <w:tcW w:w="1276" w:type="pct"/>
              </w:tcPr>
              <w:p w14:paraId="1BB6B26F">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205" w:type="pct"/>
              </w:tcPr>
              <w:p w14:paraId="4AE817ED">
                <w:pPr>
                  <w:spacing w:line="240" w:lineRule="atLeast"/>
                  <w:jc w:val="right"/>
                  <w:rPr>
                    <w:color w:val="000000" w:themeColor="text1"/>
                    <w14:textFill>
                      <w14:solidFill>
                        <w14:schemeClr w14:val="tx1"/>
                      </w14:solidFill>
                    </w14:textFill>
                  </w:rPr>
                </w:pPr>
              </w:p>
            </w:tc>
            <w:tc>
              <w:tcPr>
                <w:tcW w:w="1227" w:type="pct"/>
              </w:tcPr>
              <w:p w14:paraId="44EAC380">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42B8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tcPr>
              <w:p w14:paraId="248143E6">
                <w:pPr>
                  <w:spacing w:line="240" w:lineRule="atLeast"/>
                  <w:ind w:firstLine="210" w:firstLineChars="100"/>
                </w:pPr>
                <w:r>
                  <w:rPr>
                    <w:rFonts w:hint="eastAsia"/>
                  </w:rPr>
                  <w:t>　（1）本期租入</w:t>
                </w:r>
              </w:p>
            </w:tc>
            <w:tc>
              <w:tcPr>
                <w:tcW w:w="1276" w:type="pct"/>
              </w:tcPr>
              <w:p w14:paraId="0E168508">
                <w:pPr>
                  <w:spacing w:line="240" w:lineRule="atLeast"/>
                  <w:jc w:val="right"/>
                </w:pPr>
                <w:r>
                  <w:rPr>
                    <w:rFonts w:hint="eastAsia"/>
                  </w:rPr>
                  <w:t>　</w:t>
                </w:r>
              </w:p>
            </w:tc>
            <w:tc>
              <w:tcPr>
                <w:tcW w:w="1205" w:type="pct"/>
              </w:tcPr>
              <w:p w14:paraId="10FA3969">
                <w:pPr>
                  <w:spacing w:line="240" w:lineRule="atLeast"/>
                  <w:jc w:val="right"/>
                </w:pPr>
              </w:p>
            </w:tc>
            <w:tc>
              <w:tcPr>
                <w:tcW w:w="1227" w:type="pct"/>
              </w:tcPr>
              <w:p w14:paraId="6A7918C8">
                <w:pPr>
                  <w:spacing w:line="240" w:lineRule="atLeast"/>
                  <w:jc w:val="right"/>
                </w:pPr>
                <w:r>
                  <w:rPr>
                    <w:rFonts w:hint="eastAsia"/>
                  </w:rPr>
                  <w:t>　</w:t>
                </w:r>
              </w:p>
            </w:tc>
          </w:tr>
          <w:tr w14:paraId="3166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6B0085AC">
                <w:pPr>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3.本期减少</w:t>
                </w:r>
                <w:r>
                  <w:rPr>
                    <w:rFonts w:hint="eastAsia"/>
                    <w:color w:val="000000" w:themeColor="text1"/>
                    <w14:textFill>
                      <w14:solidFill>
                        <w14:schemeClr w14:val="tx1"/>
                      </w14:solidFill>
                    </w14:textFill>
                  </w:rPr>
                  <w:t>金额</w:t>
                </w:r>
              </w:p>
            </w:tc>
            <w:tc>
              <w:tcPr>
                <w:tcW w:w="1276" w:type="pct"/>
              </w:tcPr>
              <w:p w14:paraId="0E15003D">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205" w:type="pct"/>
              </w:tcPr>
              <w:p w14:paraId="56B6D53D">
                <w:pPr>
                  <w:spacing w:line="240" w:lineRule="atLeast"/>
                  <w:jc w:val="right"/>
                  <w:rPr>
                    <w:color w:val="000000" w:themeColor="text1"/>
                    <w14:textFill>
                      <w14:solidFill>
                        <w14:schemeClr w14:val="tx1"/>
                      </w14:solidFill>
                    </w14:textFill>
                  </w:rPr>
                </w:pPr>
              </w:p>
            </w:tc>
            <w:tc>
              <w:tcPr>
                <w:tcW w:w="1227" w:type="pct"/>
              </w:tcPr>
              <w:p w14:paraId="3F1F5E07">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6E05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tcPr>
              <w:p w14:paraId="5605C34B">
                <w:pPr>
                  <w:spacing w:line="240" w:lineRule="atLeast"/>
                  <w:ind w:firstLine="210" w:firstLineChars="100"/>
                </w:pPr>
                <w:r>
                  <w:rPr>
                    <w:rFonts w:hint="eastAsia"/>
                  </w:rPr>
                  <w:t>　（1）处置或报废</w:t>
                </w:r>
              </w:p>
            </w:tc>
            <w:tc>
              <w:tcPr>
                <w:tcW w:w="1276" w:type="pct"/>
              </w:tcPr>
              <w:p w14:paraId="362203F7">
                <w:pPr>
                  <w:spacing w:line="240" w:lineRule="atLeast"/>
                  <w:jc w:val="right"/>
                </w:pPr>
                <w:r>
                  <w:rPr>
                    <w:rFonts w:hint="eastAsia"/>
                  </w:rPr>
                  <w:t>　</w:t>
                </w:r>
              </w:p>
            </w:tc>
            <w:tc>
              <w:tcPr>
                <w:tcW w:w="1205" w:type="pct"/>
              </w:tcPr>
              <w:p w14:paraId="51FEEDE6">
                <w:pPr>
                  <w:spacing w:line="240" w:lineRule="atLeast"/>
                  <w:jc w:val="right"/>
                </w:pPr>
              </w:p>
            </w:tc>
            <w:tc>
              <w:tcPr>
                <w:tcW w:w="1227" w:type="pct"/>
              </w:tcPr>
              <w:p w14:paraId="3BF98239">
                <w:pPr>
                  <w:spacing w:line="240" w:lineRule="atLeast"/>
                  <w:jc w:val="right"/>
                </w:pPr>
                <w:r>
                  <w:rPr>
                    <w:rFonts w:hint="eastAsia"/>
                  </w:rPr>
                  <w:t>　</w:t>
                </w:r>
              </w:p>
            </w:tc>
          </w:tr>
          <w:tr w14:paraId="4297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60D4B79B">
                <w:pPr>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4.期末余额</w:t>
                </w:r>
              </w:p>
            </w:tc>
            <w:tc>
              <w:tcPr>
                <w:tcW w:w="1276" w:type="pct"/>
              </w:tcPr>
              <w:p w14:paraId="5B949C8F">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3,813,051.43</w:t>
                </w:r>
              </w:p>
            </w:tc>
            <w:tc>
              <w:tcPr>
                <w:tcW w:w="1205" w:type="pct"/>
              </w:tcPr>
              <w:p w14:paraId="6F46FF53">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48,279,000.00</w:t>
                </w:r>
              </w:p>
            </w:tc>
            <w:tc>
              <w:tcPr>
                <w:tcW w:w="1227" w:type="pct"/>
              </w:tcPr>
              <w:p w14:paraId="11BE0A24">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52,092,051.43</w:t>
                </w:r>
              </w:p>
            </w:tc>
          </w:tr>
          <w:tr w14:paraId="5059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sdt>
              <w:sdtPr>
                <w:tag w:val="_PLD_c5fd254e7ed54ab8b2346f3d57a1cc54"/>
                <w:id w:val="-1566795612"/>
              </w:sdtPr>
              <w:sdtContent>
                <w:tc>
                  <w:tcPr>
                    <w:tcW w:w="5000" w:type="pct"/>
                    <w:gridSpan w:val="4"/>
                    <w:vAlign w:val="center"/>
                  </w:tcPr>
                  <w:p w14:paraId="546C0DC5">
                    <w:pPr>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二、累计折旧</w:t>
                    </w:r>
                  </w:p>
                </w:tc>
              </w:sdtContent>
            </w:sdt>
          </w:tr>
          <w:tr w14:paraId="01EA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07E43E9C">
                <w:pPr>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1.期</w:t>
                </w:r>
                <w:r>
                  <w:rPr>
                    <w:color w:val="000000" w:themeColor="text1"/>
                    <w14:textFill>
                      <w14:solidFill>
                        <w14:schemeClr w14:val="tx1"/>
                      </w14:solidFill>
                    </w14:textFill>
                  </w:rPr>
                  <w:t>初余额</w:t>
                </w:r>
              </w:p>
            </w:tc>
            <w:tc>
              <w:tcPr>
                <w:tcW w:w="1276" w:type="pct"/>
              </w:tcPr>
              <w:p w14:paraId="5A428EC2">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566,056.11</w:t>
                </w:r>
              </w:p>
            </w:tc>
            <w:tc>
              <w:tcPr>
                <w:tcW w:w="1205" w:type="pct"/>
              </w:tcPr>
              <w:p w14:paraId="466B8922">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2,413,950.00</w:t>
                </w:r>
              </w:p>
            </w:tc>
            <w:tc>
              <w:tcPr>
                <w:tcW w:w="1227" w:type="pct"/>
              </w:tcPr>
              <w:p w14:paraId="2678C355">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2,980,006.11</w:t>
                </w:r>
              </w:p>
            </w:tc>
          </w:tr>
          <w:tr w14:paraId="5C7C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14F991A3">
                <w:pPr>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2.本期增加</w:t>
                </w:r>
                <w:r>
                  <w:rPr>
                    <w:rFonts w:hint="eastAsia"/>
                    <w:color w:val="000000" w:themeColor="text1"/>
                    <w14:textFill>
                      <w14:solidFill>
                        <w14:schemeClr w14:val="tx1"/>
                      </w14:solidFill>
                    </w14:textFill>
                  </w:rPr>
                  <w:t>金额</w:t>
                </w:r>
              </w:p>
            </w:tc>
            <w:tc>
              <w:tcPr>
                <w:tcW w:w="1276" w:type="pct"/>
              </w:tcPr>
              <w:p w14:paraId="4554D868">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464,718.02</w:t>
                </w:r>
              </w:p>
            </w:tc>
            <w:tc>
              <w:tcPr>
                <w:tcW w:w="1205" w:type="pct"/>
              </w:tcPr>
              <w:p w14:paraId="62FEF57B">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1,206,975.00</w:t>
                </w:r>
              </w:p>
            </w:tc>
            <w:tc>
              <w:tcPr>
                <w:tcW w:w="1227" w:type="pct"/>
              </w:tcPr>
              <w:p w14:paraId="6A1C5882">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1,671,693.02</w:t>
                </w:r>
              </w:p>
            </w:tc>
          </w:tr>
          <w:tr w14:paraId="272A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284EEF38">
                <w:pPr>
                  <w:spacing w:line="240" w:lineRule="atLeast"/>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(1)计提</w:t>
                </w:r>
              </w:p>
            </w:tc>
            <w:tc>
              <w:tcPr>
                <w:tcW w:w="1276" w:type="pct"/>
              </w:tcPr>
              <w:p w14:paraId="773C03C4">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464,718.02</w:t>
                </w:r>
              </w:p>
            </w:tc>
            <w:tc>
              <w:tcPr>
                <w:tcW w:w="1205" w:type="pct"/>
              </w:tcPr>
              <w:p w14:paraId="546980E5">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1,206,975.00</w:t>
                </w:r>
              </w:p>
            </w:tc>
            <w:tc>
              <w:tcPr>
                <w:tcW w:w="1227" w:type="pct"/>
              </w:tcPr>
              <w:p w14:paraId="6E82B36B">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1,671,693.02</w:t>
                </w:r>
              </w:p>
            </w:tc>
          </w:tr>
          <w:tr w14:paraId="5629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05A56993">
                <w:pPr>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本期减少</w:t>
                </w:r>
                <w:r>
                  <w:rPr>
                    <w:rFonts w:hint="eastAsia"/>
                    <w:color w:val="000000" w:themeColor="text1"/>
                    <w14:textFill>
                      <w14:solidFill>
                        <w14:schemeClr w14:val="tx1"/>
                      </w14:solidFill>
                    </w14:textFill>
                  </w:rPr>
                  <w:t>金额</w:t>
                </w:r>
              </w:p>
            </w:tc>
            <w:tc>
              <w:tcPr>
                <w:tcW w:w="1276" w:type="pct"/>
              </w:tcPr>
              <w:p w14:paraId="35CFD131">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205" w:type="pct"/>
              </w:tcPr>
              <w:p w14:paraId="009925C3">
                <w:pPr>
                  <w:spacing w:line="240" w:lineRule="atLeast"/>
                  <w:jc w:val="right"/>
                  <w:rPr>
                    <w:color w:val="000000" w:themeColor="text1"/>
                    <w14:textFill>
                      <w14:solidFill>
                        <w14:schemeClr w14:val="tx1"/>
                      </w14:solidFill>
                    </w14:textFill>
                  </w:rPr>
                </w:pPr>
              </w:p>
            </w:tc>
            <w:tc>
              <w:tcPr>
                <w:tcW w:w="1227" w:type="pct"/>
              </w:tcPr>
              <w:p w14:paraId="0E4A5EF8">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52DC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2398C392">
                <w:pPr>
                  <w:spacing w:line="240" w:lineRule="atLeast"/>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处置</w:t>
                </w:r>
              </w:p>
            </w:tc>
            <w:tc>
              <w:tcPr>
                <w:tcW w:w="1276" w:type="pct"/>
              </w:tcPr>
              <w:p w14:paraId="369376D4">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205" w:type="pct"/>
              </w:tcPr>
              <w:p w14:paraId="52428519">
                <w:pPr>
                  <w:spacing w:line="240" w:lineRule="atLeast"/>
                  <w:jc w:val="right"/>
                  <w:rPr>
                    <w:color w:val="000000" w:themeColor="text1"/>
                    <w14:textFill>
                      <w14:solidFill>
                        <w14:schemeClr w14:val="tx1"/>
                      </w14:solidFill>
                    </w14:textFill>
                  </w:rPr>
                </w:pPr>
              </w:p>
            </w:tc>
            <w:tc>
              <w:tcPr>
                <w:tcW w:w="1227" w:type="pct"/>
              </w:tcPr>
              <w:p w14:paraId="5CF8E101">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46AE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571C9B67">
                <w:pPr>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期末余额</w:t>
                </w:r>
              </w:p>
            </w:tc>
            <w:tc>
              <w:tcPr>
                <w:tcW w:w="1276" w:type="pct"/>
              </w:tcPr>
              <w:p w14:paraId="7F82A8BD">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1,030,774.13</w:t>
                </w:r>
              </w:p>
            </w:tc>
            <w:tc>
              <w:tcPr>
                <w:tcW w:w="1205" w:type="pct"/>
              </w:tcPr>
              <w:p w14:paraId="52905132">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3,620,925.00</w:t>
                </w:r>
              </w:p>
            </w:tc>
            <w:tc>
              <w:tcPr>
                <w:tcW w:w="1227" w:type="pct"/>
              </w:tcPr>
              <w:p w14:paraId="0587D2CB">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4,651,699.13</w:t>
                </w:r>
              </w:p>
            </w:tc>
          </w:tr>
          <w:tr w14:paraId="4E69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sdt>
              <w:sdtPr>
                <w:tag w:val="_PLD_977579b288954e92aacbdc72b4e58579"/>
                <w:id w:val="353926862"/>
              </w:sdtPr>
              <w:sdtContent>
                <w:tc>
                  <w:tcPr>
                    <w:tcW w:w="5000" w:type="pct"/>
                    <w:gridSpan w:val="4"/>
                    <w:vAlign w:val="center"/>
                  </w:tcPr>
                  <w:p w14:paraId="2D3B138B">
                    <w:pPr>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三、减值准备</w:t>
                    </w:r>
                  </w:p>
                </w:tc>
              </w:sdtContent>
            </w:sdt>
          </w:tr>
          <w:tr w14:paraId="15C4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40AA5769">
                <w:pPr>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1.期</w:t>
                </w:r>
                <w:r>
                  <w:rPr>
                    <w:color w:val="000000" w:themeColor="text1"/>
                    <w14:textFill>
                      <w14:solidFill>
                        <w14:schemeClr w14:val="tx1"/>
                      </w14:solidFill>
                    </w14:textFill>
                  </w:rPr>
                  <w:t>初余额</w:t>
                </w:r>
              </w:p>
            </w:tc>
            <w:tc>
              <w:tcPr>
                <w:tcW w:w="1276" w:type="pct"/>
              </w:tcPr>
              <w:p w14:paraId="61E829B7">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205" w:type="pct"/>
              </w:tcPr>
              <w:p w14:paraId="229531C4">
                <w:pPr>
                  <w:spacing w:line="240" w:lineRule="atLeast"/>
                  <w:jc w:val="right"/>
                  <w:rPr>
                    <w:color w:val="000000" w:themeColor="text1"/>
                    <w14:textFill>
                      <w14:solidFill>
                        <w14:schemeClr w14:val="tx1"/>
                      </w14:solidFill>
                    </w14:textFill>
                  </w:rPr>
                </w:pPr>
              </w:p>
            </w:tc>
            <w:tc>
              <w:tcPr>
                <w:tcW w:w="1227" w:type="pct"/>
              </w:tcPr>
              <w:p w14:paraId="50A2EF57">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3ACF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352815A4">
                <w:pPr>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2.本期增加</w:t>
                </w:r>
                <w:r>
                  <w:rPr>
                    <w:rFonts w:hint="eastAsia"/>
                    <w:color w:val="000000" w:themeColor="text1"/>
                    <w14:textFill>
                      <w14:solidFill>
                        <w14:schemeClr w14:val="tx1"/>
                      </w14:solidFill>
                    </w14:textFill>
                  </w:rPr>
                  <w:t>金额</w:t>
                </w:r>
              </w:p>
            </w:tc>
            <w:tc>
              <w:tcPr>
                <w:tcW w:w="1276" w:type="pct"/>
              </w:tcPr>
              <w:p w14:paraId="5DD30460">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205" w:type="pct"/>
              </w:tcPr>
              <w:p w14:paraId="035BC1E0">
                <w:pPr>
                  <w:spacing w:line="240" w:lineRule="atLeast"/>
                  <w:jc w:val="right"/>
                  <w:rPr>
                    <w:color w:val="000000" w:themeColor="text1"/>
                    <w14:textFill>
                      <w14:solidFill>
                        <w14:schemeClr w14:val="tx1"/>
                      </w14:solidFill>
                    </w14:textFill>
                  </w:rPr>
                </w:pPr>
              </w:p>
            </w:tc>
            <w:tc>
              <w:tcPr>
                <w:tcW w:w="1227" w:type="pct"/>
              </w:tcPr>
              <w:p w14:paraId="72297089">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48C5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371F65C2">
                <w:pPr>
                  <w:spacing w:line="240" w:lineRule="atLeast"/>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(1)计提</w:t>
                </w:r>
              </w:p>
            </w:tc>
            <w:tc>
              <w:tcPr>
                <w:tcW w:w="1276" w:type="pct"/>
              </w:tcPr>
              <w:p w14:paraId="4A8F9C57">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205" w:type="pct"/>
              </w:tcPr>
              <w:p w14:paraId="026D9FC8">
                <w:pPr>
                  <w:spacing w:line="240" w:lineRule="atLeast"/>
                  <w:jc w:val="right"/>
                  <w:rPr>
                    <w:color w:val="000000" w:themeColor="text1"/>
                    <w14:textFill>
                      <w14:solidFill>
                        <w14:schemeClr w14:val="tx1"/>
                      </w14:solidFill>
                    </w14:textFill>
                  </w:rPr>
                </w:pPr>
              </w:p>
            </w:tc>
            <w:tc>
              <w:tcPr>
                <w:tcW w:w="1227" w:type="pct"/>
              </w:tcPr>
              <w:p w14:paraId="42977DE5">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6564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26802B98">
                <w:pPr>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本期减少</w:t>
                </w:r>
                <w:r>
                  <w:rPr>
                    <w:rFonts w:hint="eastAsia"/>
                    <w:color w:val="000000" w:themeColor="text1"/>
                    <w14:textFill>
                      <w14:solidFill>
                        <w14:schemeClr w14:val="tx1"/>
                      </w14:solidFill>
                    </w14:textFill>
                  </w:rPr>
                  <w:t>金额</w:t>
                </w:r>
              </w:p>
            </w:tc>
            <w:tc>
              <w:tcPr>
                <w:tcW w:w="1276" w:type="pct"/>
              </w:tcPr>
              <w:p w14:paraId="1E153C64">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205" w:type="pct"/>
              </w:tcPr>
              <w:p w14:paraId="2FBA7776">
                <w:pPr>
                  <w:spacing w:line="240" w:lineRule="atLeast"/>
                  <w:jc w:val="right"/>
                  <w:rPr>
                    <w:color w:val="000000" w:themeColor="text1"/>
                    <w14:textFill>
                      <w14:solidFill>
                        <w14:schemeClr w14:val="tx1"/>
                      </w14:solidFill>
                    </w14:textFill>
                  </w:rPr>
                </w:pPr>
              </w:p>
            </w:tc>
            <w:tc>
              <w:tcPr>
                <w:tcW w:w="1227" w:type="pct"/>
              </w:tcPr>
              <w:p w14:paraId="1F85A703">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33E3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690A6ADC">
                <w:pPr>
                  <w:spacing w:line="240" w:lineRule="atLeast"/>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处置</w:t>
                </w:r>
              </w:p>
            </w:tc>
            <w:tc>
              <w:tcPr>
                <w:tcW w:w="1276" w:type="pct"/>
              </w:tcPr>
              <w:p w14:paraId="4FB2787A">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205" w:type="pct"/>
              </w:tcPr>
              <w:p w14:paraId="0CC4B225">
                <w:pPr>
                  <w:spacing w:line="240" w:lineRule="atLeast"/>
                  <w:jc w:val="right"/>
                  <w:rPr>
                    <w:color w:val="000000" w:themeColor="text1"/>
                    <w14:textFill>
                      <w14:solidFill>
                        <w14:schemeClr w14:val="tx1"/>
                      </w14:solidFill>
                    </w14:textFill>
                  </w:rPr>
                </w:pPr>
              </w:p>
            </w:tc>
            <w:tc>
              <w:tcPr>
                <w:tcW w:w="1227" w:type="pct"/>
              </w:tcPr>
              <w:p w14:paraId="70F2F667">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5713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14382FCA">
                <w:pPr>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期末余额</w:t>
                </w:r>
              </w:p>
            </w:tc>
            <w:tc>
              <w:tcPr>
                <w:tcW w:w="1276" w:type="pct"/>
              </w:tcPr>
              <w:p w14:paraId="4A8E1A52">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205" w:type="pct"/>
              </w:tcPr>
              <w:p w14:paraId="48948FA2">
                <w:pPr>
                  <w:spacing w:line="240" w:lineRule="atLeast"/>
                  <w:jc w:val="right"/>
                  <w:rPr>
                    <w:color w:val="000000" w:themeColor="text1"/>
                    <w14:textFill>
                      <w14:solidFill>
                        <w14:schemeClr w14:val="tx1"/>
                      </w14:solidFill>
                    </w14:textFill>
                  </w:rPr>
                </w:pPr>
              </w:p>
            </w:tc>
            <w:tc>
              <w:tcPr>
                <w:tcW w:w="1227" w:type="pct"/>
              </w:tcPr>
              <w:p w14:paraId="06571D83">
                <w:pPr>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3432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sdt>
              <w:sdtPr>
                <w:tag w:val="_PLD_a609076f16da4fedb37d9fc1d72dfd8f"/>
                <w:id w:val="-1280945226"/>
              </w:sdtPr>
              <w:sdtContent>
                <w:tc>
                  <w:tcPr>
                    <w:tcW w:w="5000" w:type="pct"/>
                    <w:gridSpan w:val="4"/>
                    <w:vAlign w:val="center"/>
                  </w:tcPr>
                  <w:p w14:paraId="2DD3DF86">
                    <w:pPr>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四、账面价值</w:t>
                    </w:r>
                  </w:p>
                </w:tc>
              </w:sdtContent>
            </w:sdt>
          </w:tr>
          <w:tr w14:paraId="227E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2145CE8B">
                <w:pPr>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1.期末账面价值</w:t>
                </w:r>
              </w:p>
            </w:tc>
            <w:tc>
              <w:tcPr>
                <w:tcW w:w="1276" w:type="pct"/>
              </w:tcPr>
              <w:p w14:paraId="0E11689D">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2,782,277.30</w:t>
                </w:r>
              </w:p>
            </w:tc>
            <w:tc>
              <w:tcPr>
                <w:tcW w:w="1205" w:type="pct"/>
              </w:tcPr>
              <w:p w14:paraId="4CE718C4">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44,658,075.00</w:t>
                </w:r>
              </w:p>
            </w:tc>
            <w:tc>
              <w:tcPr>
                <w:tcW w:w="1227" w:type="pct"/>
              </w:tcPr>
              <w:p w14:paraId="58ADE6DA">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47,440,352.30</w:t>
                </w:r>
              </w:p>
            </w:tc>
          </w:tr>
          <w:tr w14:paraId="4459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92" w:type="pct"/>
                <w:vAlign w:val="center"/>
              </w:tcPr>
              <w:p w14:paraId="5A28AC61">
                <w:pPr>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2.期初账面价值</w:t>
                </w:r>
              </w:p>
            </w:tc>
            <w:tc>
              <w:tcPr>
                <w:tcW w:w="1276" w:type="pct"/>
              </w:tcPr>
              <w:p w14:paraId="6569ED3D">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3,246,995.32</w:t>
                </w:r>
              </w:p>
            </w:tc>
            <w:tc>
              <w:tcPr>
                <w:tcW w:w="1205" w:type="pct"/>
              </w:tcPr>
              <w:p w14:paraId="2BBF1B7F">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45,865,050.00</w:t>
                </w:r>
              </w:p>
            </w:tc>
            <w:tc>
              <w:tcPr>
                <w:tcW w:w="1227" w:type="pct"/>
              </w:tcPr>
              <w:p w14:paraId="5D8EA4E9">
                <w:pPr>
                  <w:spacing w:line="240" w:lineRule="atLeast"/>
                  <w:jc w:val="right"/>
                  <w:rPr>
                    <w:color w:val="000000" w:themeColor="text1"/>
                    <w14:textFill>
                      <w14:solidFill>
                        <w14:schemeClr w14:val="tx1"/>
                      </w14:solidFill>
                    </w14:textFill>
                  </w:rPr>
                </w:pPr>
                <w:r>
                  <w:rPr>
                    <w:color w:val="000000" w:themeColor="text1"/>
                    <w14:textFill>
                      <w14:solidFill>
                        <w14:schemeClr w14:val="tx1"/>
                      </w14:solidFill>
                    </w14:textFill>
                  </w:rPr>
                  <w:t>49,112,045.32</w:t>
                </w:r>
              </w:p>
            </w:tc>
          </w:tr>
        </w:tbl>
        <w:p w14:paraId="35C37AC4"/>
        <w:p w14:paraId="6065F929">
          <w:pPr>
            <w:autoSpaceDE w:val="0"/>
            <w:autoSpaceDN w:val="0"/>
            <w:adjustRightInd w:val="0"/>
            <w:rPr>
              <w:color w:val="000000" w:themeColor="text1"/>
              <w14:textFill>
                <w14:solidFill>
                  <w14:schemeClr w14:val="tx1"/>
                </w14:solidFill>
              </w14:textFill>
            </w:rPr>
          </w:pPr>
        </w:p>
      </w:sdtContent>
    </w:sdt>
    <w:bookmarkEnd w:id="305"/>
    <w:p w14:paraId="43147D8D">
      <w:pPr>
        <w:pStyle w:val="5"/>
        <w:numPr>
          <w:ilvl w:val="0"/>
          <w:numId w:val="73"/>
        </w:numPr>
        <w:rPr>
          <w:color w:val="000000" w:themeColor="text1"/>
          <w14:textFill>
            <w14:solidFill>
              <w14:schemeClr w14:val="tx1"/>
            </w14:solidFill>
          </w14:textFill>
        </w:rPr>
      </w:pPr>
      <w:bookmarkStart w:id="306" w:name="_Hlk167959535"/>
      <w:bookmarkStart w:id="307" w:name="_Hlk153461708"/>
      <w:r>
        <w:rPr>
          <w:rFonts w:hint="eastAsia"/>
          <w:color w:val="000000" w:themeColor="text1"/>
          <w14:textFill>
            <w14:solidFill>
              <w14:schemeClr w14:val="tx1"/>
            </w14:solidFill>
          </w14:textFill>
        </w:rPr>
        <w:t>使用权资产的减值测试情况</w:t>
      </w:r>
    </w:p>
    <w:sdt>
      <w:sdtPr>
        <w:rPr>
          <w:color w:val="000000" w:themeColor="text1"/>
          <w14:textFill>
            <w14:solidFill>
              <w14:schemeClr w14:val="tx1"/>
            </w14:solidFill>
          </w14:textFill>
        </w:rPr>
        <w:alias w:val="是否适用：减值测试情况[双击切换]"/>
        <w:tag w:val="_GBC_d79f93753a2c43fc80991be4c588d144"/>
        <w:id w:val="-1549300490"/>
        <w:placeholder>
          <w:docPart w:val="GBC22222222222222222222222222222"/>
        </w:placeholder>
      </w:sdtPr>
      <w:sdtEndPr>
        <w:rPr>
          <w:color w:val="000000" w:themeColor="text1"/>
          <w14:textFill>
            <w14:solidFill>
              <w14:schemeClr w14:val="tx1"/>
            </w14:solidFill>
          </w14:textFill>
        </w:rPr>
      </w:sdtEndPr>
      <w:sdtContent>
        <w:p w14:paraId="0421540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62E0D0B">
      <w:pPr>
        <w:rPr>
          <w:color w:val="000000" w:themeColor="text1"/>
          <w14:textFill>
            <w14:solidFill>
              <w14:schemeClr w14:val="tx1"/>
            </w14:solidFill>
          </w14:textFill>
        </w:rPr>
      </w:pPr>
    </w:p>
    <w:p w14:paraId="7FB70F19">
      <w:pPr>
        <w:snapToGrid w:val="0"/>
        <w:spacing w:line="240" w:lineRule="atLeast"/>
        <w:rPr>
          <w:color w:val="000000" w:themeColor="text1"/>
          <w14:textFill>
            <w14:solidFill>
              <w14:schemeClr w14:val="tx1"/>
            </w14:solidFill>
          </w14:textFill>
        </w:rPr>
      </w:pPr>
    </w:p>
    <w:bookmarkEnd w:id="306"/>
    <w:bookmarkEnd w:id="307"/>
    <w:p w14:paraId="2CCB2373">
      <w:pPr>
        <w:autoSpaceDE w:val="0"/>
        <w:autoSpaceDN w:val="0"/>
        <w:adjustRightInd w:val="0"/>
        <w:rPr>
          <w:color w:val="000000" w:themeColor="text1"/>
          <w14:textFill>
            <w14:solidFill>
              <w14:schemeClr w14:val="tx1"/>
            </w14:solidFill>
          </w14:textFill>
        </w:rPr>
      </w:pPr>
      <w:bookmarkStart w:id="308" w:name="_Hlk167959640"/>
      <w:r>
        <w:rPr>
          <w:rFonts w:hint="eastAsia"/>
          <w:color w:val="000000" w:themeColor="text1"/>
          <w14:textFill>
            <w14:solidFill>
              <w14:schemeClr w14:val="tx1"/>
            </w14:solidFill>
          </w14:textFill>
        </w:rPr>
        <w:t>其他说明：</w:t>
      </w:r>
    </w:p>
    <w:p w14:paraId="081BC5E0">
      <w:pPr>
        <w:rPr>
          <w:color w:val="000000" w:themeColor="text1"/>
          <w14:textFill>
            <w14:solidFill>
              <w14:schemeClr w14:val="tx1"/>
            </w14:solidFill>
          </w14:textFill>
        </w:rPr>
      </w:pPr>
      <w:sdt>
        <w:sdtPr>
          <w:rPr>
            <w:color w:val="000000" w:themeColor="text1"/>
            <w14:textFill>
              <w14:solidFill>
                <w14:schemeClr w14:val="tx1"/>
              </w14:solidFill>
            </w14:textFill>
          </w:rPr>
          <w:alias w:val="使用权资产其他说明"/>
          <w:tag w:val="_GBC_30439a7674b44ef39168f8672c6df2c9"/>
          <w:id w:val="-794209374"/>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无</w:t>
          </w:r>
        </w:sdtContent>
      </w:sdt>
    </w:p>
    <w:p w14:paraId="2C82E6B6">
      <w:pPr>
        <w:rPr>
          <w:color w:val="000000" w:themeColor="text1"/>
          <w14:textFill>
            <w14:solidFill>
              <w14:schemeClr w14:val="tx1"/>
            </w14:solidFill>
          </w14:textFill>
        </w:rPr>
      </w:pPr>
    </w:p>
    <w:bookmarkEnd w:id="308"/>
    <w:p w14:paraId="34D9A0C5">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无形资产</w:t>
      </w:r>
    </w:p>
    <w:p w14:paraId="1BF97871">
      <w:pPr>
        <w:pStyle w:val="5"/>
        <w:numPr>
          <w:ilvl w:val="0"/>
          <w:numId w:val="74"/>
        </w:numPr>
        <w:tabs>
          <w:tab w:val="left" w:pos="602"/>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无形资产情况</w:t>
      </w:r>
    </w:p>
    <w:p w14:paraId="4C8E367B">
      <w:pPr>
        <w:rPr>
          <w:color w:val="000000" w:themeColor="text1"/>
          <w14:textFill>
            <w14:solidFill>
              <w14:schemeClr w14:val="tx1"/>
            </w14:solidFill>
          </w14:textFill>
        </w:rPr>
      </w:pPr>
      <w:sdt>
        <w:sdtPr>
          <w:rPr>
            <w:rFonts w:hint="eastAsia"/>
            <w:color w:val="000000" w:themeColor="text1"/>
            <w14:textFill>
              <w14:solidFill>
                <w14:schemeClr w14:val="tx1"/>
              </w14:solidFill>
            </w14:textFill>
          </w:rPr>
          <w:alias w:val="是否适用：无形资产情况[双击切换]"/>
          <w:tag w:val="_GBC_0882d05501f84259b91efc5f2eae98cf"/>
          <w:id w:val="-1290669610"/>
          <w:lock w:val="contentLocked"/>
          <w:placeholder>
            <w:docPart w:val="GBC22222222222222222222222222222"/>
          </w:placeholder>
        </w:sdtPr>
        <w:sdtEndPr>
          <w:rPr>
            <w:rFonts w:hint="eastAsia"/>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p w14:paraId="06CCE5B4">
      <w:pPr>
        <w:snapToGrid w:val="0"/>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无形资产情况"/>
          <w:tag w:val="_GBC_e04514c8858e489490302ba7c2e1448a"/>
          <w:id w:val="9653141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无形资产情况"/>
          <w:tag w:val="_GBC_5ac7324577934f838e3655199c980c1c"/>
          <w:id w:val="6343721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1556"/>
        <w:gridCol w:w="1560"/>
        <w:gridCol w:w="1699"/>
        <w:gridCol w:w="1883"/>
      </w:tblGrid>
      <w:tr w14:paraId="6472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sdt>
          <w:sdtPr>
            <w:tag w:val="_PLD_16e062da10ef4301a1526b8633f88a31"/>
            <w:id w:val="-1235394143"/>
          </w:sdtPr>
          <w:sdtContent>
            <w:tc>
              <w:tcPr>
                <w:tcW w:w="1204" w:type="pct"/>
                <w:vAlign w:val="center"/>
              </w:tcPr>
              <w:p w14:paraId="6171341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8b465b50cb10415c8931fdb66ee29ca3"/>
            <w:id w:val="-1239710685"/>
          </w:sdtPr>
          <w:sdtContent>
            <w:tc>
              <w:tcPr>
                <w:tcW w:w="882" w:type="pct"/>
                <w:vAlign w:val="center"/>
              </w:tcPr>
              <w:p w14:paraId="4EE7FAF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土地使用权</w:t>
                </w:r>
              </w:p>
            </w:tc>
          </w:sdtContent>
        </w:sdt>
        <w:sdt>
          <w:sdtPr>
            <w:tag w:val="_PLD_55a0c34977f7438f8a4e60b2ec43e654"/>
            <w:id w:val="-1924323522"/>
          </w:sdtPr>
          <w:sdtContent>
            <w:tc>
              <w:tcPr>
                <w:tcW w:w="884" w:type="pct"/>
                <w:vAlign w:val="center"/>
              </w:tcPr>
              <w:p w14:paraId="3494DBA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软件</w:t>
                </w:r>
              </w:p>
            </w:tc>
          </w:sdtContent>
        </w:sdt>
        <w:sdt>
          <w:sdtPr>
            <w:tag w:val="_PLD_624f8e9465f646f5a305cf5fc59a830c"/>
            <w:id w:val="-706250372"/>
          </w:sdtPr>
          <w:sdtContent>
            <w:tc>
              <w:tcPr>
                <w:tcW w:w="963" w:type="pct"/>
                <w:vAlign w:val="center"/>
              </w:tcPr>
              <w:p w14:paraId="4DBB9FC3">
                <w:pPr>
                  <w:jc w:val="center"/>
                  <w:rPr>
                    <w:color w:val="000000" w:themeColor="text1"/>
                    <w14:textFill>
                      <w14:solidFill>
                        <w14:schemeClr w14:val="tx1"/>
                      </w14:solidFill>
                    </w14:textFill>
                  </w:rPr>
                </w:pPr>
                <w:r>
                  <w:rPr>
                    <w:rFonts w:hint="eastAsia"/>
                  </w:rPr>
                  <w:t>海域使用权</w:t>
                </w:r>
              </w:p>
            </w:tc>
          </w:sdtContent>
        </w:sdt>
        <w:sdt>
          <w:sdtPr>
            <w:tag w:val="_PLD_57620ddc57e34012a99d49f2280a99e2"/>
            <w:id w:val="-1056623481"/>
          </w:sdtPr>
          <w:sdtContent>
            <w:tc>
              <w:tcPr>
                <w:tcW w:w="1067" w:type="pct"/>
                <w:vAlign w:val="center"/>
              </w:tcPr>
              <w:p w14:paraId="31ECCC9D">
                <w:pPr>
                  <w:jc w:val="center"/>
                  <w:rPr>
                    <w:color w:val="000000" w:themeColor="text1"/>
                    <w14:textFill>
                      <w14:solidFill>
                        <w14:schemeClr w14:val="tx1"/>
                      </w14:solidFill>
                    </w14:textFill>
                  </w:rPr>
                </w:pPr>
                <w:r>
                  <w:rPr>
                    <w:color w:val="000000" w:themeColor="text1"/>
                    <w14:textFill>
                      <w14:solidFill>
                        <w14:schemeClr w14:val="tx1"/>
                      </w14:solidFill>
                    </w14:textFill>
                  </w:rPr>
                  <w:t>合计</w:t>
                </w:r>
              </w:p>
            </w:tc>
          </w:sdtContent>
        </w:sdt>
      </w:tr>
      <w:tr w14:paraId="0E15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sdt>
          <w:sdtPr>
            <w:tag w:val="_PLD_97ce5956782c457c89e9607c943b01d4"/>
            <w:id w:val="-2109961721"/>
          </w:sdtPr>
          <w:sdtContent>
            <w:tc>
              <w:tcPr>
                <w:tcW w:w="5000" w:type="pct"/>
                <w:gridSpan w:val="5"/>
                <w:vAlign w:val="center"/>
              </w:tcPr>
              <w:p w14:paraId="1613BBB9">
                <w:pPr>
                  <w:rPr>
                    <w:color w:val="000000" w:themeColor="text1"/>
                    <w14:textFill>
                      <w14:solidFill>
                        <w14:schemeClr w14:val="tx1"/>
                      </w14:solidFill>
                    </w14:textFill>
                  </w:rPr>
                </w:pPr>
                <w:r>
                  <w:rPr>
                    <w:color w:val="000000" w:themeColor="text1"/>
                    <w14:textFill>
                      <w14:solidFill>
                        <w14:schemeClr w14:val="tx1"/>
                      </w14:solidFill>
                    </w14:textFill>
                  </w:rPr>
                  <w:t>一、</w:t>
                </w:r>
                <w:r>
                  <w:rPr>
                    <w:rFonts w:hint="eastAsia"/>
                    <w:color w:val="000000" w:themeColor="text1"/>
                    <w14:textFill>
                      <w14:solidFill>
                        <w14:schemeClr w14:val="tx1"/>
                      </w14:solidFill>
                    </w14:textFill>
                  </w:rPr>
                  <w:t>账面原值</w:t>
                </w:r>
              </w:p>
            </w:tc>
          </w:sdtContent>
        </w:sdt>
      </w:tr>
      <w:tr w14:paraId="69BB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6761F81A">
            <w:pP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期</w:t>
            </w:r>
            <w:r>
              <w:rPr>
                <w:color w:val="000000" w:themeColor="text1"/>
                <w14:textFill>
                  <w14:solidFill>
                    <w14:schemeClr w14:val="tx1"/>
                  </w14:solidFill>
                </w14:textFill>
              </w:rPr>
              <w:t>初余额</w:t>
            </w:r>
          </w:p>
        </w:tc>
        <w:tc>
          <w:tcPr>
            <w:tcW w:w="882" w:type="pct"/>
          </w:tcPr>
          <w:p w14:paraId="3477EF6A">
            <w:pPr>
              <w:jc w:val="right"/>
            </w:pPr>
            <w:r>
              <w:t>186,370,152.49</w:t>
            </w:r>
          </w:p>
        </w:tc>
        <w:tc>
          <w:tcPr>
            <w:tcW w:w="884" w:type="pct"/>
          </w:tcPr>
          <w:p w14:paraId="7828738C">
            <w:pPr>
              <w:jc w:val="right"/>
            </w:pPr>
            <w:r>
              <w:t>1,260,000.00</w:t>
            </w:r>
          </w:p>
        </w:tc>
        <w:tc>
          <w:tcPr>
            <w:tcW w:w="963" w:type="pct"/>
          </w:tcPr>
          <w:p w14:paraId="42E5AAFC">
            <w:pPr>
              <w:jc w:val="right"/>
            </w:pPr>
            <w:r>
              <w:t>1,238,531,758.50</w:t>
            </w:r>
          </w:p>
        </w:tc>
        <w:tc>
          <w:tcPr>
            <w:tcW w:w="1067" w:type="pct"/>
          </w:tcPr>
          <w:p w14:paraId="7FDD5963">
            <w:pPr>
              <w:jc w:val="right"/>
            </w:pPr>
            <w:r>
              <w:t>1,426,161,910.99</w:t>
            </w:r>
          </w:p>
        </w:tc>
      </w:tr>
      <w:tr w14:paraId="5361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4DEC7180">
            <w:pPr>
              <w:rPr>
                <w:color w:val="000000" w:themeColor="text1"/>
                <w14:textFill>
                  <w14:solidFill>
                    <w14:schemeClr w14:val="tx1"/>
                  </w14:solidFill>
                </w14:textFill>
              </w:rPr>
            </w:pPr>
            <w:r>
              <w:rPr>
                <w:color w:val="000000" w:themeColor="text1"/>
                <w14:textFill>
                  <w14:solidFill>
                    <w14:schemeClr w14:val="tx1"/>
                  </w14:solidFill>
                </w14:textFill>
              </w:rPr>
              <w:t>2.本期增加</w:t>
            </w:r>
            <w:r>
              <w:rPr>
                <w:rFonts w:hint="eastAsia"/>
                <w:color w:val="000000" w:themeColor="text1"/>
                <w14:textFill>
                  <w14:solidFill>
                    <w14:schemeClr w14:val="tx1"/>
                  </w14:solidFill>
                </w14:textFill>
              </w:rPr>
              <w:t>金额</w:t>
            </w:r>
          </w:p>
        </w:tc>
        <w:tc>
          <w:tcPr>
            <w:tcW w:w="882" w:type="pct"/>
          </w:tcPr>
          <w:p w14:paraId="02CB200F">
            <w:pPr>
              <w:jc w:val="right"/>
            </w:pPr>
          </w:p>
        </w:tc>
        <w:tc>
          <w:tcPr>
            <w:tcW w:w="884" w:type="pct"/>
          </w:tcPr>
          <w:p w14:paraId="459989C9">
            <w:pPr>
              <w:jc w:val="right"/>
            </w:pPr>
          </w:p>
        </w:tc>
        <w:tc>
          <w:tcPr>
            <w:tcW w:w="963" w:type="pct"/>
          </w:tcPr>
          <w:p w14:paraId="2E47AF8D">
            <w:pPr>
              <w:jc w:val="right"/>
            </w:pPr>
            <w:r>
              <w:t>239,640,038.40</w:t>
            </w:r>
          </w:p>
        </w:tc>
        <w:tc>
          <w:tcPr>
            <w:tcW w:w="1067" w:type="pct"/>
          </w:tcPr>
          <w:p w14:paraId="0F26824D">
            <w:pPr>
              <w:jc w:val="right"/>
            </w:pPr>
            <w:r>
              <w:t>239,640,038.40</w:t>
            </w:r>
          </w:p>
        </w:tc>
      </w:tr>
      <w:tr w14:paraId="0D53B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5EBCF69A">
            <w:pPr>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购置</w:t>
            </w:r>
          </w:p>
        </w:tc>
        <w:tc>
          <w:tcPr>
            <w:tcW w:w="882" w:type="pct"/>
          </w:tcPr>
          <w:p w14:paraId="124D5215">
            <w:pPr>
              <w:jc w:val="right"/>
            </w:pPr>
          </w:p>
        </w:tc>
        <w:tc>
          <w:tcPr>
            <w:tcW w:w="884" w:type="pct"/>
          </w:tcPr>
          <w:p w14:paraId="3B52A4D4">
            <w:pPr>
              <w:jc w:val="right"/>
            </w:pPr>
          </w:p>
        </w:tc>
        <w:tc>
          <w:tcPr>
            <w:tcW w:w="963" w:type="pct"/>
          </w:tcPr>
          <w:p w14:paraId="6C8A3181">
            <w:pPr>
              <w:jc w:val="right"/>
            </w:pPr>
            <w:r>
              <w:t>239,640,038.40</w:t>
            </w:r>
          </w:p>
        </w:tc>
        <w:tc>
          <w:tcPr>
            <w:tcW w:w="1067" w:type="pct"/>
          </w:tcPr>
          <w:p w14:paraId="0C9A0F90">
            <w:pPr>
              <w:jc w:val="right"/>
            </w:pPr>
            <w:r>
              <w:t>239,640,038.40</w:t>
            </w:r>
          </w:p>
        </w:tc>
      </w:tr>
      <w:tr w14:paraId="3B46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204" w:type="pct"/>
            <w:vAlign w:val="center"/>
          </w:tcPr>
          <w:p w14:paraId="5FBEAE3A">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内部研发</w:t>
            </w:r>
          </w:p>
        </w:tc>
        <w:tc>
          <w:tcPr>
            <w:tcW w:w="882" w:type="pct"/>
          </w:tcPr>
          <w:p w14:paraId="312ECBDA">
            <w:pPr>
              <w:jc w:val="right"/>
            </w:pPr>
          </w:p>
        </w:tc>
        <w:tc>
          <w:tcPr>
            <w:tcW w:w="884" w:type="pct"/>
          </w:tcPr>
          <w:p w14:paraId="6B4F296F">
            <w:pPr>
              <w:jc w:val="right"/>
            </w:pPr>
          </w:p>
        </w:tc>
        <w:tc>
          <w:tcPr>
            <w:tcW w:w="963" w:type="pct"/>
          </w:tcPr>
          <w:p w14:paraId="56F56CDA">
            <w:pPr>
              <w:jc w:val="right"/>
            </w:pPr>
          </w:p>
        </w:tc>
        <w:tc>
          <w:tcPr>
            <w:tcW w:w="1067" w:type="pct"/>
          </w:tcPr>
          <w:p w14:paraId="205DC5D5">
            <w:pPr>
              <w:jc w:val="right"/>
            </w:pPr>
          </w:p>
          <w:p w14:paraId="487B3FAA">
            <w:pPr>
              <w:jc w:val="center"/>
            </w:pPr>
          </w:p>
        </w:tc>
      </w:tr>
      <w:tr w14:paraId="0AC8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tcPr>
          <w:p w14:paraId="105015C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)企</w:t>
            </w:r>
            <w:r>
              <w:rPr>
                <w:color w:val="000000" w:themeColor="text1"/>
                <w14:textFill>
                  <w14:solidFill>
                    <w14:schemeClr w14:val="tx1"/>
                  </w14:solidFill>
                </w14:textFill>
              </w:rPr>
              <w:t>业合并增加</w:t>
            </w:r>
          </w:p>
        </w:tc>
        <w:tc>
          <w:tcPr>
            <w:tcW w:w="882" w:type="pct"/>
          </w:tcPr>
          <w:p w14:paraId="6B5F5DA9">
            <w:pPr>
              <w:jc w:val="right"/>
            </w:pPr>
          </w:p>
        </w:tc>
        <w:tc>
          <w:tcPr>
            <w:tcW w:w="884" w:type="pct"/>
          </w:tcPr>
          <w:p w14:paraId="44990059">
            <w:pPr>
              <w:jc w:val="right"/>
            </w:pPr>
          </w:p>
        </w:tc>
        <w:tc>
          <w:tcPr>
            <w:tcW w:w="963" w:type="pct"/>
          </w:tcPr>
          <w:p w14:paraId="3CAF3C29">
            <w:pPr>
              <w:jc w:val="right"/>
            </w:pPr>
          </w:p>
        </w:tc>
        <w:tc>
          <w:tcPr>
            <w:tcW w:w="1067" w:type="pct"/>
          </w:tcPr>
          <w:p w14:paraId="29A3C4F7">
            <w:pPr>
              <w:jc w:val="right"/>
            </w:pPr>
          </w:p>
        </w:tc>
      </w:tr>
      <w:tr w14:paraId="1F70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03402FAA">
            <w:pPr>
              <w:rPr>
                <w:color w:val="000000" w:themeColor="text1"/>
                <w14:textFill>
                  <w14:solidFill>
                    <w14:schemeClr w14:val="tx1"/>
                  </w14:solidFill>
                </w14:textFill>
              </w:rPr>
            </w:pPr>
            <w:r>
              <w:rPr>
                <w:color w:val="000000" w:themeColor="text1"/>
                <w14:textFill>
                  <w14:solidFill>
                    <w14:schemeClr w14:val="tx1"/>
                  </w14:solidFill>
                </w14:textFill>
              </w:rPr>
              <w:t>3.本期减少</w:t>
            </w:r>
            <w:r>
              <w:rPr>
                <w:rFonts w:hint="eastAsia"/>
                <w:color w:val="000000" w:themeColor="text1"/>
                <w14:textFill>
                  <w14:solidFill>
                    <w14:schemeClr w14:val="tx1"/>
                  </w14:solidFill>
                </w14:textFill>
              </w:rPr>
              <w:t>金额</w:t>
            </w:r>
          </w:p>
        </w:tc>
        <w:tc>
          <w:tcPr>
            <w:tcW w:w="882" w:type="pct"/>
          </w:tcPr>
          <w:p w14:paraId="50714567">
            <w:pPr>
              <w:jc w:val="right"/>
            </w:pPr>
          </w:p>
        </w:tc>
        <w:tc>
          <w:tcPr>
            <w:tcW w:w="884" w:type="pct"/>
          </w:tcPr>
          <w:p w14:paraId="2480720C">
            <w:pPr>
              <w:jc w:val="right"/>
            </w:pPr>
          </w:p>
        </w:tc>
        <w:tc>
          <w:tcPr>
            <w:tcW w:w="963" w:type="pct"/>
          </w:tcPr>
          <w:p w14:paraId="6EA3F79F">
            <w:pPr>
              <w:jc w:val="right"/>
            </w:pPr>
          </w:p>
        </w:tc>
        <w:tc>
          <w:tcPr>
            <w:tcW w:w="1067" w:type="pct"/>
          </w:tcPr>
          <w:p w14:paraId="235F709F">
            <w:pPr>
              <w:jc w:val="right"/>
            </w:pPr>
          </w:p>
        </w:tc>
      </w:tr>
      <w:tr w14:paraId="7EC2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305161D5">
            <w:pPr>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处置</w:t>
            </w:r>
          </w:p>
        </w:tc>
        <w:tc>
          <w:tcPr>
            <w:tcW w:w="882" w:type="pct"/>
          </w:tcPr>
          <w:p w14:paraId="3D22F016">
            <w:pPr>
              <w:jc w:val="right"/>
            </w:pPr>
          </w:p>
        </w:tc>
        <w:tc>
          <w:tcPr>
            <w:tcW w:w="884" w:type="pct"/>
          </w:tcPr>
          <w:p w14:paraId="00614F51">
            <w:pPr>
              <w:jc w:val="right"/>
            </w:pPr>
          </w:p>
        </w:tc>
        <w:tc>
          <w:tcPr>
            <w:tcW w:w="963" w:type="pct"/>
          </w:tcPr>
          <w:p w14:paraId="302C894E">
            <w:pPr>
              <w:jc w:val="right"/>
            </w:pPr>
          </w:p>
        </w:tc>
        <w:tc>
          <w:tcPr>
            <w:tcW w:w="1067" w:type="pct"/>
          </w:tcPr>
          <w:p w14:paraId="379C35A0">
            <w:pPr>
              <w:jc w:val="right"/>
            </w:pPr>
          </w:p>
        </w:tc>
      </w:tr>
      <w:tr w14:paraId="2C0F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6932A626">
            <w:pPr>
              <w:rPr>
                <w:color w:val="000000" w:themeColor="text1"/>
                <w14:textFill>
                  <w14:solidFill>
                    <w14:schemeClr w14:val="tx1"/>
                  </w14:solidFill>
                </w14:textFill>
              </w:rPr>
            </w:pPr>
            <w:r>
              <w:rPr>
                <w:color w:val="000000" w:themeColor="text1"/>
                <w14:textFill>
                  <w14:solidFill>
                    <w14:schemeClr w14:val="tx1"/>
                  </w14:solidFill>
                </w14:textFill>
              </w:rPr>
              <w:t>4.期末余额</w:t>
            </w:r>
          </w:p>
        </w:tc>
        <w:tc>
          <w:tcPr>
            <w:tcW w:w="882" w:type="pct"/>
          </w:tcPr>
          <w:p w14:paraId="571CE1CF">
            <w:pPr>
              <w:jc w:val="right"/>
            </w:pPr>
            <w:r>
              <w:t>186,370,152.49</w:t>
            </w:r>
          </w:p>
        </w:tc>
        <w:tc>
          <w:tcPr>
            <w:tcW w:w="884" w:type="pct"/>
          </w:tcPr>
          <w:p w14:paraId="0A0FB285">
            <w:pPr>
              <w:jc w:val="right"/>
            </w:pPr>
            <w:r>
              <w:t>1,260,000.00</w:t>
            </w:r>
          </w:p>
        </w:tc>
        <w:tc>
          <w:tcPr>
            <w:tcW w:w="963" w:type="pct"/>
          </w:tcPr>
          <w:p w14:paraId="17405682">
            <w:pPr>
              <w:jc w:val="right"/>
            </w:pPr>
            <w:r>
              <w:t>1,478,171,796.90</w:t>
            </w:r>
          </w:p>
        </w:tc>
        <w:tc>
          <w:tcPr>
            <w:tcW w:w="1067" w:type="pct"/>
          </w:tcPr>
          <w:p w14:paraId="1A4389ED">
            <w:pPr>
              <w:jc w:val="right"/>
            </w:pPr>
            <w:r>
              <w:t>1,665,801,949.39</w:t>
            </w:r>
          </w:p>
        </w:tc>
      </w:tr>
      <w:tr w14:paraId="1509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sdt>
          <w:sdtPr>
            <w:tag w:val="_PLD_3d92ef615d3b41e5abb58e018e2db72b"/>
            <w:id w:val="-1933122186"/>
          </w:sdtPr>
          <w:sdtContent>
            <w:tc>
              <w:tcPr>
                <w:tcW w:w="5000" w:type="pct"/>
                <w:gridSpan w:val="5"/>
                <w:vAlign w:val="center"/>
              </w:tcPr>
              <w:p w14:paraId="59971B8F">
                <w:pPr>
                  <w:rPr>
                    <w:color w:val="000000" w:themeColor="text1"/>
                    <w14:textFill>
                      <w14:solidFill>
                        <w14:schemeClr w14:val="tx1"/>
                      </w14:solidFill>
                    </w14:textFill>
                  </w:rPr>
                </w:pPr>
                <w:r>
                  <w:rPr>
                    <w:color w:val="000000" w:themeColor="text1"/>
                    <w14:textFill>
                      <w14:solidFill>
                        <w14:schemeClr w14:val="tx1"/>
                      </w14:solidFill>
                    </w14:textFill>
                  </w:rPr>
                  <w:t>二、累计</w:t>
                </w:r>
                <w:r>
                  <w:rPr>
                    <w:rFonts w:hint="eastAsia"/>
                    <w:color w:val="000000" w:themeColor="text1"/>
                    <w14:textFill>
                      <w14:solidFill>
                        <w14:schemeClr w14:val="tx1"/>
                      </w14:solidFill>
                    </w14:textFill>
                  </w:rPr>
                  <w:t>摊销</w:t>
                </w:r>
              </w:p>
            </w:tc>
          </w:sdtContent>
        </w:sdt>
      </w:tr>
      <w:tr w14:paraId="7130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1BA49390">
            <w:pPr>
              <w:rPr>
                <w:color w:val="000000" w:themeColor="text1"/>
                <w14:textFill>
                  <w14:solidFill>
                    <w14:schemeClr w14:val="tx1"/>
                  </w14:solidFill>
                </w14:textFill>
              </w:rPr>
            </w:pPr>
            <w:r>
              <w:rPr>
                <w:rFonts w:hint="eastAsia"/>
                <w:color w:val="000000" w:themeColor="text1"/>
                <w14:textFill>
                  <w14:solidFill>
                    <w14:schemeClr w14:val="tx1"/>
                  </w14:solidFill>
                </w14:textFill>
              </w:rPr>
              <w:t>1.期</w:t>
            </w:r>
            <w:r>
              <w:rPr>
                <w:color w:val="000000" w:themeColor="text1"/>
                <w14:textFill>
                  <w14:solidFill>
                    <w14:schemeClr w14:val="tx1"/>
                  </w14:solidFill>
                </w14:textFill>
              </w:rPr>
              <w:t>初余额</w:t>
            </w:r>
          </w:p>
        </w:tc>
        <w:tc>
          <w:tcPr>
            <w:tcW w:w="882" w:type="pct"/>
          </w:tcPr>
          <w:p w14:paraId="13BDB529">
            <w:pPr>
              <w:jc w:val="right"/>
            </w:pPr>
            <w:r>
              <w:t>55,186,785.64</w:t>
            </w:r>
          </w:p>
        </w:tc>
        <w:tc>
          <w:tcPr>
            <w:tcW w:w="884" w:type="pct"/>
          </w:tcPr>
          <w:p w14:paraId="6FDBA20F">
            <w:pPr>
              <w:jc w:val="right"/>
            </w:pPr>
            <w:r>
              <w:t>516,976.59</w:t>
            </w:r>
          </w:p>
        </w:tc>
        <w:tc>
          <w:tcPr>
            <w:tcW w:w="963" w:type="pct"/>
          </w:tcPr>
          <w:p w14:paraId="57E5142E">
            <w:pPr>
              <w:jc w:val="right"/>
            </w:pPr>
            <w:r>
              <w:t>204,751,970.23</w:t>
            </w:r>
          </w:p>
        </w:tc>
        <w:tc>
          <w:tcPr>
            <w:tcW w:w="1067" w:type="pct"/>
          </w:tcPr>
          <w:p w14:paraId="0A4416EF">
            <w:pPr>
              <w:jc w:val="right"/>
            </w:pPr>
            <w:r>
              <w:t>260,455,732.46</w:t>
            </w:r>
          </w:p>
        </w:tc>
      </w:tr>
      <w:tr w14:paraId="5462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6E2028D7">
            <w:pPr>
              <w:rPr>
                <w:color w:val="000000" w:themeColor="text1"/>
                <w14:textFill>
                  <w14:solidFill>
                    <w14:schemeClr w14:val="tx1"/>
                  </w14:solidFill>
                </w14:textFill>
              </w:rPr>
            </w:pPr>
            <w:r>
              <w:rPr>
                <w:color w:val="000000" w:themeColor="text1"/>
                <w14:textFill>
                  <w14:solidFill>
                    <w14:schemeClr w14:val="tx1"/>
                  </w14:solidFill>
                </w14:textFill>
              </w:rPr>
              <w:t>2.本期增加</w:t>
            </w:r>
            <w:r>
              <w:rPr>
                <w:rFonts w:hint="eastAsia"/>
                <w:color w:val="000000" w:themeColor="text1"/>
                <w14:textFill>
                  <w14:solidFill>
                    <w14:schemeClr w14:val="tx1"/>
                  </w14:solidFill>
                </w14:textFill>
              </w:rPr>
              <w:t>金额</w:t>
            </w:r>
          </w:p>
        </w:tc>
        <w:tc>
          <w:tcPr>
            <w:tcW w:w="882" w:type="pct"/>
          </w:tcPr>
          <w:p w14:paraId="62CBA794">
            <w:pPr>
              <w:jc w:val="right"/>
            </w:pPr>
            <w:r>
              <w:t>4,058,580.09</w:t>
            </w:r>
          </w:p>
        </w:tc>
        <w:tc>
          <w:tcPr>
            <w:tcW w:w="884" w:type="pct"/>
          </w:tcPr>
          <w:p w14:paraId="39E8D320">
            <w:pPr>
              <w:jc w:val="right"/>
            </w:pPr>
            <w:r>
              <w:t>30,743.28</w:t>
            </w:r>
          </w:p>
        </w:tc>
        <w:tc>
          <w:tcPr>
            <w:tcW w:w="963" w:type="pct"/>
          </w:tcPr>
          <w:p w14:paraId="33F83DDB">
            <w:pPr>
              <w:jc w:val="right"/>
            </w:pPr>
            <w:r>
              <w:t>50,308,246.32</w:t>
            </w:r>
          </w:p>
        </w:tc>
        <w:tc>
          <w:tcPr>
            <w:tcW w:w="1067" w:type="pct"/>
          </w:tcPr>
          <w:p w14:paraId="5569BC1F">
            <w:pPr>
              <w:jc w:val="right"/>
            </w:pPr>
            <w:r>
              <w:t>54,397,569.69</w:t>
            </w:r>
          </w:p>
        </w:tc>
      </w:tr>
      <w:tr w14:paraId="0D53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6CB79A62">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计提</w:t>
            </w:r>
          </w:p>
        </w:tc>
        <w:tc>
          <w:tcPr>
            <w:tcW w:w="882" w:type="pct"/>
          </w:tcPr>
          <w:p w14:paraId="5AAA8FE5">
            <w:pPr>
              <w:jc w:val="right"/>
            </w:pPr>
            <w:r>
              <w:t>4,058,580.09</w:t>
            </w:r>
          </w:p>
        </w:tc>
        <w:tc>
          <w:tcPr>
            <w:tcW w:w="884" w:type="pct"/>
          </w:tcPr>
          <w:p w14:paraId="5C5F2C6A">
            <w:pPr>
              <w:jc w:val="right"/>
            </w:pPr>
            <w:r>
              <w:t>30,743.28</w:t>
            </w:r>
          </w:p>
        </w:tc>
        <w:tc>
          <w:tcPr>
            <w:tcW w:w="963" w:type="pct"/>
          </w:tcPr>
          <w:p w14:paraId="4A37D1BF">
            <w:pPr>
              <w:jc w:val="right"/>
            </w:pPr>
            <w:r>
              <w:t>50,308,246.32</w:t>
            </w:r>
          </w:p>
        </w:tc>
        <w:tc>
          <w:tcPr>
            <w:tcW w:w="1067" w:type="pct"/>
          </w:tcPr>
          <w:p w14:paraId="5A767429">
            <w:pPr>
              <w:jc w:val="right"/>
            </w:pPr>
            <w:r>
              <w:t>54,397,569.69</w:t>
            </w:r>
          </w:p>
        </w:tc>
      </w:tr>
      <w:tr w14:paraId="0E68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66FCDA9E">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本期减少</w:t>
            </w:r>
            <w:r>
              <w:rPr>
                <w:rFonts w:hint="eastAsia"/>
                <w:color w:val="000000" w:themeColor="text1"/>
                <w14:textFill>
                  <w14:solidFill>
                    <w14:schemeClr w14:val="tx1"/>
                  </w14:solidFill>
                </w14:textFill>
              </w:rPr>
              <w:t>金额</w:t>
            </w:r>
          </w:p>
        </w:tc>
        <w:tc>
          <w:tcPr>
            <w:tcW w:w="882" w:type="pct"/>
          </w:tcPr>
          <w:p w14:paraId="0D5BDF3B">
            <w:pPr>
              <w:jc w:val="right"/>
            </w:pPr>
          </w:p>
        </w:tc>
        <w:tc>
          <w:tcPr>
            <w:tcW w:w="884" w:type="pct"/>
          </w:tcPr>
          <w:p w14:paraId="188F8944">
            <w:pPr>
              <w:jc w:val="right"/>
            </w:pPr>
          </w:p>
        </w:tc>
        <w:tc>
          <w:tcPr>
            <w:tcW w:w="963" w:type="pct"/>
          </w:tcPr>
          <w:p w14:paraId="5591BD55">
            <w:pPr>
              <w:jc w:val="right"/>
            </w:pPr>
          </w:p>
        </w:tc>
        <w:tc>
          <w:tcPr>
            <w:tcW w:w="1067" w:type="pct"/>
          </w:tcPr>
          <w:p w14:paraId="53195898">
            <w:pPr>
              <w:jc w:val="right"/>
            </w:pPr>
          </w:p>
        </w:tc>
      </w:tr>
      <w:tr w14:paraId="22007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5E4BC00B">
            <w:pPr>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处置</w:t>
            </w:r>
          </w:p>
        </w:tc>
        <w:tc>
          <w:tcPr>
            <w:tcW w:w="882" w:type="pct"/>
          </w:tcPr>
          <w:p w14:paraId="1B133D84">
            <w:pPr>
              <w:jc w:val="right"/>
            </w:pPr>
          </w:p>
        </w:tc>
        <w:tc>
          <w:tcPr>
            <w:tcW w:w="884" w:type="pct"/>
          </w:tcPr>
          <w:p w14:paraId="4C2BAA6C">
            <w:pPr>
              <w:jc w:val="right"/>
            </w:pPr>
          </w:p>
        </w:tc>
        <w:tc>
          <w:tcPr>
            <w:tcW w:w="963" w:type="pct"/>
          </w:tcPr>
          <w:p w14:paraId="4235D749">
            <w:pPr>
              <w:jc w:val="right"/>
            </w:pPr>
          </w:p>
        </w:tc>
        <w:tc>
          <w:tcPr>
            <w:tcW w:w="1067" w:type="pct"/>
          </w:tcPr>
          <w:p w14:paraId="2690F47F">
            <w:pPr>
              <w:jc w:val="right"/>
            </w:pPr>
          </w:p>
        </w:tc>
      </w:tr>
      <w:tr w14:paraId="02CB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25421075">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期末余额</w:t>
            </w:r>
          </w:p>
        </w:tc>
        <w:tc>
          <w:tcPr>
            <w:tcW w:w="882" w:type="pct"/>
          </w:tcPr>
          <w:p w14:paraId="727E1E42">
            <w:pPr>
              <w:jc w:val="right"/>
            </w:pPr>
            <w:r>
              <w:t>59,245,365.73</w:t>
            </w:r>
          </w:p>
        </w:tc>
        <w:tc>
          <w:tcPr>
            <w:tcW w:w="884" w:type="pct"/>
          </w:tcPr>
          <w:p w14:paraId="6B5BCE4C">
            <w:pPr>
              <w:jc w:val="right"/>
            </w:pPr>
            <w:r>
              <w:t>547,719.87</w:t>
            </w:r>
          </w:p>
        </w:tc>
        <w:tc>
          <w:tcPr>
            <w:tcW w:w="963" w:type="pct"/>
          </w:tcPr>
          <w:p w14:paraId="3C06316C">
            <w:pPr>
              <w:jc w:val="right"/>
            </w:pPr>
            <w:r>
              <w:t>255,060,216.55</w:t>
            </w:r>
          </w:p>
        </w:tc>
        <w:tc>
          <w:tcPr>
            <w:tcW w:w="1067" w:type="pct"/>
          </w:tcPr>
          <w:p w14:paraId="54A2C0CB">
            <w:pPr>
              <w:jc w:val="right"/>
            </w:pPr>
            <w:r>
              <w:t>314,853,302.15</w:t>
            </w:r>
          </w:p>
        </w:tc>
      </w:tr>
      <w:tr w14:paraId="619A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sdt>
          <w:sdtPr>
            <w:tag w:val="_PLD_100d3bc56cc142c1b30c3998528f8af2"/>
            <w:id w:val="1045489593"/>
          </w:sdtPr>
          <w:sdtContent>
            <w:tc>
              <w:tcPr>
                <w:tcW w:w="5000" w:type="pct"/>
                <w:gridSpan w:val="5"/>
                <w:vAlign w:val="center"/>
              </w:tcPr>
              <w:p w14:paraId="42CA2FD8">
                <w:pPr>
                  <w:rPr>
                    <w:color w:val="000000" w:themeColor="text1"/>
                    <w14:textFill>
                      <w14:solidFill>
                        <w14:schemeClr w14:val="tx1"/>
                      </w14:solidFill>
                    </w14:textFill>
                  </w:rPr>
                </w:pPr>
                <w:r>
                  <w:rPr>
                    <w:color w:val="000000" w:themeColor="text1"/>
                    <w14:textFill>
                      <w14:solidFill>
                        <w14:schemeClr w14:val="tx1"/>
                      </w14:solidFill>
                    </w14:textFill>
                  </w:rPr>
                  <w:t>三、减值准备</w:t>
                </w:r>
              </w:p>
            </w:tc>
          </w:sdtContent>
        </w:sdt>
      </w:tr>
      <w:tr w14:paraId="3AE4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76D7E36A">
            <w:pPr>
              <w:rPr>
                <w:color w:val="000000" w:themeColor="text1"/>
                <w14:textFill>
                  <w14:solidFill>
                    <w14:schemeClr w14:val="tx1"/>
                  </w14:solidFill>
                </w14:textFill>
              </w:rPr>
            </w:pPr>
            <w:r>
              <w:rPr>
                <w:rFonts w:hint="eastAsia"/>
                <w:color w:val="000000" w:themeColor="text1"/>
                <w14:textFill>
                  <w14:solidFill>
                    <w14:schemeClr w14:val="tx1"/>
                  </w14:solidFill>
                </w14:textFill>
              </w:rPr>
              <w:t>1.期</w:t>
            </w:r>
            <w:r>
              <w:rPr>
                <w:color w:val="000000" w:themeColor="text1"/>
                <w14:textFill>
                  <w14:solidFill>
                    <w14:schemeClr w14:val="tx1"/>
                  </w14:solidFill>
                </w14:textFill>
              </w:rPr>
              <w:t>初余额</w:t>
            </w:r>
          </w:p>
        </w:tc>
        <w:tc>
          <w:tcPr>
            <w:tcW w:w="882" w:type="pct"/>
          </w:tcPr>
          <w:p w14:paraId="533C5776">
            <w:pPr>
              <w:jc w:val="right"/>
            </w:pPr>
          </w:p>
        </w:tc>
        <w:tc>
          <w:tcPr>
            <w:tcW w:w="884" w:type="pct"/>
          </w:tcPr>
          <w:p w14:paraId="4CF430BE">
            <w:pPr>
              <w:jc w:val="right"/>
            </w:pPr>
          </w:p>
        </w:tc>
        <w:tc>
          <w:tcPr>
            <w:tcW w:w="963" w:type="pct"/>
          </w:tcPr>
          <w:p w14:paraId="4EFED1EC">
            <w:pPr>
              <w:jc w:val="right"/>
            </w:pPr>
          </w:p>
        </w:tc>
        <w:tc>
          <w:tcPr>
            <w:tcW w:w="1067" w:type="pct"/>
          </w:tcPr>
          <w:p w14:paraId="20C82FF7">
            <w:pPr>
              <w:jc w:val="right"/>
            </w:pPr>
          </w:p>
        </w:tc>
      </w:tr>
      <w:tr w14:paraId="3378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7875AAAB">
            <w:pPr>
              <w:rPr>
                <w:color w:val="000000" w:themeColor="text1"/>
                <w14:textFill>
                  <w14:solidFill>
                    <w14:schemeClr w14:val="tx1"/>
                  </w14:solidFill>
                </w14:textFill>
              </w:rPr>
            </w:pPr>
            <w:r>
              <w:rPr>
                <w:color w:val="000000" w:themeColor="text1"/>
                <w14:textFill>
                  <w14:solidFill>
                    <w14:schemeClr w14:val="tx1"/>
                  </w14:solidFill>
                </w14:textFill>
              </w:rPr>
              <w:t>2.本期增加</w:t>
            </w:r>
            <w:r>
              <w:rPr>
                <w:rFonts w:hint="eastAsia"/>
                <w:color w:val="000000" w:themeColor="text1"/>
                <w14:textFill>
                  <w14:solidFill>
                    <w14:schemeClr w14:val="tx1"/>
                  </w14:solidFill>
                </w14:textFill>
              </w:rPr>
              <w:t>金额</w:t>
            </w:r>
          </w:p>
        </w:tc>
        <w:tc>
          <w:tcPr>
            <w:tcW w:w="882" w:type="pct"/>
          </w:tcPr>
          <w:p w14:paraId="5521694A">
            <w:pPr>
              <w:jc w:val="right"/>
            </w:pPr>
          </w:p>
        </w:tc>
        <w:tc>
          <w:tcPr>
            <w:tcW w:w="884" w:type="pct"/>
          </w:tcPr>
          <w:p w14:paraId="7DD12FCB">
            <w:pPr>
              <w:jc w:val="right"/>
            </w:pPr>
          </w:p>
        </w:tc>
        <w:tc>
          <w:tcPr>
            <w:tcW w:w="963" w:type="pct"/>
          </w:tcPr>
          <w:p w14:paraId="5D237EDF">
            <w:pPr>
              <w:jc w:val="right"/>
            </w:pPr>
          </w:p>
        </w:tc>
        <w:tc>
          <w:tcPr>
            <w:tcW w:w="1067" w:type="pct"/>
          </w:tcPr>
          <w:p w14:paraId="35C7223B">
            <w:pPr>
              <w:jc w:val="right"/>
            </w:pPr>
          </w:p>
        </w:tc>
      </w:tr>
      <w:tr w14:paraId="01B8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429611ED">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计提</w:t>
            </w:r>
          </w:p>
        </w:tc>
        <w:tc>
          <w:tcPr>
            <w:tcW w:w="882" w:type="pct"/>
          </w:tcPr>
          <w:p w14:paraId="123A8120">
            <w:pPr>
              <w:jc w:val="right"/>
            </w:pPr>
          </w:p>
        </w:tc>
        <w:tc>
          <w:tcPr>
            <w:tcW w:w="884" w:type="pct"/>
          </w:tcPr>
          <w:p w14:paraId="69785BCC">
            <w:pPr>
              <w:jc w:val="right"/>
            </w:pPr>
          </w:p>
        </w:tc>
        <w:tc>
          <w:tcPr>
            <w:tcW w:w="963" w:type="pct"/>
          </w:tcPr>
          <w:p w14:paraId="4966A3A2">
            <w:pPr>
              <w:jc w:val="right"/>
            </w:pPr>
          </w:p>
        </w:tc>
        <w:tc>
          <w:tcPr>
            <w:tcW w:w="1067" w:type="pct"/>
          </w:tcPr>
          <w:p w14:paraId="01A067BB">
            <w:pPr>
              <w:jc w:val="right"/>
            </w:pPr>
          </w:p>
        </w:tc>
      </w:tr>
      <w:tr w14:paraId="35F1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6283D128">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本期减少</w:t>
            </w:r>
            <w:r>
              <w:rPr>
                <w:rFonts w:hint="eastAsia"/>
                <w:color w:val="000000" w:themeColor="text1"/>
                <w14:textFill>
                  <w14:solidFill>
                    <w14:schemeClr w14:val="tx1"/>
                  </w14:solidFill>
                </w14:textFill>
              </w:rPr>
              <w:t>金额</w:t>
            </w:r>
          </w:p>
        </w:tc>
        <w:tc>
          <w:tcPr>
            <w:tcW w:w="882" w:type="pct"/>
          </w:tcPr>
          <w:p w14:paraId="75FBDAE9">
            <w:pPr>
              <w:jc w:val="right"/>
            </w:pPr>
          </w:p>
        </w:tc>
        <w:tc>
          <w:tcPr>
            <w:tcW w:w="884" w:type="pct"/>
          </w:tcPr>
          <w:p w14:paraId="5A0A0A0A">
            <w:pPr>
              <w:jc w:val="right"/>
            </w:pPr>
          </w:p>
        </w:tc>
        <w:tc>
          <w:tcPr>
            <w:tcW w:w="963" w:type="pct"/>
          </w:tcPr>
          <w:p w14:paraId="4E3002F7">
            <w:pPr>
              <w:jc w:val="right"/>
            </w:pPr>
          </w:p>
        </w:tc>
        <w:tc>
          <w:tcPr>
            <w:tcW w:w="1067" w:type="pct"/>
          </w:tcPr>
          <w:p w14:paraId="22EE95B3">
            <w:pPr>
              <w:jc w:val="right"/>
            </w:pPr>
          </w:p>
        </w:tc>
      </w:tr>
      <w:tr w14:paraId="2EC0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141E013E">
            <w:pPr>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处置</w:t>
            </w:r>
          </w:p>
        </w:tc>
        <w:tc>
          <w:tcPr>
            <w:tcW w:w="882" w:type="pct"/>
          </w:tcPr>
          <w:p w14:paraId="5E226C62">
            <w:pPr>
              <w:jc w:val="right"/>
            </w:pPr>
          </w:p>
        </w:tc>
        <w:tc>
          <w:tcPr>
            <w:tcW w:w="884" w:type="pct"/>
          </w:tcPr>
          <w:p w14:paraId="69A4C2AB">
            <w:pPr>
              <w:jc w:val="right"/>
            </w:pPr>
          </w:p>
        </w:tc>
        <w:tc>
          <w:tcPr>
            <w:tcW w:w="963" w:type="pct"/>
          </w:tcPr>
          <w:p w14:paraId="70CCF681">
            <w:pPr>
              <w:jc w:val="right"/>
            </w:pPr>
          </w:p>
        </w:tc>
        <w:tc>
          <w:tcPr>
            <w:tcW w:w="1067" w:type="pct"/>
          </w:tcPr>
          <w:p w14:paraId="0219B1A5">
            <w:pPr>
              <w:jc w:val="right"/>
            </w:pPr>
          </w:p>
        </w:tc>
      </w:tr>
      <w:tr w14:paraId="7731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6DF6817F">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期末余额</w:t>
            </w:r>
          </w:p>
        </w:tc>
        <w:tc>
          <w:tcPr>
            <w:tcW w:w="882" w:type="pct"/>
          </w:tcPr>
          <w:p w14:paraId="24D2CC8A">
            <w:pPr>
              <w:jc w:val="right"/>
            </w:pPr>
          </w:p>
        </w:tc>
        <w:tc>
          <w:tcPr>
            <w:tcW w:w="884" w:type="pct"/>
          </w:tcPr>
          <w:p w14:paraId="45FD9716">
            <w:pPr>
              <w:jc w:val="right"/>
            </w:pPr>
          </w:p>
        </w:tc>
        <w:tc>
          <w:tcPr>
            <w:tcW w:w="963" w:type="pct"/>
          </w:tcPr>
          <w:p w14:paraId="2C99EF60">
            <w:pPr>
              <w:jc w:val="right"/>
            </w:pPr>
          </w:p>
        </w:tc>
        <w:tc>
          <w:tcPr>
            <w:tcW w:w="1067" w:type="pct"/>
          </w:tcPr>
          <w:p w14:paraId="2880FB2F">
            <w:pPr>
              <w:jc w:val="right"/>
            </w:pPr>
          </w:p>
        </w:tc>
      </w:tr>
      <w:tr w14:paraId="7520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sdt>
          <w:sdtPr>
            <w:tag w:val="_PLD_77aceef1b70d43c0846f7e8f529b7784"/>
            <w:id w:val="205850977"/>
          </w:sdtPr>
          <w:sdtContent>
            <w:tc>
              <w:tcPr>
                <w:tcW w:w="5000" w:type="pct"/>
                <w:gridSpan w:val="5"/>
                <w:vAlign w:val="center"/>
              </w:tcPr>
              <w:p w14:paraId="30EFA884">
                <w:pPr>
                  <w:rPr>
                    <w:color w:val="000000" w:themeColor="text1"/>
                    <w14:textFill>
                      <w14:solidFill>
                        <w14:schemeClr w14:val="tx1"/>
                      </w14:solidFill>
                    </w14:textFill>
                  </w:rPr>
                </w:pPr>
                <w:r>
                  <w:rPr>
                    <w:color w:val="000000" w:themeColor="text1"/>
                    <w14:textFill>
                      <w14:solidFill>
                        <w14:schemeClr w14:val="tx1"/>
                      </w14:solidFill>
                    </w14:textFill>
                  </w:rPr>
                  <w:t>四、账面价值</w:t>
                </w:r>
              </w:p>
            </w:tc>
          </w:sdtContent>
        </w:sdt>
      </w:tr>
      <w:tr w14:paraId="5ABF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014120DF">
            <w:pPr>
              <w:rPr>
                <w:color w:val="000000" w:themeColor="text1"/>
                <w14:textFill>
                  <w14:solidFill>
                    <w14:schemeClr w14:val="tx1"/>
                  </w14:solidFill>
                </w14:textFill>
              </w:rPr>
            </w:pPr>
            <w:r>
              <w:rPr>
                <w:color w:val="000000" w:themeColor="text1"/>
                <w14:textFill>
                  <w14:solidFill>
                    <w14:schemeClr w14:val="tx1"/>
                  </w14:solidFill>
                </w14:textFill>
              </w:rPr>
              <w:t>1.期末账面价值</w:t>
            </w:r>
          </w:p>
        </w:tc>
        <w:tc>
          <w:tcPr>
            <w:tcW w:w="882" w:type="pct"/>
          </w:tcPr>
          <w:p w14:paraId="3A96B319">
            <w:pPr>
              <w:jc w:val="right"/>
            </w:pPr>
            <w:r>
              <w:t>127,124,786.76</w:t>
            </w:r>
          </w:p>
        </w:tc>
        <w:tc>
          <w:tcPr>
            <w:tcW w:w="884" w:type="pct"/>
          </w:tcPr>
          <w:p w14:paraId="4261A6BE">
            <w:pPr>
              <w:jc w:val="right"/>
            </w:pPr>
            <w:r>
              <w:t>712,280.13</w:t>
            </w:r>
          </w:p>
        </w:tc>
        <w:tc>
          <w:tcPr>
            <w:tcW w:w="963" w:type="pct"/>
          </w:tcPr>
          <w:p w14:paraId="3746921A">
            <w:pPr>
              <w:jc w:val="right"/>
            </w:pPr>
            <w:r>
              <w:t>1,223,111,580.35</w:t>
            </w:r>
          </w:p>
        </w:tc>
        <w:tc>
          <w:tcPr>
            <w:tcW w:w="1067" w:type="pct"/>
          </w:tcPr>
          <w:p w14:paraId="295FC970">
            <w:pPr>
              <w:jc w:val="right"/>
            </w:pPr>
            <w:r>
              <w:t>1,350,948,647.24</w:t>
            </w:r>
          </w:p>
        </w:tc>
      </w:tr>
      <w:tr w14:paraId="219D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4" w:type="pct"/>
            <w:vAlign w:val="center"/>
          </w:tcPr>
          <w:p w14:paraId="00A84FFA">
            <w:pPr>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期初</w:t>
            </w:r>
            <w:r>
              <w:rPr>
                <w:color w:val="000000" w:themeColor="text1"/>
                <w14:textFill>
                  <w14:solidFill>
                    <w14:schemeClr w14:val="tx1"/>
                  </w14:solidFill>
                </w14:textFill>
              </w:rPr>
              <w:t>账面价值</w:t>
            </w:r>
          </w:p>
        </w:tc>
        <w:tc>
          <w:tcPr>
            <w:tcW w:w="882" w:type="pct"/>
          </w:tcPr>
          <w:p w14:paraId="5410D26E">
            <w:pPr>
              <w:jc w:val="right"/>
            </w:pPr>
            <w:r>
              <w:t>131,183,366.85</w:t>
            </w:r>
          </w:p>
        </w:tc>
        <w:tc>
          <w:tcPr>
            <w:tcW w:w="884" w:type="pct"/>
          </w:tcPr>
          <w:p w14:paraId="2465B109">
            <w:pPr>
              <w:jc w:val="right"/>
            </w:pPr>
            <w:r>
              <w:t>743,023.41</w:t>
            </w:r>
          </w:p>
        </w:tc>
        <w:tc>
          <w:tcPr>
            <w:tcW w:w="963" w:type="pct"/>
          </w:tcPr>
          <w:p w14:paraId="6C457ADC">
            <w:pPr>
              <w:jc w:val="right"/>
            </w:pPr>
            <w:r>
              <w:t>1,033,779,788.27</w:t>
            </w:r>
          </w:p>
        </w:tc>
        <w:tc>
          <w:tcPr>
            <w:tcW w:w="1067" w:type="pct"/>
          </w:tcPr>
          <w:p w14:paraId="40874CE6">
            <w:pPr>
              <w:jc w:val="right"/>
            </w:pPr>
            <w:r>
              <w:t>1,165,706,178.53</w:t>
            </w:r>
          </w:p>
        </w:tc>
      </w:tr>
    </w:tbl>
    <w:p w14:paraId="3FD4ADF4"/>
    <w:p w14:paraId="3FFDF7F2">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本期末通过公司内部研发形成的无形资产占无形资产余额的比例</w:t>
      </w:r>
      <w:sdt>
        <w:sdtPr>
          <w:rPr>
            <w:color w:val="000000" w:themeColor="text1"/>
            <w14:textFill>
              <w14:solidFill>
                <w14:schemeClr w14:val="tx1"/>
              </w14:solidFill>
            </w14:textFill>
          </w:rPr>
          <w:alias w:val="通过公司内部研发形成的无形资产占无形资产账面价值的比例"/>
          <w:tag w:val="_GBC_4eb0f3140a674bd1899e2bd836d51bbb"/>
          <w:id w:val="425236176"/>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0.00</w:t>
          </w:r>
        </w:sdtContent>
      </w:sdt>
      <w:r>
        <w:rPr>
          <w:rFonts w:hint="eastAsia"/>
          <w:color w:val="000000" w:themeColor="text1"/>
          <w14:textFill>
            <w14:solidFill>
              <w14:schemeClr w14:val="tx1"/>
            </w14:solidFill>
          </w14:textFill>
        </w:rPr>
        <w:t>%</w:t>
      </w:r>
    </w:p>
    <w:p w14:paraId="0D1DC7AC">
      <w:pPr>
        <w:snapToGrid w:val="0"/>
        <w:spacing w:line="240" w:lineRule="atLeast"/>
        <w:rPr>
          <w:color w:val="000000" w:themeColor="text1"/>
          <w14:textFill>
            <w14:solidFill>
              <w14:schemeClr w14:val="tx1"/>
            </w14:solidFill>
          </w14:textFill>
        </w:rPr>
      </w:pPr>
    </w:p>
    <w:p w14:paraId="4A81D345">
      <w:pPr>
        <w:pStyle w:val="5"/>
        <w:numPr>
          <w:ilvl w:val="0"/>
          <w:numId w:val="74"/>
        </w:numPr>
        <w:tabs>
          <w:tab w:val="left" w:pos="602"/>
        </w:tabs>
        <w:rPr>
          <w:rFonts w:hint="eastAsia" w:ascii="宋体" w:hAnsi="宋体"/>
          <w:color w:val="000000" w:themeColor="text1"/>
          <w:szCs w:val="21"/>
          <w14:textFill>
            <w14:solidFill>
              <w14:schemeClr w14:val="tx1"/>
            </w14:solidFill>
          </w14:textFill>
        </w:rPr>
      </w:pPr>
      <w:bookmarkStart w:id="309" w:name="_Hlk169705970"/>
      <w:r>
        <w:rPr>
          <w:rFonts w:hint="eastAsia" w:ascii="宋体" w:hAnsi="宋体"/>
          <w:color w:val="000000" w:themeColor="text1"/>
          <w:szCs w:val="21"/>
          <w14:textFill>
            <w14:solidFill>
              <w14:schemeClr w14:val="tx1"/>
            </w14:solidFill>
          </w14:textFill>
        </w:rPr>
        <w:t>确认为无形资产的数据资源</w:t>
      </w:r>
    </w:p>
    <w:sdt>
      <w:sdtPr>
        <w:rPr>
          <w:color w:val="000000" w:themeColor="text1"/>
          <w14:textFill>
            <w14:solidFill>
              <w14:schemeClr w14:val="tx1"/>
            </w14:solidFill>
          </w14:textFill>
        </w:rPr>
        <w:alias w:val="是否适用：确认为无形资产的数据资源[双击切换]"/>
        <w:tag w:val="_GBC_69d13d4234a148729542b163082d1cd0"/>
        <w:id w:val="455456789"/>
        <w:placeholder>
          <w:docPart w:val="GBC22222222222222222222222222222"/>
        </w:placeholder>
      </w:sdtPr>
      <w:sdtEndPr>
        <w:rPr>
          <w:color w:val="000000" w:themeColor="text1"/>
          <w14:textFill>
            <w14:solidFill>
              <w14:schemeClr w14:val="tx1"/>
            </w14:solidFill>
          </w14:textFill>
        </w:rPr>
      </w:sdtEndPr>
      <w:sdtContent>
        <w:p w14:paraId="7192EA5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C16C21F">
      <w:pPr>
        <w:snapToGrid w:val="0"/>
        <w:spacing w:line="240" w:lineRule="atLeast"/>
        <w:rPr>
          <w:color w:val="000000" w:themeColor="text1"/>
          <w14:textFill>
            <w14:solidFill>
              <w14:schemeClr w14:val="tx1"/>
            </w14:solidFill>
          </w14:textFill>
        </w:rPr>
      </w:pPr>
    </w:p>
    <w:p w14:paraId="3021D2BD">
      <w:pPr>
        <w:snapToGrid w:val="0"/>
        <w:spacing w:line="240" w:lineRule="atLeast"/>
        <w:rPr>
          <w:color w:val="000000" w:themeColor="text1"/>
          <w14:textFill>
            <w14:solidFill>
              <w14:schemeClr w14:val="tx1"/>
            </w14:solidFill>
          </w14:textFill>
        </w:rPr>
      </w:pPr>
    </w:p>
    <w:bookmarkEnd w:id="309"/>
    <w:p w14:paraId="1C9E6E56">
      <w:pPr>
        <w:pStyle w:val="5"/>
        <w:numPr>
          <w:ilvl w:val="0"/>
          <w:numId w:val="74"/>
        </w:numPr>
        <w:tabs>
          <w:tab w:val="left" w:pos="602"/>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未办妥产权证书的土地使用权情况</w:t>
      </w:r>
    </w:p>
    <w:sdt>
      <w:sdtPr>
        <w:rPr>
          <w:color w:val="000000" w:themeColor="text1"/>
          <w14:textFill>
            <w14:solidFill>
              <w14:schemeClr w14:val="tx1"/>
            </w14:solidFill>
          </w14:textFill>
        </w:rPr>
        <w:alias w:val="是否适用：未办妥产权证书的土地使用权情况[双击切换]"/>
        <w:tag w:val="_GBC_e8ff0641401a44f19fe64ad31dc15c58"/>
        <w:id w:val="681630683"/>
        <w:placeholder>
          <w:docPart w:val="GBC22222222222222222222222222222"/>
        </w:placeholder>
      </w:sdtPr>
      <w:sdtEndPr>
        <w:rPr>
          <w:color w:val="000000" w:themeColor="text1"/>
          <w14:textFill>
            <w14:solidFill>
              <w14:schemeClr w14:val="tx1"/>
            </w14:solidFill>
          </w14:textFill>
        </w:rPr>
      </w:sdtEndPr>
      <w:sdtContent>
        <w:p w14:paraId="074A1AE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263AC67">
      <w:pPr>
        <w:rPr>
          <w:color w:val="000000" w:themeColor="text1"/>
          <w14:textFill>
            <w14:solidFill>
              <w14:schemeClr w14:val="tx1"/>
            </w14:solidFill>
          </w14:textFill>
        </w:rPr>
      </w:pPr>
    </w:p>
    <w:p w14:paraId="40F64D9B">
      <w:pPr>
        <w:pStyle w:val="5"/>
        <w:numPr>
          <w:ilvl w:val="0"/>
          <w:numId w:val="74"/>
        </w:numPr>
        <w:tabs>
          <w:tab w:val="left" w:pos="602"/>
        </w:tabs>
        <w:rPr>
          <w:rFonts w:hint="eastAsia" w:ascii="宋体" w:hAnsi="宋体" w:cs="宋体"/>
          <w:color w:val="000000" w:themeColor="text1"/>
          <w:kern w:val="0"/>
          <w:szCs w:val="21"/>
          <w14:textFill>
            <w14:solidFill>
              <w14:schemeClr w14:val="tx1"/>
            </w14:solidFill>
          </w14:textFill>
        </w:rPr>
      </w:pPr>
      <w:bookmarkStart w:id="310" w:name="_Hlk167959697"/>
      <w:bookmarkStart w:id="311" w:name="_Hlk153461844"/>
      <w:r>
        <w:rPr>
          <w:rFonts w:hint="eastAsia" w:ascii="宋体" w:hAnsi="宋体" w:cs="宋体"/>
          <w:color w:val="000000" w:themeColor="text1"/>
          <w:kern w:val="0"/>
          <w:szCs w:val="21"/>
          <w14:textFill>
            <w14:solidFill>
              <w14:schemeClr w14:val="tx1"/>
            </w14:solidFill>
          </w14:textFill>
        </w:rPr>
        <w:t>无形资产的减值测试情况</w:t>
      </w:r>
    </w:p>
    <w:sdt>
      <w:sdtPr>
        <w:rPr>
          <w:color w:val="000000" w:themeColor="text1"/>
          <w14:textFill>
            <w14:solidFill>
              <w14:schemeClr w14:val="tx1"/>
            </w14:solidFill>
          </w14:textFill>
        </w:rPr>
        <w:alias w:val="是否适用：减值测试情况[双击切换]"/>
        <w:tag w:val="_GBC_6523dfc219a7467fb60857d0ff4fbd37"/>
        <w:id w:val="191734529"/>
        <w:placeholder>
          <w:docPart w:val="GBC22222222222222222222222222222"/>
        </w:placeholder>
      </w:sdtPr>
      <w:sdtEndPr>
        <w:rPr>
          <w:color w:val="000000" w:themeColor="text1"/>
          <w14:textFill>
            <w14:solidFill>
              <w14:schemeClr w14:val="tx1"/>
            </w14:solidFill>
          </w14:textFill>
        </w:rPr>
      </w:sdtEndPr>
      <w:sdtContent>
        <w:p w14:paraId="440C16A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6256DBE">
      <w:pPr>
        <w:rPr>
          <w:color w:val="000000" w:themeColor="text1"/>
          <w14:textFill>
            <w14:solidFill>
              <w14:schemeClr w14:val="tx1"/>
            </w14:solidFill>
          </w14:textFill>
        </w:rPr>
      </w:pPr>
    </w:p>
    <w:p w14:paraId="04EFE772">
      <w:pPr>
        <w:snapToGrid w:val="0"/>
        <w:spacing w:line="240" w:lineRule="atLeast"/>
        <w:rPr>
          <w:color w:val="000000" w:themeColor="text1"/>
          <w14:textFill>
            <w14:solidFill>
              <w14:schemeClr w14:val="tx1"/>
            </w14:solidFill>
          </w14:textFill>
        </w:rPr>
      </w:pPr>
    </w:p>
    <w:bookmarkEnd w:id="310"/>
    <w:bookmarkEnd w:id="311"/>
    <w:p w14:paraId="028EB697">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无形资产的说明[双击切换]"/>
        <w:tag w:val="_GBC_dc3c687f3c2c457e9024304c14129458"/>
        <w:id w:val="1164816632"/>
        <w:placeholder>
          <w:docPart w:val="GBC22222222222222222222222222222"/>
        </w:placeholder>
      </w:sdtPr>
      <w:sdtEndPr>
        <w:rPr>
          <w:color w:val="000000" w:themeColor="text1"/>
          <w14:textFill>
            <w14:solidFill>
              <w14:schemeClr w14:val="tx1"/>
            </w14:solidFill>
          </w14:textFill>
        </w:rPr>
      </w:sdtEndPr>
      <w:sdtContent>
        <w:p w14:paraId="37FF7ED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无形资产的说明"/>
        <w:tag w:val="_GBC_1f281f7116944d4bacd2204d25895376"/>
        <w:id w:val="-2075808018"/>
        <w:placeholder>
          <w:docPart w:val="GBC22222222222222222222222222222"/>
        </w:placeholder>
      </w:sdtPr>
      <w:sdtEndPr>
        <w:rPr>
          <w:color w:val="000000" w:themeColor="text1"/>
          <w14:textFill>
            <w14:solidFill>
              <w14:schemeClr w14:val="tx1"/>
            </w14:solidFill>
          </w14:textFill>
        </w:rPr>
      </w:sdtEndPr>
      <w:sdtContent>
        <w:p w14:paraId="286AC763">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公司报告期内没有通过内部研发形成的无形资产，报告期末亦没有列入无形资产的研究开发项目。</w:t>
          </w:r>
        </w:p>
        <w:p w14:paraId="5FB202F4">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公司报告期内无形资产未发生减值情况，故未计提减值准备。</w:t>
          </w:r>
        </w:p>
      </w:sdtContent>
    </w:sdt>
    <w:p w14:paraId="4B283D5B">
      <w:pPr>
        <w:snapToGrid w:val="0"/>
        <w:spacing w:line="240" w:lineRule="atLeast"/>
        <w:rPr>
          <w:color w:val="000000" w:themeColor="text1"/>
          <w14:textFill>
            <w14:solidFill>
              <w14:schemeClr w14:val="tx1"/>
            </w14:solidFill>
          </w14:textFill>
        </w:rPr>
      </w:pPr>
    </w:p>
    <w:p w14:paraId="61C6A96B">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商誉</w:t>
      </w:r>
    </w:p>
    <w:p w14:paraId="1D5E5427">
      <w:pPr>
        <w:pStyle w:val="5"/>
        <w:numPr>
          <w:ilvl w:val="0"/>
          <w:numId w:val="75"/>
        </w:numPr>
        <w:tabs>
          <w:tab w:val="left" w:pos="588"/>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商誉账面原值</w:t>
      </w:r>
    </w:p>
    <w:sdt>
      <w:sdtPr>
        <w:rPr>
          <w:color w:val="000000" w:themeColor="text1"/>
          <w14:textFill>
            <w14:solidFill>
              <w14:schemeClr w14:val="tx1"/>
            </w14:solidFill>
          </w14:textFill>
        </w:rPr>
        <w:alias w:val="是否适用：商誉账面原值[双击切换]"/>
        <w:tag w:val="_GBC_e2a869d440cf4b7f9f592f3e22cea85d"/>
        <w:id w:val="1455300380"/>
        <w:placeholder>
          <w:docPart w:val="GBC22222222222222222222222222222"/>
        </w:placeholder>
      </w:sdtPr>
      <w:sdtEndPr>
        <w:rPr>
          <w:color w:val="000000" w:themeColor="text1"/>
          <w14:textFill>
            <w14:solidFill>
              <w14:schemeClr w14:val="tx1"/>
            </w14:solidFill>
          </w14:textFill>
        </w:rPr>
      </w:sdtEndPr>
      <w:sdtContent>
        <w:p w14:paraId="0D9F399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4426A8E">
      <w:pPr>
        <w:rPr>
          <w:color w:val="000000" w:themeColor="text1"/>
          <w14:textFill>
            <w14:solidFill>
              <w14:schemeClr w14:val="tx1"/>
            </w14:solidFill>
          </w14:textFill>
        </w:rPr>
      </w:pPr>
    </w:p>
    <w:p w14:paraId="3070D555">
      <w:pPr>
        <w:pStyle w:val="5"/>
        <w:numPr>
          <w:ilvl w:val="0"/>
          <w:numId w:val="75"/>
        </w:numPr>
        <w:tabs>
          <w:tab w:val="left" w:pos="588"/>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商誉减值准备</w:t>
      </w:r>
    </w:p>
    <w:sdt>
      <w:sdtPr>
        <w:rPr>
          <w:color w:val="000000" w:themeColor="text1"/>
          <w14:textFill>
            <w14:solidFill>
              <w14:schemeClr w14:val="tx1"/>
            </w14:solidFill>
          </w14:textFill>
        </w:rPr>
        <w:alias w:val="是否适用：商誉减值准备[双击切换]"/>
        <w:tag w:val="_GBC_743c9a20b5c043668f28664eb36decf8"/>
        <w:id w:val="-1093404584"/>
        <w:placeholder>
          <w:docPart w:val="GBC22222222222222222222222222222"/>
        </w:placeholder>
      </w:sdtPr>
      <w:sdtEndPr>
        <w:rPr>
          <w:color w:val="000000" w:themeColor="text1"/>
          <w14:textFill>
            <w14:solidFill>
              <w14:schemeClr w14:val="tx1"/>
            </w14:solidFill>
          </w14:textFill>
        </w:rPr>
      </w:sdtEndPr>
      <w:sdtContent>
        <w:p w14:paraId="428C7B7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0F6AD83">
      <w:pPr>
        <w:rPr>
          <w:color w:val="000000" w:themeColor="text1"/>
          <w14:textFill>
            <w14:solidFill>
              <w14:schemeClr w14:val="tx1"/>
            </w14:solidFill>
          </w14:textFill>
        </w:rPr>
      </w:pPr>
    </w:p>
    <w:p w14:paraId="22691461">
      <w:pPr>
        <w:pStyle w:val="5"/>
        <w:numPr>
          <w:ilvl w:val="0"/>
          <w:numId w:val="75"/>
        </w:numPr>
        <w:tabs>
          <w:tab w:val="left" w:pos="588"/>
        </w:tabs>
        <w:rPr>
          <w:rFonts w:hint="eastAsia" w:ascii="宋体" w:hAnsi="宋体" w:cs="宋体"/>
          <w:color w:val="000000" w:themeColor="text1"/>
          <w:kern w:val="0"/>
          <w:szCs w:val="24"/>
          <w14:textFill>
            <w14:solidFill>
              <w14:schemeClr w14:val="tx1"/>
            </w14:solidFill>
          </w14:textFill>
        </w:rPr>
      </w:pPr>
      <w:bookmarkStart w:id="312" w:name="_Hlk167959929"/>
      <w:r>
        <w:rPr>
          <w:rFonts w:hint="eastAsia" w:ascii="宋体" w:hAnsi="宋体" w:cs="宋体"/>
          <w:color w:val="000000" w:themeColor="text1"/>
          <w:kern w:val="0"/>
          <w:szCs w:val="24"/>
          <w14:textFill>
            <w14:solidFill>
              <w14:schemeClr w14:val="tx1"/>
            </w14:solidFill>
          </w14:textFill>
        </w:rPr>
        <w:t>商誉所在资产组或资产组组合的相关信息</w:t>
      </w:r>
    </w:p>
    <w:sdt>
      <w:sdtPr>
        <w:rPr>
          <w:rFonts w:hint="eastAsia"/>
          <w:color w:val="000000" w:themeColor="text1"/>
          <w14:textFill>
            <w14:solidFill>
              <w14:schemeClr w14:val="tx1"/>
            </w14:solidFill>
          </w14:textFill>
        </w:rPr>
        <w:alias w:val="是否适用：商誉所在资产组或资产组组合的相关信息[双击切换]"/>
        <w:tag w:val="_GBC_3010fdfa06fe41c1b1d500ed6edace89"/>
        <w:id w:val="-779106856"/>
        <w:placeholder>
          <w:docPart w:val="GBC22222222222222222222222222222"/>
        </w:placeholder>
      </w:sdtPr>
      <w:sdtEndPr>
        <w:rPr>
          <w:rFonts w:hint="eastAsia"/>
          <w:color w:val="000000" w:themeColor="text1"/>
          <w14:textFill>
            <w14:solidFill>
              <w14:schemeClr w14:val="tx1"/>
            </w14:solidFill>
          </w14:textFill>
        </w:rPr>
      </w:sdtEndPr>
      <w:sdtContent>
        <w:p w14:paraId="223F536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4FA55CF">
      <w:pPr>
        <w:rPr>
          <w:color w:val="000000" w:themeColor="text1"/>
          <w14:textFill>
            <w14:solidFill>
              <w14:schemeClr w14:val="tx1"/>
            </w14:solidFill>
          </w14:textFill>
        </w:rPr>
      </w:pPr>
    </w:p>
    <w:p w14:paraId="726E9550">
      <w:pPr>
        <w:rPr>
          <w:color w:val="000000" w:themeColor="text1"/>
          <w14:textFill>
            <w14:solidFill>
              <w14:schemeClr w14:val="tx1"/>
            </w14:solidFill>
          </w14:textFill>
        </w:rPr>
      </w:pPr>
      <w:bookmarkStart w:id="313" w:name="_Hlk153462880"/>
      <w:r>
        <w:rPr>
          <w:rFonts w:hint="eastAsia"/>
          <w:color w:val="000000" w:themeColor="text1"/>
          <w14:textFill>
            <w14:solidFill>
              <w14:schemeClr w14:val="tx1"/>
            </w14:solidFill>
          </w14:textFill>
        </w:rPr>
        <w:t>资产组或资产组组合发生变化</w:t>
      </w:r>
    </w:p>
    <w:sdt>
      <w:sdtPr>
        <w:rPr>
          <w:color w:val="000000" w:themeColor="text1"/>
          <w14:textFill>
            <w14:solidFill>
              <w14:schemeClr w14:val="tx1"/>
            </w14:solidFill>
          </w14:textFill>
        </w:rPr>
        <w:alias w:val="是否适用：资产组或资产组组合发生变化[双击切换]"/>
        <w:tag w:val="_GBC_7123d6208cbb4b6a9f652548afdc778a"/>
        <w:id w:val="978500243"/>
        <w:placeholder>
          <w:docPart w:val="GBC22222222222222222222222222222"/>
        </w:placeholder>
      </w:sdtPr>
      <w:sdtEndPr>
        <w:rPr>
          <w:color w:val="000000" w:themeColor="text1"/>
          <w14:textFill>
            <w14:solidFill>
              <w14:schemeClr w14:val="tx1"/>
            </w14:solidFill>
          </w14:textFill>
        </w:rPr>
      </w:sdtEndPr>
      <w:sdtContent>
        <w:p w14:paraId="44190F9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E494EDF">
      <w:pPr>
        <w:rPr>
          <w:color w:val="000000" w:themeColor="text1"/>
          <w14:textFill>
            <w14:solidFill>
              <w14:schemeClr w14:val="tx1"/>
            </w14:solidFill>
          </w14:textFill>
        </w:rPr>
      </w:pPr>
    </w:p>
    <w:bookmarkEnd w:id="313"/>
    <w:p w14:paraId="10785027">
      <w:pPr>
        <w:rPr>
          <w:color w:val="000000" w:themeColor="text1"/>
          <w14:textFill>
            <w14:solidFill>
              <w14:schemeClr w14:val="tx1"/>
            </w14:solidFill>
          </w14:textFill>
        </w:rPr>
      </w:pPr>
      <w:bookmarkStart w:id="314" w:name="_Hlk152948734"/>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商誉所在资产组或资产组组合的相关信息其他说明[双击切换]"/>
        <w:tag w:val="_GBC_ffeac5265704403bb47e0eefe5c2d04e"/>
        <w:id w:val="-1104576228"/>
        <w:placeholder>
          <w:docPart w:val="GBC22222222222222222222222222222"/>
        </w:placeholder>
      </w:sdtPr>
      <w:sdtEndPr>
        <w:rPr>
          <w:color w:val="000000" w:themeColor="text1"/>
          <w14:textFill>
            <w14:solidFill>
              <w14:schemeClr w14:val="tx1"/>
            </w14:solidFill>
          </w14:textFill>
        </w:rPr>
      </w:sdtEndPr>
      <w:sdtContent>
        <w:p w14:paraId="25B41BF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314"/>
    <w:p w14:paraId="09A19A97">
      <w:pPr>
        <w:rPr>
          <w:color w:val="000000" w:themeColor="text1"/>
          <w14:textFill>
            <w14:solidFill>
              <w14:schemeClr w14:val="tx1"/>
            </w14:solidFill>
          </w14:textFill>
        </w:rPr>
      </w:pPr>
    </w:p>
    <w:p w14:paraId="17B44DC0">
      <w:pPr>
        <w:pStyle w:val="5"/>
        <w:numPr>
          <w:ilvl w:val="0"/>
          <w:numId w:val="75"/>
        </w:numPr>
        <w:tabs>
          <w:tab w:val="left" w:pos="588"/>
        </w:tabs>
        <w:rPr>
          <w:rFonts w:hint="eastAsia"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可收回金额的具体确定方法</w:t>
      </w:r>
    </w:p>
    <w:p w14:paraId="7B178FBF">
      <w:pPr>
        <w:rPr>
          <w:color w:val="000000" w:themeColor="text1"/>
          <w14:textFill>
            <w14:solidFill>
              <w14:schemeClr w14:val="tx1"/>
            </w14:solidFill>
          </w14:textFill>
        </w:rPr>
      </w:pPr>
      <w:bookmarkStart w:id="315" w:name="_Hlk153463075"/>
      <w:r>
        <w:rPr>
          <w:rFonts w:hint="eastAsia"/>
          <w:color w:val="000000" w:themeColor="text1"/>
          <w14:textFill>
            <w14:solidFill>
              <w14:schemeClr w14:val="tx1"/>
            </w14:solidFill>
          </w14:textFill>
        </w:rPr>
        <w:t>可收回金额按公允价值减去处置费用后的净额确定</w:t>
      </w:r>
    </w:p>
    <w:sdt>
      <w:sdtPr>
        <w:rPr>
          <w:color w:val="000000" w:themeColor="text1"/>
          <w14:textFill>
            <w14:solidFill>
              <w14:schemeClr w14:val="tx1"/>
            </w14:solidFill>
          </w14:textFill>
        </w:rPr>
        <w:alias w:val="是否适用：可收回金额按公允价值减去处置费用后的净额确定[双击切换]"/>
        <w:tag w:val="_GBC_c14479181df74e309ba619055f328f4b"/>
        <w:id w:val="-1068186270"/>
        <w:placeholder>
          <w:docPart w:val="GBC22222222222222222222222222222"/>
        </w:placeholder>
      </w:sdtPr>
      <w:sdtEndPr>
        <w:rPr>
          <w:color w:val="000000" w:themeColor="text1"/>
          <w14:textFill>
            <w14:solidFill>
              <w14:schemeClr w14:val="tx1"/>
            </w14:solidFill>
          </w14:textFill>
        </w:rPr>
      </w:sdtEndPr>
      <w:sdtContent>
        <w:p w14:paraId="15D05BB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7CC08B1">
      <w:pPr>
        <w:rPr>
          <w:color w:val="000000" w:themeColor="text1"/>
          <w14:textFill>
            <w14:solidFill>
              <w14:schemeClr w14:val="tx1"/>
            </w14:solidFill>
          </w14:textFill>
        </w:rPr>
      </w:pPr>
    </w:p>
    <w:p w14:paraId="755C0134">
      <w:pPr>
        <w:rPr>
          <w:color w:val="000000" w:themeColor="text1"/>
          <w14:textFill>
            <w14:solidFill>
              <w14:schemeClr w14:val="tx1"/>
            </w14:solidFill>
          </w14:textFill>
        </w:rPr>
      </w:pPr>
      <w:r>
        <w:rPr>
          <w:rFonts w:hint="eastAsia"/>
          <w:color w:val="000000" w:themeColor="text1"/>
          <w14:textFill>
            <w14:solidFill>
              <w14:schemeClr w14:val="tx1"/>
            </w14:solidFill>
          </w14:textFill>
        </w:rPr>
        <w:t>可收回金额按预计未来现金流量的现值确定</w:t>
      </w:r>
    </w:p>
    <w:sdt>
      <w:sdtPr>
        <w:rPr>
          <w:rFonts w:hint="eastAsia"/>
          <w:color w:val="000000" w:themeColor="text1"/>
          <w14:textFill>
            <w14:solidFill>
              <w14:schemeClr w14:val="tx1"/>
            </w14:solidFill>
          </w14:textFill>
        </w:rPr>
        <w:alias w:val="是否适用：可收回金额按预计未来现金流量的现值确定[双击切换]"/>
        <w:tag w:val="_GBC_775cb3824be54e48866a569883927f9d"/>
        <w:id w:val="1870645096"/>
        <w:placeholder>
          <w:docPart w:val="GBC22222222222222222222222222222"/>
        </w:placeholder>
      </w:sdtPr>
      <w:sdtEndPr>
        <w:rPr>
          <w:rFonts w:hint="eastAsia"/>
          <w:color w:val="000000" w:themeColor="text1"/>
          <w14:textFill>
            <w14:solidFill>
              <w14:schemeClr w14:val="tx1"/>
            </w14:solidFill>
          </w14:textFill>
        </w:rPr>
      </w:sdtEndPr>
      <w:sdtContent>
        <w:p w14:paraId="508DCD0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9BCF556">
      <w:pPr>
        <w:rPr>
          <w:color w:val="000000" w:themeColor="text1"/>
          <w14:textFill>
            <w14:solidFill>
              <w14:schemeClr w14:val="tx1"/>
            </w14:solidFill>
          </w14:textFill>
        </w:rPr>
      </w:pPr>
    </w:p>
    <w:p w14:paraId="6AFFBFF6">
      <w:pPr>
        <w:rPr>
          <w:color w:val="000000" w:themeColor="text1"/>
          <w14:textFill>
            <w14:solidFill>
              <w14:schemeClr w14:val="tx1"/>
            </w14:solidFill>
          </w14:textFill>
        </w:rPr>
      </w:pPr>
      <w:r>
        <w:rPr>
          <w:rFonts w:hint="eastAsia"/>
          <w:color w:val="000000" w:themeColor="text1"/>
          <w14:textFill>
            <w14:solidFill>
              <w14:schemeClr w14:val="tx1"/>
            </w14:solidFill>
          </w14:textFill>
        </w:rPr>
        <w:t>前述信息与以前年度减值测试采用的信息或外部信息明显不一致的差异原因</w:t>
      </w:r>
    </w:p>
    <w:sdt>
      <w:sdtPr>
        <w:rPr>
          <w:color w:val="000000" w:themeColor="text1"/>
          <w14:textFill>
            <w14:solidFill>
              <w14:schemeClr w14:val="tx1"/>
            </w14:solidFill>
          </w14:textFill>
        </w:rPr>
        <w:alias w:val="是否适用：前述信息与以前年度减值测试采用的信息或外部信息明显不一致的差异原因[双击切换]"/>
        <w:tag w:val="_GBC_345565131261427b821f225ca476b7f0"/>
        <w:id w:val="600532635"/>
        <w:placeholder>
          <w:docPart w:val="GBC22222222222222222222222222222"/>
        </w:placeholder>
      </w:sdtPr>
      <w:sdtEndPr>
        <w:rPr>
          <w:color w:val="000000" w:themeColor="text1"/>
          <w14:textFill>
            <w14:solidFill>
              <w14:schemeClr w14:val="tx1"/>
            </w14:solidFill>
          </w14:textFill>
        </w:rPr>
      </w:sdtEndPr>
      <w:sdtContent>
        <w:p w14:paraId="366AF7F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0B75DD3">
      <w:pPr>
        <w:snapToGrid w:val="0"/>
        <w:spacing w:line="240" w:lineRule="atLeast"/>
        <w:rPr>
          <w:color w:val="000000" w:themeColor="text1"/>
          <w14:textFill>
            <w14:solidFill>
              <w14:schemeClr w14:val="tx1"/>
            </w14:solidFill>
          </w14:textFill>
        </w:rPr>
      </w:pPr>
    </w:p>
    <w:p w14:paraId="5597501A">
      <w:pPr>
        <w:rPr>
          <w:color w:val="000000" w:themeColor="text1"/>
          <w14:textFill>
            <w14:solidFill>
              <w14:schemeClr w14:val="tx1"/>
            </w14:solidFill>
          </w14:textFill>
        </w:rPr>
      </w:pPr>
      <w:r>
        <w:rPr>
          <w:rFonts w:hint="eastAsia"/>
          <w:color w:val="000000" w:themeColor="text1"/>
          <w14:textFill>
            <w14:solidFill>
              <w14:schemeClr w14:val="tx1"/>
            </w14:solidFill>
          </w14:textFill>
        </w:rPr>
        <w:t>公司以前年度减值测试采用信息与当年实际情况明显不一致的差异原因</w:t>
      </w:r>
    </w:p>
    <w:sdt>
      <w:sdtPr>
        <w:rPr>
          <w:color w:val="000000" w:themeColor="text1"/>
          <w14:textFill>
            <w14:solidFill>
              <w14:schemeClr w14:val="tx1"/>
            </w14:solidFill>
          </w14:textFill>
        </w:rPr>
        <w:alias w:val="是否适用：公司以前年度减值测试采用信息与当年实际情况明显不一致的差异原因[双击切换]"/>
        <w:tag w:val="_GBC_380768c596a145f29f00b98c2c4edba5"/>
        <w:id w:val="-130787303"/>
        <w:placeholder>
          <w:docPart w:val="GBC22222222222222222222222222222"/>
        </w:placeholder>
      </w:sdtPr>
      <w:sdtEndPr>
        <w:rPr>
          <w:color w:val="000000" w:themeColor="text1"/>
          <w14:textFill>
            <w14:solidFill>
              <w14:schemeClr w14:val="tx1"/>
            </w14:solidFill>
          </w14:textFill>
        </w:rPr>
      </w:sdtEndPr>
      <w:sdtContent>
        <w:p w14:paraId="0795A77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3470A9B">
      <w:pPr>
        <w:snapToGrid w:val="0"/>
        <w:spacing w:line="240" w:lineRule="atLeast"/>
        <w:rPr>
          <w:color w:val="000000" w:themeColor="text1"/>
          <w14:textFill>
            <w14:solidFill>
              <w14:schemeClr w14:val="tx1"/>
            </w14:solidFill>
          </w14:textFill>
        </w:rPr>
      </w:pPr>
    </w:p>
    <w:bookmarkEnd w:id="315"/>
    <w:p w14:paraId="276E8585">
      <w:pPr>
        <w:pStyle w:val="5"/>
        <w:numPr>
          <w:ilvl w:val="0"/>
          <w:numId w:val="75"/>
        </w:numPr>
        <w:tabs>
          <w:tab w:val="left" w:pos="588"/>
        </w:tabs>
        <w:rPr>
          <w:rFonts w:hint="eastAsia" w:ascii="宋体" w:hAnsi="宋体" w:cs="宋体"/>
          <w:color w:val="000000" w:themeColor="text1"/>
          <w:kern w:val="0"/>
          <w:szCs w:val="24"/>
          <w14:textFill>
            <w14:solidFill>
              <w14:schemeClr w14:val="tx1"/>
            </w14:solidFill>
          </w14:textFill>
        </w:rPr>
      </w:pPr>
      <w:bookmarkStart w:id="316" w:name="_Hlk153463443"/>
      <w:r>
        <w:rPr>
          <w:rFonts w:hint="eastAsia" w:ascii="宋体" w:hAnsi="宋体" w:cs="宋体"/>
          <w:color w:val="000000" w:themeColor="text1"/>
          <w:kern w:val="0"/>
          <w:szCs w:val="24"/>
          <w14:textFill>
            <w14:solidFill>
              <w14:schemeClr w14:val="tx1"/>
            </w14:solidFill>
          </w14:textFill>
        </w:rPr>
        <w:t>业绩承诺及对应商誉减值情况</w:t>
      </w:r>
    </w:p>
    <w:p w14:paraId="56051568">
      <w:pPr>
        <w:rPr>
          <w:color w:val="000000" w:themeColor="text1"/>
          <w14:textFill>
            <w14:solidFill>
              <w14:schemeClr w14:val="tx1"/>
            </w14:solidFill>
          </w14:textFill>
        </w:rPr>
      </w:pPr>
      <w:r>
        <w:rPr>
          <w:rFonts w:hint="eastAsia"/>
          <w:color w:val="000000" w:themeColor="text1"/>
          <w14:textFill>
            <w14:solidFill>
              <w14:schemeClr w14:val="tx1"/>
            </w14:solidFill>
          </w14:textFill>
        </w:rPr>
        <w:t>形成商誉时存在业绩承诺且报告期或报告期上一期间处于业绩承诺期内</w:t>
      </w:r>
    </w:p>
    <w:sdt>
      <w:sdtPr>
        <w:rPr>
          <w:color w:val="000000" w:themeColor="text1"/>
          <w14:textFill>
            <w14:solidFill>
              <w14:schemeClr w14:val="tx1"/>
            </w14:solidFill>
          </w14:textFill>
        </w:rPr>
        <w:alias w:val="是否适用：业绩承诺完成及对应商誉减值情况[双击切换]"/>
        <w:tag w:val="_GBC_f96eba4c85694a0d9c8987317df03a97"/>
        <w:id w:val="1238750713"/>
        <w:placeholder>
          <w:docPart w:val="GBC22222222222222222222222222222"/>
        </w:placeholder>
      </w:sdtPr>
      <w:sdtEndPr>
        <w:rPr>
          <w:color w:val="000000" w:themeColor="text1"/>
          <w14:textFill>
            <w14:solidFill>
              <w14:schemeClr w14:val="tx1"/>
            </w14:solidFill>
          </w14:textFill>
        </w:rPr>
      </w:sdtEndPr>
      <w:sdtContent>
        <w:p w14:paraId="51C76C9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B960E60">
      <w:pPr>
        <w:rPr>
          <w:color w:val="000000" w:themeColor="text1"/>
          <w14:textFill>
            <w14:solidFill>
              <w14:schemeClr w14:val="tx1"/>
            </w14:solidFill>
          </w14:textFill>
        </w:rPr>
      </w:pPr>
    </w:p>
    <w:bookmarkEnd w:id="312"/>
    <w:bookmarkEnd w:id="316"/>
    <w:p w14:paraId="6A9E0691">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商誉其他需要说明的事项[双击切换]"/>
        <w:tag w:val="_GBC_6b2c2377a4a6486b9a4ba845bd2192f6"/>
        <w:id w:val="918526562"/>
        <w:placeholder>
          <w:docPart w:val="GBC22222222222222222222222222222"/>
        </w:placeholder>
      </w:sdtPr>
      <w:sdtEndPr>
        <w:rPr>
          <w:color w:val="000000" w:themeColor="text1"/>
          <w14:textFill>
            <w14:solidFill>
              <w14:schemeClr w14:val="tx1"/>
            </w14:solidFill>
          </w14:textFill>
        </w:rPr>
      </w:sdtEndPr>
      <w:sdtContent>
        <w:p w14:paraId="758D581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A78D53A">
      <w:pPr>
        <w:snapToGrid w:val="0"/>
        <w:spacing w:line="240" w:lineRule="atLeast"/>
        <w:rPr>
          <w:color w:val="000000" w:themeColor="text1"/>
          <w14:textFill>
            <w14:solidFill>
              <w14:schemeClr w14:val="tx1"/>
            </w14:solidFill>
          </w14:textFill>
        </w:rPr>
      </w:pPr>
    </w:p>
    <w:p w14:paraId="1898E385">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长期待摊费用</w:t>
      </w:r>
    </w:p>
    <w:sdt>
      <w:sdtPr>
        <w:rPr>
          <w:color w:val="000000" w:themeColor="text1"/>
          <w14:textFill>
            <w14:solidFill>
              <w14:schemeClr w14:val="tx1"/>
            </w14:solidFill>
          </w14:textFill>
        </w:rPr>
        <w:alias w:val="是否适用：长期待摊费用[双击切换]"/>
        <w:tag w:val="_GBC_9bec8f9516c84b19bae2fb8a7292063f"/>
        <w:id w:val="888308051"/>
        <w:placeholder>
          <w:docPart w:val="GBC22222222222222222222222222222"/>
        </w:placeholder>
      </w:sdtPr>
      <w:sdtEndPr>
        <w:rPr>
          <w:color w:val="000000" w:themeColor="text1"/>
          <w14:textFill>
            <w14:solidFill>
              <w14:schemeClr w14:val="tx1"/>
            </w14:solidFill>
          </w14:textFill>
        </w:rPr>
      </w:sdtEndPr>
      <w:sdtContent>
        <w:p w14:paraId="3C5D29C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D19780F">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长期待摊费用"/>
          <w:tag w:val="_GBC_aa74f67aac374e54a7768a8434ab0c08"/>
          <w:id w:val="-164519111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长期待摊费用"/>
          <w:tag w:val="_GBC_767b9b701cf8425c9d588b0398c42e90"/>
          <w:id w:val="-18752687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9"/>
        <w:gridCol w:w="1529"/>
        <w:gridCol w:w="1445"/>
        <w:gridCol w:w="1445"/>
        <w:gridCol w:w="1469"/>
        <w:gridCol w:w="1536"/>
      </w:tblGrid>
      <w:tr w14:paraId="3F75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20e665ce568e49a5aa1c687384d611b3"/>
            <w:id w:val="-882329523"/>
          </w:sdtPr>
          <w:sdtContent>
            <w:tc>
              <w:tcPr>
                <w:tcW w:w="801" w:type="pct"/>
                <w:vAlign w:val="center"/>
              </w:tcPr>
              <w:p w14:paraId="351FC87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e3597a5d560b48d59d41cd3dc72b1a3a"/>
            <w:id w:val="-1038506414"/>
          </w:sdtPr>
          <w:sdtContent>
            <w:tc>
              <w:tcPr>
                <w:tcW w:w="827" w:type="pct"/>
                <w:vAlign w:val="center"/>
              </w:tcPr>
              <w:p w14:paraId="1F596D9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sdt>
          <w:sdtPr>
            <w:tag w:val="_PLD_2edffaf8b24b489e97f2d4a6a5ec5711"/>
            <w:id w:val="-205259566"/>
          </w:sdtPr>
          <w:sdtContent>
            <w:tc>
              <w:tcPr>
                <w:tcW w:w="827" w:type="pct"/>
                <w:vAlign w:val="center"/>
              </w:tcPr>
              <w:p w14:paraId="44CE323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本期增加金额</w:t>
                </w:r>
              </w:p>
            </w:tc>
          </w:sdtContent>
        </w:sdt>
        <w:sdt>
          <w:sdtPr>
            <w:tag w:val="_PLD_f6bc6a07519e4f6cab5889776aa0ecbd"/>
            <w:id w:val="1952814838"/>
          </w:sdtPr>
          <w:sdtContent>
            <w:tc>
              <w:tcPr>
                <w:tcW w:w="827" w:type="pct"/>
                <w:vAlign w:val="center"/>
              </w:tcPr>
              <w:p w14:paraId="356850B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本期摊销金额</w:t>
                </w:r>
              </w:p>
            </w:tc>
          </w:sdtContent>
        </w:sdt>
        <w:sdt>
          <w:sdtPr>
            <w:tag w:val="_PLD_f987bb682c974016898d37b474ce35c6"/>
            <w:id w:val="-1375302719"/>
          </w:sdtPr>
          <w:sdtContent>
            <w:tc>
              <w:tcPr>
                <w:tcW w:w="840" w:type="pct"/>
                <w:vAlign w:val="center"/>
              </w:tcPr>
              <w:p w14:paraId="7DECC72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其他减少金额</w:t>
                </w:r>
              </w:p>
            </w:tc>
          </w:sdtContent>
        </w:sdt>
        <w:sdt>
          <w:sdtPr>
            <w:tag w:val="_PLD_dab738986fbc4bd7b942faf77cb39605"/>
            <w:id w:val="-1034110617"/>
          </w:sdtPr>
          <w:sdtContent>
            <w:tc>
              <w:tcPr>
                <w:tcW w:w="878" w:type="pct"/>
                <w:vAlign w:val="center"/>
              </w:tcPr>
              <w:p w14:paraId="7FA0309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tr>
      <w:tr w14:paraId="63A9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Pr>
          <w:p w14:paraId="162E27AA">
            <w:r>
              <w:rPr>
                <w:rFonts w:hint="eastAsia" w:ascii="宋体" w:hAnsi="宋体"/>
              </w:rPr>
              <w:t>养殖器具</w:t>
            </w:r>
          </w:p>
        </w:tc>
        <w:tc>
          <w:tcPr>
            <w:tcW w:w="827" w:type="pct"/>
            <w:vAlign w:val="center"/>
          </w:tcPr>
          <w:p w14:paraId="03B45D42">
            <w:pPr>
              <w:jc w:val="right"/>
            </w:pPr>
            <w:r>
              <w:t>433,097,827.37</w:t>
            </w:r>
          </w:p>
        </w:tc>
        <w:tc>
          <w:tcPr>
            <w:tcW w:w="827" w:type="pct"/>
          </w:tcPr>
          <w:p w14:paraId="396A5ECE">
            <w:pPr>
              <w:jc w:val="right"/>
            </w:pPr>
            <w:r>
              <w:t>1,169,450.00</w:t>
            </w:r>
          </w:p>
        </w:tc>
        <w:tc>
          <w:tcPr>
            <w:tcW w:w="827" w:type="pct"/>
          </w:tcPr>
          <w:p w14:paraId="40C3D6A8">
            <w:pPr>
              <w:jc w:val="right"/>
            </w:pPr>
            <w:r>
              <w:t>18,769,661.78</w:t>
            </w:r>
          </w:p>
        </w:tc>
        <w:tc>
          <w:tcPr>
            <w:tcW w:w="840" w:type="pct"/>
          </w:tcPr>
          <w:p w14:paraId="340ED25C">
            <w:pPr>
              <w:jc w:val="right"/>
            </w:pPr>
          </w:p>
        </w:tc>
        <w:tc>
          <w:tcPr>
            <w:tcW w:w="878" w:type="pct"/>
          </w:tcPr>
          <w:p w14:paraId="37A8D968">
            <w:pPr>
              <w:jc w:val="right"/>
            </w:pPr>
            <w:r>
              <w:t>415,497,615.59</w:t>
            </w:r>
          </w:p>
        </w:tc>
      </w:tr>
      <w:tr w14:paraId="1E0B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Pr>
          <w:p w14:paraId="1FC599EF">
            <w:r>
              <w:rPr>
                <w:rFonts w:hint="eastAsia" w:ascii="宋体" w:hAnsi="宋体"/>
              </w:rPr>
              <w:t>参池清淤及其他</w:t>
            </w:r>
          </w:p>
        </w:tc>
        <w:tc>
          <w:tcPr>
            <w:tcW w:w="827" w:type="pct"/>
            <w:vAlign w:val="center"/>
          </w:tcPr>
          <w:p w14:paraId="7AAF3971">
            <w:pPr>
              <w:jc w:val="right"/>
            </w:pPr>
            <w:r>
              <w:t>29,639,350.59</w:t>
            </w:r>
          </w:p>
        </w:tc>
        <w:tc>
          <w:tcPr>
            <w:tcW w:w="827" w:type="pct"/>
          </w:tcPr>
          <w:p w14:paraId="2F3B992A">
            <w:pPr>
              <w:jc w:val="right"/>
            </w:pPr>
          </w:p>
        </w:tc>
        <w:tc>
          <w:tcPr>
            <w:tcW w:w="827" w:type="pct"/>
            <w:vAlign w:val="center"/>
          </w:tcPr>
          <w:p w14:paraId="1C6FB681">
            <w:pPr>
              <w:jc w:val="right"/>
            </w:pPr>
            <w:r>
              <w:t>4,329,606.36</w:t>
            </w:r>
          </w:p>
        </w:tc>
        <w:tc>
          <w:tcPr>
            <w:tcW w:w="840" w:type="pct"/>
            <w:vAlign w:val="center"/>
          </w:tcPr>
          <w:p w14:paraId="04B928F7">
            <w:pPr>
              <w:jc w:val="right"/>
            </w:pPr>
          </w:p>
        </w:tc>
        <w:tc>
          <w:tcPr>
            <w:tcW w:w="878" w:type="pct"/>
            <w:vAlign w:val="center"/>
          </w:tcPr>
          <w:p w14:paraId="4E6544C0">
            <w:pPr>
              <w:jc w:val="right"/>
            </w:pPr>
            <w:r>
              <w:t>25,309,744.23</w:t>
            </w:r>
          </w:p>
        </w:tc>
      </w:tr>
      <w:tr w14:paraId="2069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Pr>
          <w:p w14:paraId="13600AF6">
            <w:r>
              <w:rPr>
                <w:rFonts w:hint="eastAsia" w:ascii="宋体" w:hAnsi="宋体"/>
              </w:rPr>
              <w:t>码头清淤</w:t>
            </w:r>
          </w:p>
        </w:tc>
        <w:tc>
          <w:tcPr>
            <w:tcW w:w="827" w:type="pct"/>
            <w:vAlign w:val="center"/>
          </w:tcPr>
          <w:p w14:paraId="6691280D">
            <w:pPr>
              <w:jc w:val="right"/>
            </w:pPr>
            <w:r>
              <w:t>18,538,775.00</w:t>
            </w:r>
          </w:p>
        </w:tc>
        <w:tc>
          <w:tcPr>
            <w:tcW w:w="827" w:type="pct"/>
          </w:tcPr>
          <w:p w14:paraId="69BA6CC3">
            <w:pPr>
              <w:jc w:val="right"/>
            </w:pPr>
          </w:p>
        </w:tc>
        <w:tc>
          <w:tcPr>
            <w:tcW w:w="827" w:type="pct"/>
          </w:tcPr>
          <w:p w14:paraId="2FEB6037">
            <w:pPr>
              <w:jc w:val="right"/>
            </w:pPr>
            <w:r>
              <w:t>351,675.00</w:t>
            </w:r>
          </w:p>
        </w:tc>
        <w:tc>
          <w:tcPr>
            <w:tcW w:w="840" w:type="pct"/>
          </w:tcPr>
          <w:p w14:paraId="73D6DC9E">
            <w:pPr>
              <w:jc w:val="right"/>
            </w:pPr>
          </w:p>
        </w:tc>
        <w:tc>
          <w:tcPr>
            <w:tcW w:w="878" w:type="pct"/>
          </w:tcPr>
          <w:p w14:paraId="14DA93E9">
            <w:pPr>
              <w:jc w:val="right"/>
            </w:pPr>
            <w:r>
              <w:t>18,187,100.00</w:t>
            </w:r>
          </w:p>
        </w:tc>
      </w:tr>
      <w:tr w14:paraId="5F3A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Pr>
          <w:p w14:paraId="6DBAB073">
            <w:r>
              <w:rPr>
                <w:rFonts w:hint="eastAsia" w:ascii="宋体" w:hAnsi="宋体"/>
              </w:rPr>
              <w:t>装修费</w:t>
            </w:r>
          </w:p>
        </w:tc>
        <w:tc>
          <w:tcPr>
            <w:tcW w:w="827" w:type="pct"/>
            <w:vAlign w:val="center"/>
          </w:tcPr>
          <w:p w14:paraId="2E10302D">
            <w:pPr>
              <w:jc w:val="right"/>
            </w:pPr>
            <w:r>
              <w:t>780,733.72</w:t>
            </w:r>
          </w:p>
        </w:tc>
        <w:tc>
          <w:tcPr>
            <w:tcW w:w="827" w:type="pct"/>
          </w:tcPr>
          <w:p w14:paraId="3E1506B0">
            <w:pPr>
              <w:jc w:val="right"/>
            </w:pPr>
          </w:p>
        </w:tc>
        <w:tc>
          <w:tcPr>
            <w:tcW w:w="827" w:type="pct"/>
          </w:tcPr>
          <w:p w14:paraId="47AE6DB2">
            <w:pPr>
              <w:jc w:val="right"/>
            </w:pPr>
            <w:r>
              <w:t>94,543.81</w:t>
            </w:r>
          </w:p>
        </w:tc>
        <w:tc>
          <w:tcPr>
            <w:tcW w:w="840" w:type="pct"/>
          </w:tcPr>
          <w:p w14:paraId="09B324C0">
            <w:pPr>
              <w:jc w:val="right"/>
            </w:pPr>
          </w:p>
        </w:tc>
        <w:tc>
          <w:tcPr>
            <w:tcW w:w="878" w:type="pct"/>
          </w:tcPr>
          <w:p w14:paraId="3895A07C">
            <w:pPr>
              <w:jc w:val="right"/>
            </w:pPr>
            <w:r>
              <w:t>686,189.91</w:t>
            </w:r>
          </w:p>
        </w:tc>
      </w:tr>
      <w:tr w14:paraId="47B3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vAlign w:val="center"/>
          </w:tcPr>
          <w:p w14:paraId="617A8F5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827" w:type="pct"/>
            <w:vAlign w:val="center"/>
          </w:tcPr>
          <w:p w14:paraId="35D8D1D8">
            <w:pPr>
              <w:jc w:val="right"/>
            </w:pPr>
            <w:r>
              <w:t>482,056,686.68</w:t>
            </w:r>
          </w:p>
        </w:tc>
        <w:tc>
          <w:tcPr>
            <w:tcW w:w="827" w:type="pct"/>
          </w:tcPr>
          <w:p w14:paraId="59F726E1">
            <w:pPr>
              <w:jc w:val="right"/>
            </w:pPr>
            <w:r>
              <w:t>1,169,450.00</w:t>
            </w:r>
          </w:p>
        </w:tc>
        <w:tc>
          <w:tcPr>
            <w:tcW w:w="827" w:type="pct"/>
          </w:tcPr>
          <w:p w14:paraId="799B76A7">
            <w:pPr>
              <w:jc w:val="right"/>
            </w:pPr>
            <w:r>
              <w:t>23,545,486.95</w:t>
            </w:r>
          </w:p>
        </w:tc>
        <w:tc>
          <w:tcPr>
            <w:tcW w:w="840" w:type="pct"/>
          </w:tcPr>
          <w:p w14:paraId="5C23DA9B">
            <w:pPr>
              <w:jc w:val="right"/>
            </w:pPr>
          </w:p>
        </w:tc>
        <w:tc>
          <w:tcPr>
            <w:tcW w:w="878" w:type="pct"/>
          </w:tcPr>
          <w:p w14:paraId="6686428D">
            <w:pPr>
              <w:jc w:val="right"/>
            </w:pPr>
            <w:r>
              <w:t>459,680,649.73</w:t>
            </w:r>
          </w:p>
        </w:tc>
      </w:tr>
    </w:tbl>
    <w:p w14:paraId="5E31D3F5">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长期待摊费用的说明"/>
        <w:tag w:val="_GBC_5b31c466b60f433faaa37d443fae74be"/>
        <w:id w:val="35014006"/>
        <w:placeholder>
          <w:docPart w:val="GBC22222222222222222222222222222"/>
        </w:placeholder>
      </w:sdtPr>
      <w:sdtEndPr>
        <w:rPr>
          <w:color w:val="000000" w:themeColor="text1"/>
          <w14:textFill>
            <w14:solidFill>
              <w14:schemeClr w14:val="tx1"/>
            </w14:solidFill>
          </w14:textFill>
        </w:rPr>
      </w:sdtEndPr>
      <w:sdtContent>
        <w:p w14:paraId="389D409C">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03C47C03">
      <w:pPr>
        <w:rPr>
          <w:color w:val="000000" w:themeColor="text1"/>
          <w14:textFill>
            <w14:solidFill>
              <w14:schemeClr w14:val="tx1"/>
            </w14:solidFill>
          </w14:textFill>
        </w:rPr>
      </w:pPr>
    </w:p>
    <w:p w14:paraId="23D642AD">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递延所得税资产/ 递延所得税负债</w:t>
      </w:r>
    </w:p>
    <w:p w14:paraId="6DC8BA8A">
      <w:pPr>
        <w:pStyle w:val="5"/>
        <w:numPr>
          <w:ilvl w:val="0"/>
          <w:numId w:val="76"/>
        </w:numPr>
        <w:tabs>
          <w:tab w:val="left" w:pos="588"/>
          <w:tab w:val="left" w:pos="616"/>
        </w:tabs>
        <w:rPr>
          <w:rFonts w:hint="eastAsia" w:ascii="宋体" w:hAnsi="宋体"/>
          <w:color w:val="000000" w:themeColor="text1"/>
          <w14:textFill>
            <w14:solidFill>
              <w14:schemeClr w14:val="tx1"/>
            </w14:solidFill>
          </w14:textFill>
        </w:rPr>
      </w:pPr>
      <w:bookmarkStart w:id="317" w:name="_Toc215903151"/>
      <w:r>
        <w:rPr>
          <w:rFonts w:hint="eastAsia" w:ascii="宋体" w:hAnsi="宋体"/>
          <w:color w:val="000000" w:themeColor="text1"/>
          <w14:textFill>
            <w14:solidFill>
              <w14:schemeClr w14:val="tx1"/>
            </w14:solidFill>
          </w14:textFill>
        </w:rPr>
        <w:t>未经抵销的递延所得税资产</w:t>
      </w:r>
    </w:p>
    <w:sdt>
      <w:sdtPr>
        <w:rPr>
          <w:color w:val="000000" w:themeColor="text1"/>
          <w14:textFill>
            <w14:solidFill>
              <w14:schemeClr w14:val="tx1"/>
            </w14:solidFill>
          </w14:textFill>
        </w:rPr>
        <w:alias w:val="是否适用：未经抵销的递延所得税资产[双击切换]"/>
        <w:tag w:val="_GBC_fc6e77974a404dc3bef5fc386ae4e1e7"/>
        <w:id w:val="119819562"/>
        <w:placeholder>
          <w:docPart w:val="GBC22222222222222222222222222222"/>
        </w:placeholder>
      </w:sdtPr>
      <w:sdtEndPr>
        <w:rPr>
          <w:color w:val="000000" w:themeColor="text1"/>
          <w14:textFill>
            <w14:solidFill>
              <w14:schemeClr w14:val="tx1"/>
            </w14:solidFill>
          </w14:textFill>
        </w:rPr>
      </w:sdtEndPr>
      <w:sdtContent>
        <w:p w14:paraId="769042A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317"/>
    <w:p w14:paraId="6FA1881F">
      <w:pPr>
        <w:rPr>
          <w:color w:val="000000" w:themeColor="text1"/>
          <w14:textFill>
            <w14:solidFill>
              <w14:schemeClr w14:val="tx1"/>
            </w14:solidFill>
          </w14:textFill>
        </w:rPr>
      </w:pPr>
    </w:p>
    <w:p w14:paraId="1759616D">
      <w:pPr>
        <w:pStyle w:val="5"/>
        <w:numPr>
          <w:ilvl w:val="0"/>
          <w:numId w:val="76"/>
        </w:numPr>
        <w:tabs>
          <w:tab w:val="left" w:pos="588"/>
          <w:tab w:val="left" w:pos="616"/>
        </w:tabs>
        <w:rPr>
          <w:rFonts w:hint="eastAsia" w:ascii="宋体" w:hAnsi="宋体"/>
          <w:color w:val="000000" w:themeColor="text1"/>
          <w14:textFill>
            <w14:solidFill>
              <w14:schemeClr w14:val="tx1"/>
            </w14:solidFill>
          </w14:textFill>
        </w:rPr>
      </w:pPr>
      <w:bookmarkStart w:id="318" w:name="_Hlk11160621"/>
      <w:r>
        <w:rPr>
          <w:rFonts w:hint="eastAsia" w:ascii="宋体" w:hAnsi="宋体"/>
          <w:color w:val="000000" w:themeColor="text1"/>
          <w14:textFill>
            <w14:solidFill>
              <w14:schemeClr w14:val="tx1"/>
            </w14:solidFill>
          </w14:textFill>
        </w:rPr>
        <w:t>未经抵销的递延所得税负债</w:t>
      </w:r>
    </w:p>
    <w:sdt>
      <w:sdtPr>
        <w:rPr>
          <w:color w:val="000000" w:themeColor="text1"/>
          <w14:textFill>
            <w14:solidFill>
              <w14:schemeClr w14:val="tx1"/>
            </w14:solidFill>
          </w14:textFill>
        </w:rPr>
        <w:alias w:val="是否适用：未经抵销的递延所得税负债[双击切换]"/>
        <w:tag w:val="_GBC_e9cf2825b61d4a9ca57e90c2ed017173"/>
        <w:id w:val="533159825"/>
        <w:placeholder>
          <w:docPart w:val="GBC22222222222222222222222222222"/>
        </w:placeholder>
      </w:sdtPr>
      <w:sdtEndPr>
        <w:rPr>
          <w:color w:val="000000" w:themeColor="text1"/>
          <w14:textFill>
            <w14:solidFill>
              <w14:schemeClr w14:val="tx1"/>
            </w14:solidFill>
          </w14:textFill>
        </w:rPr>
      </w:sdtEndPr>
      <w:sdtContent>
        <w:p w14:paraId="5F51CF6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E976CE4">
      <w:pPr>
        <w:rPr>
          <w:color w:val="000000" w:themeColor="text1"/>
          <w14:textFill>
            <w14:solidFill>
              <w14:schemeClr w14:val="tx1"/>
            </w14:solidFill>
          </w14:textFill>
        </w:rPr>
      </w:pPr>
      <w:bookmarkStart w:id="319" w:name="_Hlk11857349"/>
    </w:p>
    <w:bookmarkEnd w:id="318"/>
    <w:bookmarkEnd w:id="319"/>
    <w:p w14:paraId="608E3FF0">
      <w:pPr>
        <w:pStyle w:val="5"/>
        <w:numPr>
          <w:ilvl w:val="0"/>
          <w:numId w:val="76"/>
        </w:numPr>
        <w:tabs>
          <w:tab w:val="left" w:pos="588"/>
          <w:tab w:val="left" w:pos="616"/>
        </w:tabs>
        <w:rPr>
          <w:rFonts w:hint="eastAsia" w:ascii="宋体" w:hAnsi="宋体"/>
          <w:color w:val="000000" w:themeColor="text1"/>
          <w14:textFill>
            <w14:solidFill>
              <w14:schemeClr w14:val="tx1"/>
            </w14:solidFill>
          </w14:textFill>
        </w:rPr>
      </w:pPr>
      <w:bookmarkStart w:id="320" w:name="_Hlk11160645"/>
      <w:r>
        <w:rPr>
          <w:rFonts w:hint="eastAsia" w:ascii="宋体" w:hAnsi="宋体"/>
          <w:color w:val="000000" w:themeColor="text1"/>
          <w14:textFill>
            <w14:solidFill>
              <w14:schemeClr w14:val="tx1"/>
            </w14:solidFill>
          </w14:textFill>
        </w:rPr>
        <w:t>以抵销后净额列示的递延所得税资产或负债</w:t>
      </w:r>
    </w:p>
    <w:sdt>
      <w:sdtPr>
        <w:rPr>
          <w:color w:val="000000" w:themeColor="text1"/>
          <w14:textFill>
            <w14:solidFill>
              <w14:schemeClr w14:val="tx1"/>
            </w14:solidFill>
          </w14:textFill>
        </w:rPr>
        <w:alias w:val="是否适用：以抵销后净额列示的递延所得税资产或负债[双击切换]"/>
        <w:tag w:val="_GBC_d6419a9d2dc94127a5f6aea72cb2a94d"/>
        <w:id w:val="-1490400281"/>
        <w:placeholder>
          <w:docPart w:val="GBC22222222222222222222222222222"/>
        </w:placeholder>
      </w:sdtPr>
      <w:sdtEndPr>
        <w:rPr>
          <w:color w:val="000000" w:themeColor="text1"/>
          <w14:textFill>
            <w14:solidFill>
              <w14:schemeClr w14:val="tx1"/>
            </w14:solidFill>
          </w14:textFill>
        </w:rPr>
      </w:sdtEndPr>
      <w:sdtContent>
        <w:p w14:paraId="1C350A4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A5423DB">
      <w:pPr>
        <w:rPr>
          <w:color w:val="000000" w:themeColor="text1"/>
          <w14:textFill>
            <w14:solidFill>
              <w14:schemeClr w14:val="tx1"/>
            </w14:solidFill>
          </w14:textFill>
        </w:rPr>
      </w:pPr>
      <w:bookmarkStart w:id="321" w:name="_Hlk200964296"/>
    </w:p>
    <w:bookmarkEnd w:id="320"/>
    <w:bookmarkEnd w:id="321"/>
    <w:p w14:paraId="39D852A9">
      <w:pPr>
        <w:pStyle w:val="5"/>
        <w:numPr>
          <w:ilvl w:val="0"/>
          <w:numId w:val="76"/>
        </w:numPr>
        <w:tabs>
          <w:tab w:val="left" w:pos="588"/>
          <w:tab w:val="left" w:pos="616"/>
        </w:tabs>
        <w:rPr>
          <w:rFonts w:hint="eastAsia" w:ascii="宋体" w:hAnsi="宋体"/>
          <w:color w:val="000000" w:themeColor="text1"/>
          <w:szCs w:val="21"/>
          <w14:textFill>
            <w14:solidFill>
              <w14:schemeClr w14:val="tx1"/>
            </w14:solidFill>
          </w14:textFill>
        </w:rPr>
      </w:pPr>
      <w:bookmarkStart w:id="322" w:name="_Hlk11160660"/>
      <w:r>
        <w:rPr>
          <w:rFonts w:hint="eastAsia" w:ascii="宋体" w:hAnsi="宋体"/>
          <w:color w:val="000000" w:themeColor="text1"/>
          <w:szCs w:val="21"/>
          <w14:textFill>
            <w14:solidFill>
              <w14:schemeClr w14:val="tx1"/>
            </w14:solidFill>
          </w14:textFill>
        </w:rPr>
        <w:t>未确认递延</w:t>
      </w:r>
      <w:r>
        <w:rPr>
          <w:rFonts w:hint="eastAsia" w:ascii="宋体" w:hAnsi="宋体"/>
          <w:color w:val="000000" w:themeColor="text1"/>
          <w14:textFill>
            <w14:solidFill>
              <w14:schemeClr w14:val="tx1"/>
            </w14:solidFill>
          </w14:textFill>
        </w:rPr>
        <w:t>所得税</w:t>
      </w:r>
      <w:r>
        <w:rPr>
          <w:rFonts w:hint="eastAsia" w:ascii="宋体" w:hAnsi="宋体"/>
          <w:color w:val="000000" w:themeColor="text1"/>
          <w:szCs w:val="21"/>
          <w14:textFill>
            <w14:solidFill>
              <w14:schemeClr w14:val="tx1"/>
            </w14:solidFill>
          </w14:textFill>
        </w:rPr>
        <w:t>资产明细</w:t>
      </w:r>
    </w:p>
    <w:sdt>
      <w:sdtPr>
        <w:rPr>
          <w:color w:val="000000" w:themeColor="text1"/>
          <w14:textFill>
            <w14:solidFill>
              <w14:schemeClr w14:val="tx1"/>
            </w14:solidFill>
          </w14:textFill>
        </w:rPr>
        <w:alias w:val="是否适用：未确认递延所得税资产明细[双击切换]"/>
        <w:tag w:val="_GBC_f210878b05204277b5f70ed9ae786ea7"/>
        <w:id w:val="1789473478"/>
        <w:placeholder>
          <w:docPart w:val="GBC22222222222222222222222222222"/>
        </w:placeholder>
      </w:sdtPr>
      <w:sdtEndPr>
        <w:rPr>
          <w:color w:val="000000" w:themeColor="text1"/>
          <w14:textFill>
            <w14:solidFill>
              <w14:schemeClr w14:val="tx1"/>
            </w14:solidFill>
          </w14:textFill>
        </w:rPr>
      </w:sdtEndPr>
      <w:sdtContent>
        <w:p w14:paraId="31CB980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B0007E8">
      <w:pPr>
        <w:rPr>
          <w:color w:val="000000" w:themeColor="text1"/>
          <w14:textFill>
            <w14:solidFill>
              <w14:schemeClr w14:val="tx1"/>
            </w14:solidFill>
          </w14:textFill>
        </w:rPr>
      </w:pPr>
    </w:p>
    <w:bookmarkEnd w:id="322"/>
    <w:p w14:paraId="6A9541ED">
      <w:pPr>
        <w:pStyle w:val="5"/>
        <w:numPr>
          <w:ilvl w:val="0"/>
          <w:numId w:val="76"/>
        </w:numPr>
        <w:tabs>
          <w:tab w:val="left" w:pos="588"/>
          <w:tab w:val="left" w:pos="616"/>
        </w:tabs>
        <w:rPr>
          <w:rFonts w:hint="eastAsia" w:ascii="宋体" w:hAnsi="宋体"/>
          <w:color w:val="000000" w:themeColor="text1"/>
          <w:szCs w:val="21"/>
          <w14:textFill>
            <w14:solidFill>
              <w14:schemeClr w14:val="tx1"/>
            </w14:solidFill>
          </w14:textFill>
        </w:rPr>
      </w:pPr>
      <w:bookmarkStart w:id="323" w:name="_Hlk11160672"/>
      <w:r>
        <w:rPr>
          <w:rFonts w:hint="eastAsia" w:ascii="宋体" w:hAnsi="宋体"/>
          <w:color w:val="000000" w:themeColor="text1"/>
          <w:szCs w:val="21"/>
          <w14:textFill>
            <w14:solidFill>
              <w14:schemeClr w14:val="tx1"/>
            </w14:solidFill>
          </w14:textFill>
        </w:rPr>
        <w:t>未确认递延所得税资产的可抵扣亏损将于以下年度到期</w:t>
      </w:r>
    </w:p>
    <w:sdt>
      <w:sdtPr>
        <w:rPr>
          <w:color w:val="000000" w:themeColor="text1"/>
          <w14:textFill>
            <w14:solidFill>
              <w14:schemeClr w14:val="tx1"/>
            </w14:solidFill>
          </w14:textFill>
        </w:rPr>
        <w:alias w:val="是否适用：未确认递延所得税资产的可抵扣亏损将于以下年度到期[双击切换]"/>
        <w:tag w:val="_GBC_10d31911cedc4147b90ab71d35742bf4"/>
        <w:id w:val="1635906976"/>
        <w:placeholder>
          <w:docPart w:val="GBC22222222222222222222222222222"/>
        </w:placeholder>
      </w:sdtPr>
      <w:sdtEndPr>
        <w:rPr>
          <w:color w:val="000000" w:themeColor="text1"/>
          <w14:textFill>
            <w14:solidFill>
              <w14:schemeClr w14:val="tx1"/>
            </w14:solidFill>
          </w14:textFill>
        </w:rPr>
      </w:sdtEndPr>
      <w:sdtContent>
        <w:p w14:paraId="42D5FF2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719EDDE">
      <w:pPr>
        <w:rPr>
          <w:color w:val="000000" w:themeColor="text1"/>
          <w14:textFill>
            <w14:solidFill>
              <w14:schemeClr w14:val="tx1"/>
            </w14:solidFill>
          </w14:textFill>
        </w:rPr>
      </w:pPr>
    </w:p>
    <w:bookmarkEnd w:id="323"/>
    <w:p w14:paraId="26A93BF4">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递延所得税资产和递延所得税负债的说明[双击切换]"/>
        <w:tag w:val="_GBC_06478ceb6b7447a791a4a5cbf8cc7e95"/>
        <w:id w:val="-1124619243"/>
        <w:placeholder>
          <w:docPart w:val="GBC22222222222222222222222222222"/>
        </w:placeholder>
      </w:sdtPr>
      <w:sdtEndPr>
        <w:rPr>
          <w:color w:val="000000" w:themeColor="text1"/>
          <w14:textFill>
            <w14:solidFill>
              <w14:schemeClr w14:val="tx1"/>
            </w14:solidFill>
          </w14:textFill>
        </w:rPr>
      </w:sdtEndPr>
      <w:sdtContent>
        <w:p w14:paraId="1F18399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F654C0F">
      <w:pPr>
        <w:rPr>
          <w:color w:val="000000" w:themeColor="text1"/>
          <w14:textFill>
            <w14:solidFill>
              <w14:schemeClr w14:val="tx1"/>
            </w14:solidFill>
          </w14:textFill>
        </w:rPr>
      </w:pPr>
    </w:p>
    <w:p w14:paraId="6C23DA3A">
      <w:pPr>
        <w:pStyle w:val="4"/>
        <w:numPr>
          <w:ilvl w:val="0"/>
          <w:numId w:val="53"/>
        </w:numPr>
        <w:tabs>
          <w:tab w:val="left" w:pos="504"/>
        </w:tabs>
        <w:rPr>
          <w:rFonts w:hint="eastAsia" w:ascii="宋体" w:hAnsi="宋体"/>
          <w:color w:val="000000" w:themeColor="text1"/>
          <w:szCs w:val="21"/>
          <w14:textFill>
            <w14:solidFill>
              <w14:schemeClr w14:val="tx1"/>
            </w14:solidFill>
          </w14:textFill>
        </w:rPr>
      </w:pPr>
      <w:bookmarkStart w:id="324" w:name="_Hlk10535308"/>
      <w:r>
        <w:rPr>
          <w:rFonts w:hint="eastAsia" w:ascii="宋体" w:hAnsi="宋体"/>
          <w:color w:val="000000" w:themeColor="text1"/>
          <w:szCs w:val="21"/>
          <w14:textFill>
            <w14:solidFill>
              <w14:schemeClr w14:val="tx1"/>
            </w14:solidFill>
          </w14:textFill>
        </w:rPr>
        <w:t>其他非流动资产</w:t>
      </w:r>
    </w:p>
    <w:sdt>
      <w:sdtPr>
        <w:rPr>
          <w:color w:val="000000" w:themeColor="text1"/>
          <w14:textFill>
            <w14:solidFill>
              <w14:schemeClr w14:val="tx1"/>
            </w14:solidFill>
          </w14:textFill>
        </w:rPr>
        <w:alias w:val="是否适用：其他非流动资产[双击切换]"/>
        <w:tag w:val="_GBC_227882aeaa9b4aa98d6af8bcac2af7a5"/>
        <w:id w:val="357545901"/>
        <w:lock w:val="contentLocked"/>
        <w:placeholder>
          <w:docPart w:val="GBC22222222222222222222222222222"/>
        </w:placeholder>
      </w:sdtPr>
      <w:sdtEndPr>
        <w:rPr>
          <w:color w:val="000000" w:themeColor="text1"/>
          <w14:textFill>
            <w14:solidFill>
              <w14:schemeClr w14:val="tx1"/>
            </w14:solidFill>
          </w14:textFill>
        </w:rPr>
      </w:sdtEndPr>
      <w:sdtContent>
        <w:p w14:paraId="3677C9C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C857226">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color w:val="000000" w:themeColor="text1"/>
            <w14:textFill>
              <w14:solidFill>
                <w14:schemeClr w14:val="tx1"/>
              </w14:solidFill>
            </w14:textFill>
          </w:rPr>
          <w:alias w:val="单位：财务附注：其他非流动资产"/>
          <w:tag w:val="_GBC_5fd172528c7e4c4c8619b250ae90cdb4"/>
          <w:id w:val="-6625458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其他非流动资产"/>
          <w:tag w:val="_GBC_4cd5c26035ba4f7384dee597c98f0cb6"/>
          <w:id w:val="-5153875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583" w:type="pct"/>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3" w:type="dxa"/>
          <w:bottom w:w="0" w:type="dxa"/>
          <w:right w:w="113" w:type="dxa"/>
        </w:tblCellMar>
      </w:tblPr>
      <w:tblGrid>
        <w:gridCol w:w="2078"/>
        <w:gridCol w:w="1434"/>
        <w:gridCol w:w="958"/>
        <w:gridCol w:w="1434"/>
        <w:gridCol w:w="1496"/>
        <w:gridCol w:w="956"/>
        <w:gridCol w:w="1496"/>
      </w:tblGrid>
      <w:tr w14:paraId="73A4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sdt>
          <w:sdtPr>
            <w:tag w:val="_PLD_a0072e7adb6c49bb95cec91e0b7ec491"/>
            <w:id w:val="1725104916"/>
          </w:sdtPr>
          <w:sdtContent>
            <w:tc>
              <w:tcPr>
                <w:tcW w:w="1198" w:type="pct"/>
                <w:vMerge w:val="restart"/>
                <w:vAlign w:val="center"/>
              </w:tcPr>
              <w:p w14:paraId="1678E9E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9557fd4b49c84b3db8c9ae69c7346562"/>
            <w:id w:val="1661652255"/>
          </w:sdtPr>
          <w:sdtContent>
            <w:tc>
              <w:tcPr>
                <w:tcW w:w="1891" w:type="pct"/>
                <w:gridSpan w:val="3"/>
                <w:vAlign w:val="center"/>
              </w:tcPr>
              <w:p w14:paraId="37B140E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dad73a13c6c344aaa0bec642175f96c3"/>
            <w:id w:val="-1855253033"/>
          </w:sdtPr>
          <w:sdtContent>
            <w:tc>
              <w:tcPr>
                <w:tcW w:w="1911" w:type="pct"/>
                <w:gridSpan w:val="3"/>
                <w:vAlign w:val="center"/>
              </w:tcPr>
              <w:p w14:paraId="26144B9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441A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198" w:type="pct"/>
            <w:vMerge w:val="continue"/>
            <w:vAlign w:val="center"/>
          </w:tcPr>
          <w:p w14:paraId="1266287A">
            <w:pPr>
              <w:jc w:val="center"/>
              <w:rPr>
                <w:color w:val="000000" w:themeColor="text1"/>
                <w14:textFill>
                  <w14:solidFill>
                    <w14:schemeClr w14:val="tx1"/>
                  </w14:solidFill>
                </w14:textFill>
              </w:rPr>
            </w:pPr>
          </w:p>
        </w:tc>
        <w:tc>
          <w:tcPr>
            <w:tcW w:w="631" w:type="pct"/>
            <w:vAlign w:val="center"/>
          </w:tcPr>
          <w:sdt>
            <w:sdtPr>
              <w:tag w:val="_PLD_93d316b5ed8d45ea95cfce051b0f999d"/>
              <w:id w:val="680246651"/>
            </w:sdtPr>
            <w:sdtContent>
              <w:p w14:paraId="742B829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sdtContent>
          </w:sdt>
        </w:tc>
        <w:tc>
          <w:tcPr>
            <w:tcW w:w="630" w:type="pct"/>
            <w:vAlign w:val="center"/>
          </w:tcPr>
          <w:sdt>
            <w:sdtPr>
              <w:tag w:val="_PLD_ce9573e9b47f4859912e77c530974f87"/>
              <w:id w:val="1942572437"/>
            </w:sdtPr>
            <w:sdtContent>
              <w:p w14:paraId="443DFCDA">
                <w:pPr>
                  <w:jc w:val="center"/>
                  <w:rPr>
                    <w:color w:val="000000" w:themeColor="text1"/>
                    <w14:textFill>
                      <w14:solidFill>
                        <w14:schemeClr w14:val="tx1"/>
                      </w14:solidFill>
                    </w14:textFill>
                  </w:rPr>
                </w:pPr>
                <w:r>
                  <w:rPr>
                    <w:color w:val="000000" w:themeColor="text1"/>
                    <w14:textFill>
                      <w14:solidFill>
                        <w14:schemeClr w14:val="tx1"/>
                      </w14:solidFill>
                    </w14:textFill>
                  </w:rPr>
                  <w:t>减值准备</w:t>
                </w:r>
              </w:p>
            </w:sdtContent>
          </w:sdt>
        </w:tc>
        <w:tc>
          <w:tcPr>
            <w:tcW w:w="631" w:type="pct"/>
            <w:vAlign w:val="center"/>
          </w:tcPr>
          <w:sdt>
            <w:sdtPr>
              <w:tag w:val="_PLD_4b72c2cb7df84a3a9384f2eaa1acaf3a"/>
              <w:id w:val="-1759905880"/>
            </w:sdtPr>
            <w:sdtContent>
              <w:p w14:paraId="191A05F3">
                <w:pPr>
                  <w:jc w:val="center"/>
                  <w:rPr>
                    <w:color w:val="000000" w:themeColor="text1"/>
                    <w14:textFill>
                      <w14:solidFill>
                        <w14:schemeClr w14:val="tx1"/>
                      </w14:solidFill>
                    </w14:textFill>
                  </w:rPr>
                </w:pPr>
                <w:r>
                  <w:rPr>
                    <w:color w:val="000000" w:themeColor="text1"/>
                    <w14:textFill>
                      <w14:solidFill>
                        <w14:schemeClr w14:val="tx1"/>
                      </w14:solidFill>
                    </w14:textFill>
                  </w:rPr>
                  <w:t>账面价值</w:t>
                </w:r>
              </w:p>
            </w:sdtContent>
          </w:sdt>
        </w:tc>
        <w:tc>
          <w:tcPr>
            <w:tcW w:w="630" w:type="pct"/>
            <w:vAlign w:val="center"/>
          </w:tcPr>
          <w:sdt>
            <w:sdtPr>
              <w:tag w:val="_PLD_31abd03025c54702bba8f28fbcd435be"/>
              <w:id w:val="1495066876"/>
            </w:sdtPr>
            <w:sdtContent>
              <w:p w14:paraId="1662EB16">
                <w:pPr>
                  <w:jc w:val="center"/>
                  <w:rPr>
                    <w:color w:val="000000" w:themeColor="text1"/>
                    <w14:textFill>
                      <w14:solidFill>
                        <w14:schemeClr w14:val="tx1"/>
                      </w14:solidFill>
                    </w14:textFill>
                  </w:rPr>
                </w:pPr>
                <w:r>
                  <w:rPr>
                    <w:color w:val="000000" w:themeColor="text1"/>
                    <w14:textFill>
                      <w14:solidFill>
                        <w14:schemeClr w14:val="tx1"/>
                      </w14:solidFill>
                    </w14:textFill>
                  </w:rPr>
                  <w:t>账面余额</w:t>
                </w:r>
              </w:p>
            </w:sdtContent>
          </w:sdt>
        </w:tc>
        <w:tc>
          <w:tcPr>
            <w:tcW w:w="629" w:type="pct"/>
            <w:vAlign w:val="center"/>
          </w:tcPr>
          <w:sdt>
            <w:sdtPr>
              <w:tag w:val="_PLD_5650816a035d4b9d999e9f87d1506d3b"/>
              <w:id w:val="1862318816"/>
            </w:sdtPr>
            <w:sdtContent>
              <w:p w14:paraId="6BE15A1F">
                <w:pPr>
                  <w:jc w:val="center"/>
                  <w:rPr>
                    <w:color w:val="000000" w:themeColor="text1"/>
                    <w14:textFill>
                      <w14:solidFill>
                        <w14:schemeClr w14:val="tx1"/>
                      </w14:solidFill>
                    </w14:textFill>
                  </w:rPr>
                </w:pPr>
                <w:r>
                  <w:rPr>
                    <w:color w:val="000000" w:themeColor="text1"/>
                    <w14:textFill>
                      <w14:solidFill>
                        <w14:schemeClr w14:val="tx1"/>
                      </w14:solidFill>
                    </w14:textFill>
                  </w:rPr>
                  <w:t>减值准备</w:t>
                </w:r>
              </w:p>
            </w:sdtContent>
          </w:sdt>
        </w:tc>
        <w:tc>
          <w:tcPr>
            <w:tcW w:w="652" w:type="pct"/>
            <w:vAlign w:val="center"/>
          </w:tcPr>
          <w:sdt>
            <w:sdtPr>
              <w:tag w:val="_PLD_76b67d2d1c1543c0b22ec33e5ae8e28a"/>
              <w:id w:val="-1872299467"/>
            </w:sdtPr>
            <w:sdtContent>
              <w:p w14:paraId="3F4B3AC4">
                <w:pPr>
                  <w:jc w:val="center"/>
                  <w:rPr>
                    <w:color w:val="000000" w:themeColor="text1"/>
                    <w14:textFill>
                      <w14:solidFill>
                        <w14:schemeClr w14:val="tx1"/>
                      </w14:solidFill>
                    </w14:textFill>
                  </w:rPr>
                </w:pPr>
                <w:r>
                  <w:rPr>
                    <w:color w:val="000000" w:themeColor="text1"/>
                    <w14:textFill>
                      <w14:solidFill>
                        <w14:schemeClr w14:val="tx1"/>
                      </w14:solidFill>
                    </w14:textFill>
                  </w:rPr>
                  <w:t>账面价值</w:t>
                </w:r>
              </w:p>
            </w:sdtContent>
          </w:sdt>
        </w:tc>
      </w:tr>
      <w:tr w14:paraId="18C0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198" w:type="pct"/>
          </w:tcPr>
          <w:p w14:paraId="688D2B6E">
            <w:pPr>
              <w:jc w:val="both"/>
            </w:pPr>
            <w:r>
              <w:rPr>
                <w:rFonts w:hint="eastAsia" w:ascii="宋体" w:hAnsi="宋体"/>
              </w:rPr>
              <w:t>预付购建长期资产款项</w:t>
            </w:r>
          </w:p>
        </w:tc>
        <w:tc>
          <w:tcPr>
            <w:tcW w:w="631" w:type="pct"/>
            <w:vAlign w:val="center"/>
          </w:tcPr>
          <w:p w14:paraId="0AC7FD1F">
            <w:pPr>
              <w:jc w:val="right"/>
            </w:pPr>
            <w:r>
              <w:t>20,367,747.82</w:t>
            </w:r>
          </w:p>
        </w:tc>
        <w:tc>
          <w:tcPr>
            <w:tcW w:w="630" w:type="pct"/>
            <w:vAlign w:val="center"/>
          </w:tcPr>
          <w:p w14:paraId="35463FCA">
            <w:pPr>
              <w:jc w:val="right"/>
            </w:pPr>
          </w:p>
        </w:tc>
        <w:tc>
          <w:tcPr>
            <w:tcW w:w="631" w:type="pct"/>
            <w:vAlign w:val="center"/>
          </w:tcPr>
          <w:p w14:paraId="630A04B1">
            <w:pPr>
              <w:jc w:val="right"/>
            </w:pPr>
            <w:r>
              <w:t>20,367,747.82</w:t>
            </w:r>
          </w:p>
        </w:tc>
        <w:tc>
          <w:tcPr>
            <w:tcW w:w="630" w:type="pct"/>
            <w:vAlign w:val="center"/>
          </w:tcPr>
          <w:p w14:paraId="1262F21D">
            <w:pPr>
              <w:jc w:val="right"/>
            </w:pPr>
            <w:r>
              <w:rPr>
                <w:rFonts w:hint="eastAsia" w:ascii="宋体" w:hAnsi="宋体"/>
                <w:sz w:val="18"/>
                <w:szCs w:val="18"/>
              </w:rPr>
              <w:t>13,278,447.82</w:t>
            </w:r>
          </w:p>
        </w:tc>
        <w:tc>
          <w:tcPr>
            <w:tcW w:w="629" w:type="pct"/>
            <w:vAlign w:val="center"/>
          </w:tcPr>
          <w:p w14:paraId="78EF0704">
            <w:pPr>
              <w:jc w:val="right"/>
            </w:pPr>
          </w:p>
        </w:tc>
        <w:tc>
          <w:tcPr>
            <w:tcW w:w="652" w:type="pct"/>
            <w:vAlign w:val="center"/>
          </w:tcPr>
          <w:p w14:paraId="04ED2569">
            <w:pPr>
              <w:jc w:val="right"/>
            </w:pPr>
            <w:r>
              <w:rPr>
                <w:rFonts w:hint="eastAsia" w:ascii="宋体" w:hAnsi="宋体"/>
                <w:sz w:val="18"/>
                <w:szCs w:val="18"/>
              </w:rPr>
              <w:t>13,278,447.82</w:t>
            </w:r>
          </w:p>
        </w:tc>
      </w:tr>
      <w:tr w14:paraId="60DB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198" w:type="pct"/>
          </w:tcPr>
          <w:p w14:paraId="38315F8F">
            <w:pPr>
              <w:jc w:val="both"/>
            </w:pPr>
            <w:r>
              <w:rPr>
                <w:rFonts w:hint="eastAsia" w:ascii="宋体" w:hAnsi="宋体"/>
              </w:rPr>
              <w:t>一年期以上的大额存单及利息</w:t>
            </w:r>
          </w:p>
        </w:tc>
        <w:tc>
          <w:tcPr>
            <w:tcW w:w="631" w:type="pct"/>
            <w:vAlign w:val="center"/>
          </w:tcPr>
          <w:p w14:paraId="592BBECC">
            <w:pPr>
              <w:jc w:val="right"/>
            </w:pPr>
            <w:r>
              <w:t>74,122,454.31</w:t>
            </w:r>
          </w:p>
        </w:tc>
        <w:tc>
          <w:tcPr>
            <w:tcW w:w="630" w:type="pct"/>
            <w:vAlign w:val="center"/>
          </w:tcPr>
          <w:p w14:paraId="7E438DBE">
            <w:pPr>
              <w:jc w:val="right"/>
            </w:pPr>
          </w:p>
        </w:tc>
        <w:tc>
          <w:tcPr>
            <w:tcW w:w="631" w:type="pct"/>
            <w:vAlign w:val="center"/>
          </w:tcPr>
          <w:p w14:paraId="00A1B8F9">
            <w:pPr>
              <w:jc w:val="right"/>
            </w:pPr>
            <w:r>
              <w:t>74,122,454.31</w:t>
            </w:r>
          </w:p>
        </w:tc>
        <w:tc>
          <w:tcPr>
            <w:tcW w:w="630" w:type="pct"/>
            <w:vAlign w:val="center"/>
          </w:tcPr>
          <w:p w14:paraId="5741E12D">
            <w:pPr>
              <w:jc w:val="right"/>
            </w:pPr>
            <w:r>
              <w:rPr>
                <w:rFonts w:hint="eastAsia" w:ascii="宋体" w:hAnsi="宋体"/>
                <w:sz w:val="18"/>
                <w:szCs w:val="18"/>
              </w:rPr>
              <w:t>130,784,914.62</w:t>
            </w:r>
          </w:p>
        </w:tc>
        <w:tc>
          <w:tcPr>
            <w:tcW w:w="629" w:type="pct"/>
            <w:vAlign w:val="center"/>
          </w:tcPr>
          <w:p w14:paraId="15686873">
            <w:pPr>
              <w:jc w:val="right"/>
            </w:pPr>
          </w:p>
        </w:tc>
        <w:tc>
          <w:tcPr>
            <w:tcW w:w="652" w:type="pct"/>
            <w:vAlign w:val="center"/>
          </w:tcPr>
          <w:p w14:paraId="617BAE56">
            <w:pPr>
              <w:jc w:val="right"/>
            </w:pPr>
            <w:r>
              <w:rPr>
                <w:rFonts w:hint="eastAsia" w:ascii="宋体" w:hAnsi="宋体"/>
                <w:sz w:val="18"/>
                <w:szCs w:val="18"/>
              </w:rPr>
              <w:t>130,784,914.62</w:t>
            </w:r>
          </w:p>
        </w:tc>
      </w:tr>
      <w:tr w14:paraId="29BE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198" w:type="pct"/>
            <w:vAlign w:val="center"/>
          </w:tcPr>
          <w:p w14:paraId="720632E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631" w:type="pct"/>
            <w:vAlign w:val="center"/>
          </w:tcPr>
          <w:p w14:paraId="72DC4FBD">
            <w:pPr>
              <w:jc w:val="right"/>
            </w:pPr>
            <w:r>
              <w:t>94,490,202.13</w:t>
            </w:r>
          </w:p>
        </w:tc>
        <w:tc>
          <w:tcPr>
            <w:tcW w:w="630" w:type="pct"/>
            <w:vAlign w:val="center"/>
          </w:tcPr>
          <w:p w14:paraId="08EBF4EF">
            <w:pPr>
              <w:jc w:val="right"/>
            </w:pPr>
          </w:p>
        </w:tc>
        <w:tc>
          <w:tcPr>
            <w:tcW w:w="631" w:type="pct"/>
            <w:vAlign w:val="center"/>
          </w:tcPr>
          <w:p w14:paraId="5F201E42">
            <w:pPr>
              <w:jc w:val="right"/>
            </w:pPr>
            <w:r>
              <w:t>94,490,202.13</w:t>
            </w:r>
          </w:p>
        </w:tc>
        <w:tc>
          <w:tcPr>
            <w:tcW w:w="630" w:type="pct"/>
            <w:vAlign w:val="center"/>
          </w:tcPr>
          <w:p w14:paraId="6E35B4F9">
            <w:pPr>
              <w:jc w:val="right"/>
            </w:pPr>
            <w:r>
              <w:rPr>
                <w:rFonts w:hint="eastAsia" w:ascii="宋体" w:hAnsi="宋体"/>
                <w:b/>
                <w:sz w:val="18"/>
                <w:szCs w:val="18"/>
              </w:rPr>
              <w:t>144,063,362.44</w:t>
            </w:r>
          </w:p>
        </w:tc>
        <w:tc>
          <w:tcPr>
            <w:tcW w:w="629" w:type="pct"/>
            <w:vAlign w:val="center"/>
          </w:tcPr>
          <w:p w14:paraId="1D6C9CFC">
            <w:pPr>
              <w:jc w:val="right"/>
            </w:pPr>
          </w:p>
        </w:tc>
        <w:tc>
          <w:tcPr>
            <w:tcW w:w="652" w:type="pct"/>
            <w:vAlign w:val="center"/>
          </w:tcPr>
          <w:p w14:paraId="6ACF3202">
            <w:pPr>
              <w:jc w:val="right"/>
            </w:pPr>
            <w:r>
              <w:rPr>
                <w:rFonts w:hint="eastAsia" w:ascii="宋体" w:hAnsi="宋体"/>
                <w:b/>
                <w:sz w:val="18"/>
                <w:szCs w:val="18"/>
              </w:rPr>
              <w:t>144,063,362.44</w:t>
            </w:r>
          </w:p>
        </w:tc>
      </w:tr>
    </w:tbl>
    <w:p w14:paraId="05CF34DF">
      <w:pPr>
        <w:rPr>
          <w:color w:val="000000" w:themeColor="text1"/>
          <w14:textFill>
            <w14:solidFill>
              <w14:schemeClr w14:val="tx1"/>
            </w14:solidFill>
          </w14:textFill>
        </w:rPr>
      </w:pPr>
    </w:p>
    <w:p w14:paraId="792C0302">
      <w:pPr>
        <w:rPr>
          <w:color w:val="000000" w:themeColor="text1"/>
          <w14:textFill>
            <w14:solidFill>
              <w14:schemeClr w14:val="tx1"/>
            </w14:solidFill>
          </w14:textFill>
        </w:rPr>
      </w:pPr>
      <w:r>
        <w:rPr>
          <w:color w:val="000000" w:themeColor="text1"/>
          <w14:textFill>
            <w14:solidFill>
              <w14:schemeClr w14:val="tx1"/>
            </w14:solidFill>
          </w14:textFill>
        </w:rPr>
        <w:t>补偿性资产相关信息</w:t>
      </w:r>
    </w:p>
    <w:sdt>
      <w:sdtPr>
        <w:rPr>
          <w:rFonts w:hint="eastAsia" w:ascii="宋体" w:hAnsi="宋体"/>
          <w:color w:val="000000"/>
        </w:rPr>
        <w:alias w:val="是否适用：其他非流动资产补偿性资产相关信息的说明[双击切换]"/>
        <w:tag w:val="_GBC_6e520bf4c606418495473064c593a087"/>
        <w:id w:val="560833700"/>
        <w:placeholder>
          <w:docPart w:val="GBC22222222222222222222222222222"/>
        </w:placeholder>
      </w:sdtPr>
      <w:sdtEndPr>
        <w:rPr>
          <w:rFonts w:hint="eastAsia" w:ascii="宋体" w:hAnsi="宋体"/>
          <w:color w:val="000000"/>
        </w:rPr>
      </w:sdtEndPr>
      <w:sdtContent>
        <w:p w14:paraId="4768AF54">
          <w:pPr>
            <w:rPr>
              <w:color w:val="000000"/>
            </w:rPr>
          </w:pPr>
          <w:r>
            <w:rPr>
              <w:rFonts w:hint="eastAsia" w:ascii="宋体" w:hAnsi="宋体"/>
              <w:color w:val="000000"/>
            </w:rPr>
            <w:fldChar w:fldCharType="begin"/>
          </w:r>
          <w:r>
            <w:rPr>
              <w:rFonts w:hint="eastAsia" w:ascii="宋体" w:hAnsi="宋体"/>
              <w:color w:val="000000"/>
            </w:rPr>
            <w:instrText xml:space="preserve"> MACROBUTTON  SnrToggleCheckbox □适用 </w:instrText>
          </w:r>
          <w:r>
            <w:rPr>
              <w:rFonts w:hint="eastAsia" w:ascii="宋体" w:hAnsi="宋体"/>
              <w:color w:val="000000"/>
            </w:rPr>
            <w:fldChar w:fldCharType="end"/>
          </w:r>
          <w:r>
            <w:rPr>
              <w:rFonts w:hint="eastAsia" w:ascii="宋体" w:hAnsi="宋体"/>
              <w:color w:val="000000"/>
            </w:rPr>
            <w:fldChar w:fldCharType="begin"/>
          </w:r>
          <w:r>
            <w:rPr>
              <w:rFonts w:hint="eastAsia" w:ascii="宋体" w:hAnsi="宋体"/>
              <w:color w:val="000000"/>
            </w:rPr>
            <w:instrText xml:space="preserve"> MACROBUTTON  SnrToggleCheckbox √不适用 </w:instrText>
          </w:r>
          <w:r>
            <w:rPr>
              <w:rFonts w:hint="eastAsia" w:ascii="宋体" w:hAnsi="宋体"/>
              <w:color w:val="000000"/>
            </w:rPr>
            <w:fldChar w:fldCharType="end"/>
          </w:r>
        </w:p>
      </w:sdtContent>
    </w:sdt>
    <w:p w14:paraId="161B0156">
      <w:pPr>
        <w:rPr>
          <w:color w:val="000000" w:themeColor="text1"/>
          <w14:textFill>
            <w14:solidFill>
              <w14:schemeClr w14:val="tx1"/>
            </w14:solidFill>
          </w14:textFill>
        </w:rPr>
      </w:pPr>
    </w:p>
    <w:p w14:paraId="250EEF39">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p w14:paraId="48FC3346">
      <w:pPr>
        <w:rPr>
          <w:color w:val="000000" w:themeColor="text1"/>
          <w14:textFill>
            <w14:solidFill>
              <w14:schemeClr w14:val="tx1"/>
            </w14:solidFill>
          </w14:textFill>
        </w:rPr>
      </w:pPr>
      <w:sdt>
        <w:sdtPr>
          <w:rPr>
            <w:color w:val="000000" w:themeColor="text1"/>
            <w14:textFill>
              <w14:solidFill>
                <w14:schemeClr w14:val="tx1"/>
              </w14:solidFill>
            </w14:textFill>
          </w:rPr>
          <w:alias w:val="其他长期资产的说明"/>
          <w:tag w:val="_GBC_c90d49970b64411f909938927f41ebe5"/>
          <w:id w:val="1158190151"/>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无</w:t>
          </w:r>
        </w:sdtContent>
      </w:sdt>
    </w:p>
    <w:p w14:paraId="0E47EEE8">
      <w:pPr>
        <w:rPr>
          <w:color w:val="000000" w:themeColor="text1"/>
          <w14:textFill>
            <w14:solidFill>
              <w14:schemeClr w14:val="tx1"/>
            </w14:solidFill>
          </w14:textFill>
        </w:rPr>
      </w:pPr>
    </w:p>
    <w:bookmarkEnd w:id="324"/>
    <w:p w14:paraId="78A4F206">
      <w:pPr>
        <w:pStyle w:val="4"/>
        <w:numPr>
          <w:ilvl w:val="0"/>
          <w:numId w:val="53"/>
        </w:numPr>
        <w:tabs>
          <w:tab w:val="left" w:pos="504"/>
        </w:tabs>
        <w:rPr>
          <w:rFonts w:hint="eastAsia" w:ascii="宋体" w:hAnsi="宋体" w:cs="宋体"/>
          <w:color w:val="000000" w:themeColor="text1"/>
          <w:kern w:val="0"/>
          <w:szCs w:val="21"/>
          <w14:textFill>
            <w14:solidFill>
              <w14:schemeClr w14:val="tx1"/>
            </w14:solidFill>
          </w14:textFill>
        </w:rPr>
      </w:pPr>
      <w:bookmarkStart w:id="325" w:name="_Hlk167960140"/>
      <w:r>
        <w:rPr>
          <w:rFonts w:hint="eastAsia" w:ascii="宋体" w:hAnsi="宋体" w:cs="宋体"/>
          <w:color w:val="000000" w:themeColor="text1"/>
          <w:kern w:val="0"/>
          <w:szCs w:val="21"/>
          <w14:textFill>
            <w14:solidFill>
              <w14:schemeClr w14:val="tx1"/>
            </w14:solidFill>
          </w14:textFill>
        </w:rPr>
        <w:t>所有权或使用权受限资产</w:t>
      </w:r>
    </w:p>
    <w:sdt>
      <w:sdtPr>
        <w:rPr>
          <w:color w:val="000000" w:themeColor="text1"/>
          <w14:textFill>
            <w14:solidFill>
              <w14:schemeClr w14:val="tx1"/>
            </w14:solidFill>
          </w14:textFill>
        </w:rPr>
        <w:alias w:val="是否适用：所有权或使用权受到限制的资产[双击切换]"/>
        <w:tag w:val="_GBC_006357d26b6d46ec8496596e5de014f0"/>
        <w:id w:val="-723677339"/>
        <w:placeholder>
          <w:docPart w:val="GBC22222222222222222222222222222"/>
        </w:placeholder>
      </w:sdtPr>
      <w:sdtEndPr>
        <w:rPr>
          <w:color w:val="000000" w:themeColor="text1"/>
          <w14:textFill>
            <w14:solidFill>
              <w14:schemeClr w14:val="tx1"/>
            </w14:solidFill>
          </w14:textFill>
        </w:rPr>
      </w:sdtEndPr>
      <w:sdtContent>
        <w:p w14:paraId="42ECA11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AE1D971">
      <w:pPr>
        <w:rPr>
          <w:color w:val="000000" w:themeColor="text1"/>
          <w14:textFill>
            <w14:solidFill>
              <w14:schemeClr w14:val="tx1"/>
            </w14:solidFill>
          </w14:textFill>
        </w:rPr>
      </w:pPr>
    </w:p>
    <w:p w14:paraId="0AED104E">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所有权或使用权受到限制的资产的其他说明"/>
        <w:tag w:val="_GBC_571ebdda2c564d648db287965351cd50"/>
        <w:id w:val="1211606974"/>
        <w:placeholder>
          <w:docPart w:val="GBC22222222222222222222222222222"/>
        </w:placeholder>
      </w:sdtPr>
      <w:sdtEndPr>
        <w:rPr>
          <w:color w:val="000000" w:themeColor="text1"/>
          <w14:textFill>
            <w14:solidFill>
              <w14:schemeClr w14:val="tx1"/>
            </w14:solidFill>
          </w14:textFill>
        </w:rPr>
      </w:sdtEndPr>
      <w:sdtContent>
        <w:p w14:paraId="43973A1B">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bookmarkEnd w:id="325"/>
    <w:p w14:paraId="1B9CF960">
      <w:pPr>
        <w:rPr>
          <w:color w:val="000000" w:themeColor="text1"/>
          <w14:textFill>
            <w14:solidFill>
              <w14:schemeClr w14:val="tx1"/>
            </w14:solidFill>
          </w14:textFill>
        </w:rPr>
      </w:pPr>
    </w:p>
    <w:p w14:paraId="70178A00">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短期借款</w:t>
      </w:r>
    </w:p>
    <w:p w14:paraId="52160FB2">
      <w:pPr>
        <w:pStyle w:val="5"/>
        <w:numPr>
          <w:ilvl w:val="0"/>
          <w:numId w:val="77"/>
        </w:numPr>
        <w:tabs>
          <w:tab w:val="left" w:pos="630"/>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短期借款分类</w:t>
      </w:r>
    </w:p>
    <w:sdt>
      <w:sdtPr>
        <w:rPr>
          <w:color w:val="000000" w:themeColor="text1"/>
          <w14:textFill>
            <w14:solidFill>
              <w14:schemeClr w14:val="tx1"/>
            </w14:solidFill>
          </w14:textFill>
        </w:rPr>
        <w:alias w:val="是否适用：短期借款分类[双击切换]"/>
        <w:tag w:val="_GBC_1074387a68b64f6b9270b522de53ad85"/>
        <w:id w:val="2081939125"/>
        <w:placeholder>
          <w:docPart w:val="GBC22222222222222222222222222222"/>
        </w:placeholder>
      </w:sdtPr>
      <w:sdtEndPr>
        <w:rPr>
          <w:color w:val="000000" w:themeColor="text1"/>
          <w14:textFill>
            <w14:solidFill>
              <w14:schemeClr w14:val="tx1"/>
            </w14:solidFill>
          </w14:textFill>
        </w:rPr>
      </w:sdtEndPr>
      <w:sdtContent>
        <w:p w14:paraId="3364F68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351A0B5">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短期借款分类"/>
          <w:tag w:val="_GBC_f3353209b65c4921b63143340e11aac9"/>
          <w:id w:val="92508098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短期借款分类"/>
          <w:tag w:val="_GBC_b3a1802faad14eae96cfab316b25f639"/>
          <w:id w:val="-7225921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2846"/>
        <w:gridCol w:w="2980"/>
        <w:gridCol w:w="2997"/>
      </w:tblGrid>
      <w:tr w14:paraId="1FC5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sdt>
          <w:sdtPr>
            <w:tag w:val="_PLD_3476605067da474199aa03dc83e3d88c"/>
            <w:id w:val="-870531737"/>
          </w:sdtPr>
          <w:sdtContent>
            <w:tc>
              <w:tcPr>
                <w:tcW w:w="1613" w:type="pct"/>
                <w:vAlign w:val="center"/>
              </w:tcPr>
              <w:p w14:paraId="2D8F2489">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ccd6dc2751cc421e8a2f26f78a44b4c5"/>
            <w:id w:val="2117788361"/>
          </w:sdtPr>
          <w:sdtContent>
            <w:tc>
              <w:tcPr>
                <w:tcW w:w="1689" w:type="pct"/>
                <w:vAlign w:val="center"/>
              </w:tcPr>
              <w:p w14:paraId="67795B0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c16f582c583d4324abc605c4bc563081"/>
            <w:id w:val="-1476445815"/>
          </w:sdtPr>
          <w:sdtContent>
            <w:tc>
              <w:tcPr>
                <w:tcW w:w="1698" w:type="pct"/>
                <w:vAlign w:val="center"/>
              </w:tcPr>
              <w:p w14:paraId="35A5414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3283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613" w:type="pct"/>
          </w:tcPr>
          <w:p w14:paraId="6C2F2FAA">
            <w:pPr>
              <w:autoSpaceDE w:val="0"/>
              <w:autoSpaceDN w:val="0"/>
              <w:adjustRightInd w:val="0"/>
              <w:snapToGrid w:val="0"/>
              <w:spacing w:line="240" w:lineRule="atLeast"/>
              <w:jc w:val="both"/>
              <w:rPr>
                <w:color w:val="000000" w:themeColor="text1"/>
                <w14:textFill>
                  <w14:solidFill>
                    <w14:schemeClr w14:val="tx1"/>
                  </w14:solidFill>
                </w14:textFill>
              </w:rPr>
            </w:pPr>
            <w:r>
              <w:rPr>
                <w:rFonts w:hint="eastAsia" w:ascii="宋体" w:hAnsi="宋体"/>
              </w:rPr>
              <w:t>保证借款</w:t>
            </w:r>
          </w:p>
        </w:tc>
        <w:tc>
          <w:tcPr>
            <w:tcW w:w="1689" w:type="pct"/>
          </w:tcPr>
          <w:p w14:paraId="69446F10">
            <w:pPr>
              <w:autoSpaceDE w:val="0"/>
              <w:autoSpaceDN w:val="0"/>
              <w:adjustRightInd w:val="0"/>
              <w:snapToGrid w:val="0"/>
              <w:spacing w:line="240" w:lineRule="atLeast"/>
              <w:ind w:right="180"/>
              <w:jc w:val="right"/>
            </w:pPr>
            <w:r>
              <w:t>675,500,000.00</w:t>
            </w:r>
          </w:p>
        </w:tc>
        <w:tc>
          <w:tcPr>
            <w:tcW w:w="1698" w:type="pct"/>
            <w:vAlign w:val="center"/>
          </w:tcPr>
          <w:p w14:paraId="01659EA5">
            <w:pPr>
              <w:autoSpaceDE w:val="0"/>
              <w:autoSpaceDN w:val="0"/>
              <w:adjustRightInd w:val="0"/>
              <w:snapToGrid w:val="0"/>
              <w:spacing w:line="240" w:lineRule="atLeast"/>
              <w:ind w:right="180"/>
              <w:jc w:val="right"/>
            </w:pPr>
            <w:r>
              <w:t>620,500,000.00</w:t>
            </w:r>
          </w:p>
        </w:tc>
      </w:tr>
      <w:tr w14:paraId="33BB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613" w:type="pct"/>
          </w:tcPr>
          <w:p w14:paraId="05752B82">
            <w:pPr>
              <w:autoSpaceDE w:val="0"/>
              <w:autoSpaceDN w:val="0"/>
              <w:adjustRightInd w:val="0"/>
              <w:snapToGrid w:val="0"/>
              <w:spacing w:line="240" w:lineRule="atLeast"/>
              <w:jc w:val="both"/>
              <w:rPr>
                <w:color w:val="000000" w:themeColor="text1"/>
                <w14:textFill>
                  <w14:solidFill>
                    <w14:schemeClr w14:val="tx1"/>
                  </w14:solidFill>
                </w14:textFill>
              </w:rPr>
            </w:pPr>
            <w:r>
              <w:rPr>
                <w:rFonts w:hint="eastAsia" w:ascii="宋体" w:hAnsi="宋体"/>
              </w:rPr>
              <w:t>质押借款</w:t>
            </w:r>
          </w:p>
        </w:tc>
        <w:tc>
          <w:tcPr>
            <w:tcW w:w="1689" w:type="pct"/>
          </w:tcPr>
          <w:p w14:paraId="7B12BCCD">
            <w:pPr>
              <w:autoSpaceDE w:val="0"/>
              <w:autoSpaceDN w:val="0"/>
              <w:adjustRightInd w:val="0"/>
              <w:snapToGrid w:val="0"/>
              <w:spacing w:line="240" w:lineRule="atLeast"/>
              <w:ind w:right="180"/>
              <w:jc w:val="right"/>
            </w:pPr>
            <w:r>
              <w:t>28,200,000.00</w:t>
            </w:r>
          </w:p>
        </w:tc>
        <w:tc>
          <w:tcPr>
            <w:tcW w:w="1698" w:type="pct"/>
            <w:vAlign w:val="center"/>
          </w:tcPr>
          <w:p w14:paraId="18E2113A">
            <w:pPr>
              <w:autoSpaceDE w:val="0"/>
              <w:autoSpaceDN w:val="0"/>
              <w:adjustRightInd w:val="0"/>
              <w:snapToGrid w:val="0"/>
              <w:spacing w:line="240" w:lineRule="atLeast"/>
              <w:ind w:right="180"/>
              <w:jc w:val="right"/>
            </w:pPr>
            <w:r>
              <w:t>28,200,000.00</w:t>
            </w:r>
          </w:p>
        </w:tc>
      </w:tr>
      <w:tr w14:paraId="6579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613" w:type="pct"/>
          </w:tcPr>
          <w:p w14:paraId="41E78A33">
            <w:pPr>
              <w:autoSpaceDE w:val="0"/>
              <w:autoSpaceDN w:val="0"/>
              <w:adjustRightInd w:val="0"/>
              <w:snapToGrid w:val="0"/>
              <w:spacing w:line="240" w:lineRule="atLeast"/>
              <w:jc w:val="both"/>
              <w:rPr>
                <w:color w:val="000000" w:themeColor="text1"/>
                <w14:textFill>
                  <w14:solidFill>
                    <w14:schemeClr w14:val="tx1"/>
                  </w14:solidFill>
                </w14:textFill>
              </w:rPr>
            </w:pPr>
            <w:r>
              <w:rPr>
                <w:rFonts w:hint="eastAsia" w:ascii="宋体" w:hAnsi="宋体"/>
              </w:rPr>
              <w:t>信用借款</w:t>
            </w:r>
          </w:p>
        </w:tc>
        <w:tc>
          <w:tcPr>
            <w:tcW w:w="1689" w:type="pct"/>
          </w:tcPr>
          <w:p w14:paraId="6AAD93C7">
            <w:pPr>
              <w:autoSpaceDE w:val="0"/>
              <w:autoSpaceDN w:val="0"/>
              <w:adjustRightInd w:val="0"/>
              <w:snapToGrid w:val="0"/>
              <w:spacing w:line="240" w:lineRule="atLeast"/>
              <w:ind w:right="180"/>
              <w:jc w:val="right"/>
            </w:pPr>
            <w:r>
              <w:t>181,900,000.00</w:t>
            </w:r>
          </w:p>
        </w:tc>
        <w:tc>
          <w:tcPr>
            <w:tcW w:w="1698" w:type="pct"/>
            <w:vAlign w:val="center"/>
          </w:tcPr>
          <w:p w14:paraId="200B1D8D">
            <w:pPr>
              <w:autoSpaceDE w:val="0"/>
              <w:autoSpaceDN w:val="0"/>
              <w:adjustRightInd w:val="0"/>
              <w:snapToGrid w:val="0"/>
              <w:spacing w:line="240" w:lineRule="atLeast"/>
              <w:ind w:right="180"/>
              <w:jc w:val="right"/>
            </w:pPr>
            <w:r>
              <w:t>222,900,000.00</w:t>
            </w:r>
          </w:p>
        </w:tc>
      </w:tr>
      <w:tr w14:paraId="1C4E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37" w:hRule="atLeast"/>
        </w:trPr>
        <w:tc>
          <w:tcPr>
            <w:tcW w:w="1613" w:type="pct"/>
          </w:tcPr>
          <w:p w14:paraId="7C402B5E">
            <w:pPr>
              <w:autoSpaceDE w:val="0"/>
              <w:autoSpaceDN w:val="0"/>
              <w:adjustRightInd w:val="0"/>
              <w:snapToGrid w:val="0"/>
              <w:spacing w:line="240" w:lineRule="atLeast"/>
              <w:jc w:val="both"/>
              <w:rPr>
                <w:color w:val="000000" w:themeColor="text1"/>
                <w14:textFill>
                  <w14:solidFill>
                    <w14:schemeClr w14:val="tx1"/>
                  </w14:solidFill>
                </w14:textFill>
              </w:rPr>
            </w:pPr>
            <w:r>
              <w:rPr>
                <w:rFonts w:hint="eastAsia" w:ascii="宋体" w:hAnsi="宋体"/>
              </w:rPr>
              <w:t>抵押借款</w:t>
            </w:r>
          </w:p>
        </w:tc>
        <w:tc>
          <w:tcPr>
            <w:tcW w:w="1689" w:type="pct"/>
          </w:tcPr>
          <w:p w14:paraId="44CCB773">
            <w:pPr>
              <w:autoSpaceDE w:val="0"/>
              <w:autoSpaceDN w:val="0"/>
              <w:adjustRightInd w:val="0"/>
              <w:snapToGrid w:val="0"/>
              <w:spacing w:line="240" w:lineRule="atLeast"/>
              <w:ind w:right="180"/>
              <w:jc w:val="right"/>
            </w:pPr>
          </w:p>
        </w:tc>
        <w:tc>
          <w:tcPr>
            <w:tcW w:w="1698" w:type="pct"/>
            <w:vAlign w:val="center"/>
          </w:tcPr>
          <w:p w14:paraId="7CA68BD1">
            <w:pPr>
              <w:autoSpaceDE w:val="0"/>
              <w:autoSpaceDN w:val="0"/>
              <w:adjustRightInd w:val="0"/>
              <w:snapToGrid w:val="0"/>
              <w:spacing w:line="240" w:lineRule="atLeast"/>
              <w:ind w:right="180"/>
              <w:jc w:val="right"/>
            </w:pPr>
          </w:p>
        </w:tc>
      </w:tr>
      <w:tr w14:paraId="6C2F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613" w:type="pct"/>
          </w:tcPr>
          <w:p w14:paraId="17A84614">
            <w:pPr>
              <w:autoSpaceDE w:val="0"/>
              <w:autoSpaceDN w:val="0"/>
              <w:adjustRightInd w:val="0"/>
              <w:snapToGrid w:val="0"/>
              <w:spacing w:line="240" w:lineRule="atLeast"/>
            </w:pPr>
            <w:r>
              <w:rPr>
                <w:rFonts w:hint="eastAsia" w:ascii="宋体" w:hAnsi="宋体"/>
              </w:rPr>
              <w:t>保证及抵押借款</w:t>
            </w:r>
          </w:p>
        </w:tc>
        <w:tc>
          <w:tcPr>
            <w:tcW w:w="1689" w:type="pct"/>
          </w:tcPr>
          <w:p w14:paraId="2D953174">
            <w:pPr>
              <w:autoSpaceDE w:val="0"/>
              <w:autoSpaceDN w:val="0"/>
              <w:adjustRightInd w:val="0"/>
              <w:snapToGrid w:val="0"/>
              <w:spacing w:line="240" w:lineRule="atLeast"/>
              <w:ind w:right="180"/>
              <w:jc w:val="right"/>
            </w:pPr>
            <w:r>
              <w:t>722,500,000.00</w:t>
            </w:r>
          </w:p>
        </w:tc>
        <w:tc>
          <w:tcPr>
            <w:tcW w:w="1698" w:type="pct"/>
            <w:vAlign w:val="center"/>
          </w:tcPr>
          <w:p w14:paraId="4F96EDDB">
            <w:pPr>
              <w:autoSpaceDE w:val="0"/>
              <w:autoSpaceDN w:val="0"/>
              <w:adjustRightInd w:val="0"/>
              <w:snapToGrid w:val="0"/>
              <w:spacing w:line="240" w:lineRule="atLeast"/>
              <w:ind w:right="180"/>
              <w:jc w:val="right"/>
            </w:pPr>
            <w:r>
              <w:t>723,500,000.00</w:t>
            </w:r>
          </w:p>
        </w:tc>
      </w:tr>
      <w:tr w14:paraId="5A10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613" w:type="pct"/>
          </w:tcPr>
          <w:p w14:paraId="7FBF2C86">
            <w:pPr>
              <w:autoSpaceDE w:val="0"/>
              <w:autoSpaceDN w:val="0"/>
              <w:adjustRightInd w:val="0"/>
              <w:snapToGrid w:val="0"/>
              <w:spacing w:line="240" w:lineRule="atLeast"/>
            </w:pPr>
            <w:r>
              <w:rPr>
                <w:rFonts w:hint="eastAsia" w:ascii="宋体" w:hAnsi="宋体"/>
              </w:rPr>
              <w:t>保证及质押借款</w:t>
            </w:r>
          </w:p>
        </w:tc>
        <w:tc>
          <w:tcPr>
            <w:tcW w:w="1689" w:type="pct"/>
          </w:tcPr>
          <w:p w14:paraId="641C172D">
            <w:pPr>
              <w:autoSpaceDE w:val="0"/>
              <w:autoSpaceDN w:val="0"/>
              <w:adjustRightInd w:val="0"/>
              <w:snapToGrid w:val="0"/>
              <w:spacing w:line="240" w:lineRule="atLeast"/>
              <w:ind w:right="180"/>
              <w:jc w:val="right"/>
            </w:pPr>
            <w:r>
              <w:t>9,700,000.00</w:t>
            </w:r>
          </w:p>
        </w:tc>
        <w:tc>
          <w:tcPr>
            <w:tcW w:w="1698" w:type="pct"/>
            <w:vAlign w:val="center"/>
          </w:tcPr>
          <w:p w14:paraId="24B1F4FD">
            <w:pPr>
              <w:autoSpaceDE w:val="0"/>
              <w:autoSpaceDN w:val="0"/>
              <w:adjustRightInd w:val="0"/>
              <w:snapToGrid w:val="0"/>
              <w:spacing w:line="240" w:lineRule="atLeast"/>
              <w:ind w:right="180"/>
              <w:jc w:val="right"/>
            </w:pPr>
            <w:r>
              <w:t>11,000,000.00</w:t>
            </w:r>
          </w:p>
        </w:tc>
      </w:tr>
      <w:tr w14:paraId="552D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613" w:type="pct"/>
          </w:tcPr>
          <w:p w14:paraId="39CDE330">
            <w:pPr>
              <w:autoSpaceDE w:val="0"/>
              <w:autoSpaceDN w:val="0"/>
              <w:adjustRightInd w:val="0"/>
              <w:snapToGrid w:val="0"/>
              <w:spacing w:line="240" w:lineRule="atLeast"/>
            </w:pPr>
            <w:r>
              <w:rPr>
                <w:rFonts w:hint="eastAsia" w:ascii="宋体" w:hAnsi="宋体"/>
              </w:rPr>
              <w:t>保证及质押及抵押借款</w:t>
            </w:r>
          </w:p>
        </w:tc>
        <w:tc>
          <w:tcPr>
            <w:tcW w:w="1689" w:type="pct"/>
          </w:tcPr>
          <w:p w14:paraId="2A917AA3">
            <w:pPr>
              <w:autoSpaceDE w:val="0"/>
              <w:autoSpaceDN w:val="0"/>
              <w:adjustRightInd w:val="0"/>
              <w:snapToGrid w:val="0"/>
              <w:spacing w:line="240" w:lineRule="atLeast"/>
              <w:ind w:right="180"/>
              <w:jc w:val="right"/>
            </w:pPr>
          </w:p>
        </w:tc>
        <w:tc>
          <w:tcPr>
            <w:tcW w:w="1698" w:type="pct"/>
            <w:vAlign w:val="center"/>
          </w:tcPr>
          <w:p w14:paraId="2A1A7CA8">
            <w:pPr>
              <w:autoSpaceDE w:val="0"/>
              <w:autoSpaceDN w:val="0"/>
              <w:adjustRightInd w:val="0"/>
              <w:snapToGrid w:val="0"/>
              <w:spacing w:line="240" w:lineRule="atLeast"/>
              <w:ind w:right="180"/>
              <w:jc w:val="right"/>
            </w:pPr>
          </w:p>
        </w:tc>
      </w:tr>
      <w:tr w14:paraId="4062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613" w:type="pct"/>
          </w:tcPr>
          <w:p w14:paraId="6E11A57B">
            <w:pPr>
              <w:autoSpaceDE w:val="0"/>
              <w:autoSpaceDN w:val="0"/>
              <w:adjustRightInd w:val="0"/>
              <w:snapToGrid w:val="0"/>
              <w:spacing w:line="240" w:lineRule="atLeast"/>
            </w:pPr>
            <w:r>
              <w:rPr>
                <w:rFonts w:hint="eastAsia" w:ascii="宋体" w:hAnsi="宋体"/>
              </w:rPr>
              <w:t>票据贴现借款</w:t>
            </w:r>
          </w:p>
        </w:tc>
        <w:tc>
          <w:tcPr>
            <w:tcW w:w="1689" w:type="pct"/>
          </w:tcPr>
          <w:p w14:paraId="3606461D">
            <w:pPr>
              <w:autoSpaceDE w:val="0"/>
              <w:autoSpaceDN w:val="0"/>
              <w:adjustRightInd w:val="0"/>
              <w:snapToGrid w:val="0"/>
              <w:spacing w:line="240" w:lineRule="atLeast"/>
              <w:ind w:right="180"/>
              <w:jc w:val="right"/>
            </w:pPr>
            <w:r>
              <w:t>62</w:t>
            </w:r>
            <w:r>
              <w:rPr>
                <w:rFonts w:hint="eastAsia"/>
              </w:rPr>
              <w:t>6</w:t>
            </w:r>
            <w:r>
              <w:t>,020,582.18</w:t>
            </w:r>
          </w:p>
        </w:tc>
        <w:tc>
          <w:tcPr>
            <w:tcW w:w="1698" w:type="pct"/>
            <w:vAlign w:val="center"/>
          </w:tcPr>
          <w:p w14:paraId="29BC85B4">
            <w:pPr>
              <w:autoSpaceDE w:val="0"/>
              <w:autoSpaceDN w:val="0"/>
              <w:adjustRightInd w:val="0"/>
              <w:snapToGrid w:val="0"/>
              <w:spacing w:line="240" w:lineRule="atLeast"/>
              <w:ind w:right="180"/>
              <w:jc w:val="right"/>
            </w:pPr>
            <w:r>
              <w:t>554,765,192.81</w:t>
            </w:r>
          </w:p>
        </w:tc>
      </w:tr>
      <w:tr w14:paraId="333D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613" w:type="pct"/>
          </w:tcPr>
          <w:p w14:paraId="2A16D022">
            <w:pPr>
              <w:autoSpaceDE w:val="0"/>
              <w:autoSpaceDN w:val="0"/>
              <w:adjustRightInd w:val="0"/>
              <w:snapToGrid w:val="0"/>
              <w:spacing w:line="240" w:lineRule="atLeast"/>
            </w:pPr>
            <w:r>
              <w:rPr>
                <w:rFonts w:hint="eastAsia" w:ascii="宋体" w:hAnsi="宋体"/>
              </w:rPr>
              <w:t>信用证借款</w:t>
            </w:r>
          </w:p>
        </w:tc>
        <w:tc>
          <w:tcPr>
            <w:tcW w:w="1689" w:type="pct"/>
          </w:tcPr>
          <w:p w14:paraId="483B6E09">
            <w:pPr>
              <w:autoSpaceDE w:val="0"/>
              <w:autoSpaceDN w:val="0"/>
              <w:adjustRightInd w:val="0"/>
              <w:snapToGrid w:val="0"/>
              <w:spacing w:line="240" w:lineRule="atLeast"/>
              <w:ind w:right="180"/>
              <w:jc w:val="right"/>
            </w:pPr>
            <w:r>
              <w:t>66,500,000.00</w:t>
            </w:r>
          </w:p>
        </w:tc>
        <w:tc>
          <w:tcPr>
            <w:tcW w:w="1698" w:type="pct"/>
            <w:vAlign w:val="center"/>
          </w:tcPr>
          <w:p w14:paraId="2AF92643">
            <w:pPr>
              <w:autoSpaceDE w:val="0"/>
              <w:autoSpaceDN w:val="0"/>
              <w:adjustRightInd w:val="0"/>
              <w:snapToGrid w:val="0"/>
              <w:spacing w:line="240" w:lineRule="atLeast"/>
              <w:ind w:right="180"/>
              <w:jc w:val="right"/>
            </w:pPr>
            <w:r>
              <w:t>68,000,000.00</w:t>
            </w:r>
          </w:p>
        </w:tc>
      </w:tr>
      <w:tr w14:paraId="4251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613" w:type="pct"/>
          </w:tcPr>
          <w:p w14:paraId="4D1868A4">
            <w:pPr>
              <w:autoSpaceDE w:val="0"/>
              <w:autoSpaceDN w:val="0"/>
              <w:adjustRightInd w:val="0"/>
              <w:snapToGrid w:val="0"/>
              <w:spacing w:line="240" w:lineRule="atLeast"/>
            </w:pPr>
            <w:r>
              <w:rPr>
                <w:rFonts w:hint="eastAsia" w:ascii="宋体" w:hAnsi="宋体"/>
              </w:rPr>
              <w:t>利息</w:t>
            </w:r>
          </w:p>
        </w:tc>
        <w:tc>
          <w:tcPr>
            <w:tcW w:w="1689" w:type="pct"/>
          </w:tcPr>
          <w:p w14:paraId="3C734527">
            <w:pPr>
              <w:autoSpaceDE w:val="0"/>
              <w:autoSpaceDN w:val="0"/>
              <w:adjustRightInd w:val="0"/>
              <w:snapToGrid w:val="0"/>
              <w:spacing w:line="240" w:lineRule="atLeast"/>
              <w:ind w:right="180"/>
              <w:jc w:val="right"/>
            </w:pPr>
            <w:r>
              <w:t>320,126.25</w:t>
            </w:r>
          </w:p>
        </w:tc>
        <w:tc>
          <w:tcPr>
            <w:tcW w:w="1698" w:type="pct"/>
            <w:vAlign w:val="center"/>
          </w:tcPr>
          <w:p w14:paraId="2D30C063">
            <w:pPr>
              <w:autoSpaceDE w:val="0"/>
              <w:autoSpaceDN w:val="0"/>
              <w:adjustRightInd w:val="0"/>
              <w:snapToGrid w:val="0"/>
              <w:spacing w:line="240" w:lineRule="atLeast"/>
              <w:ind w:right="180"/>
              <w:jc w:val="right"/>
            </w:pPr>
            <w:r>
              <w:t>509,207.19</w:t>
            </w:r>
          </w:p>
        </w:tc>
      </w:tr>
      <w:tr w14:paraId="48E7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613" w:type="pct"/>
            <w:vAlign w:val="center"/>
          </w:tcPr>
          <w:p w14:paraId="3D80DAF0">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89" w:type="pct"/>
          </w:tcPr>
          <w:p w14:paraId="135C0068">
            <w:pPr>
              <w:autoSpaceDE w:val="0"/>
              <w:autoSpaceDN w:val="0"/>
              <w:adjustRightInd w:val="0"/>
              <w:snapToGrid w:val="0"/>
              <w:spacing w:line="240" w:lineRule="atLeast"/>
              <w:ind w:right="180"/>
              <w:jc w:val="right"/>
            </w:pPr>
            <w:r>
              <w:t>2,3</w:t>
            </w:r>
            <w:r>
              <w:rPr>
                <w:rFonts w:hint="eastAsia"/>
              </w:rPr>
              <w:t>10</w:t>
            </w:r>
            <w:r>
              <w:t>,640,708.43</w:t>
            </w:r>
          </w:p>
        </w:tc>
        <w:tc>
          <w:tcPr>
            <w:tcW w:w="1698" w:type="pct"/>
            <w:vAlign w:val="center"/>
          </w:tcPr>
          <w:p w14:paraId="4B8859BE">
            <w:pPr>
              <w:autoSpaceDE w:val="0"/>
              <w:autoSpaceDN w:val="0"/>
              <w:adjustRightInd w:val="0"/>
              <w:snapToGrid w:val="0"/>
              <w:spacing w:line="240" w:lineRule="atLeast"/>
              <w:ind w:right="180"/>
              <w:jc w:val="right"/>
            </w:pPr>
            <w:r>
              <w:t>2,229,374,400.00</w:t>
            </w:r>
          </w:p>
        </w:tc>
      </w:tr>
    </w:tbl>
    <w:p w14:paraId="78ACCBA3">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短期借款分类的说明：</w:t>
      </w:r>
    </w:p>
    <w:sdt>
      <w:sdtPr>
        <w:rPr>
          <w:color w:val="000000" w:themeColor="text1"/>
          <w14:textFill>
            <w14:solidFill>
              <w14:schemeClr w14:val="tx1"/>
            </w14:solidFill>
          </w14:textFill>
        </w:rPr>
        <w:alias w:val="短期借款分类的说明"/>
        <w:tag w:val="_GBC_fc19e133dd4f4dbdb9d583e76175b714"/>
        <w:id w:val="-1747797656"/>
        <w:placeholder>
          <w:docPart w:val="GBC22222222222222222222222222222"/>
        </w:placeholder>
      </w:sdtPr>
      <w:sdtEndPr>
        <w:rPr>
          <w:color w:val="000000" w:themeColor="text1"/>
          <w14:textFill>
            <w14:solidFill>
              <w14:schemeClr w14:val="tx1"/>
            </w14:solidFill>
          </w14:textFill>
        </w:rPr>
      </w:sdtEndPr>
      <w:sdtContent>
        <w:p w14:paraId="637A0794">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本公司由好当家集团有限公司、唐传勤、田锦霞担保，以本公司、荣成荣东食品有限公司、荣成荣山食品有限公司海域使用权为抵押，2026年1月12日从建行荣成支行取得借款2,000万元；</w:t>
          </w:r>
        </w:p>
        <w:p w14:paraId="5B81AC9A">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本公司由好当家集团有限公司、唐传勤、田锦霞担保，以本公司、荣成荣东食品有限公司、荣成荣山食品有限公司海域使用权为抵押，2026年2月11日从建行荣成支行取得借款5,000万元；</w:t>
          </w:r>
        </w:p>
        <w:p w14:paraId="18C7891B">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本公司由好当家集团有限公司、唐传勤、田锦霞担保，以本公司、荣成荣东食品有限公司、荣成荣山食品有限公司海域使用权为抵押，2026年2月9日从建行荣成支行取得借款3,750万元；</w:t>
          </w:r>
        </w:p>
        <w:p w14:paraId="39E39FA2">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本公司由好当家集团有限公司、唐传勤、田锦霞担保，以本公司、荣成荣东食品有限公司、荣成荣山食品有限公司海域使用权为抵押，2026年5月9日从建行荣成支行取得借款3,000万元；</w:t>
          </w:r>
        </w:p>
        <w:p w14:paraId="6C6FE6FC">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本公司由好当家集团有限公司、唐传勤、田锦霞担保，以本公司、荣成荣东食品有限公司、荣成荣山食品有限公司海域使用权为抵押，2025年8月22日从建行荣成支行取得借款2,900万元；</w:t>
          </w:r>
        </w:p>
        <w:p w14:paraId="1BFD4949">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本公司由好当家集团有限公司、唐传勤、田锦霞担保，以本公司、荣成荣东食品有限公司、荣成荣山食品有限公司海域使用权为抵押，2025年10月11日从建行荣成支行取得借款3,900万元；</w:t>
          </w:r>
        </w:p>
        <w:p w14:paraId="5EF1332F">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本公司由好当家集团有限公司、唐传勤、田锦霞担保，以本公司、荣成荣东食品有限公司、荣成荣山食品有限公司海域使用权为抵押，2025年10月16日从建行荣成支行取得借款3,300万元；</w:t>
          </w:r>
        </w:p>
        <w:p w14:paraId="66457EB8">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本公司由好当家集团有限公司、唐传勤、田锦霞担保，以本公司、荣成荣东食品有限公司、荣成荣山食品有限公司海域使用权为抵押，2025年10月20日从建行荣成支行取得借款2,700万元；</w:t>
          </w:r>
        </w:p>
        <w:p w14:paraId="131B4139">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本公司由好当家集团有限公司、唐传勤、田锦霞担保，以本公司、山东好当家集团有限公司海域使用权为抵押，2025年10月29日从交行威海荣成支行取得借款 10,000万元；</w:t>
          </w:r>
        </w:p>
        <w:p w14:paraId="17A1DC29">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本公司由好当家集团有限公司、唐传勤、田锦霞担保，以本公司、山东好当家集团有限公司海域使用权为抵押，2025年12月4日从交行威海荣成支行取得借款2,000万元；</w:t>
          </w:r>
        </w:p>
        <w:p w14:paraId="3787CA11">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本公司由好当家集团有限公司担保，2026年4月21日从南洋商业银行青岛西海岸新区支行取得借款5,000万元；</w:t>
          </w:r>
        </w:p>
        <w:p w14:paraId="6F5FB85A">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本公司由唐传勤、田锦霞为担保，本公司土地使用权为抵押，2026年4月20日从农发行荣成支行取得借款4,700万元；</w:t>
          </w:r>
        </w:p>
        <w:p w14:paraId="46304E27">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本公司由好当家集团有限公司、唐传勤担保，2025年10月14日从农行荣成支行取得借款3,500万元；</w:t>
          </w:r>
        </w:p>
        <w:p w14:paraId="463318F1">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本公司由好当家集团有限公司、唐传勤担保，2025年10月23日从农行荣成支行取得借款4,400万元；</w:t>
          </w:r>
        </w:p>
        <w:p w14:paraId="3150A92C">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本公司由好当家集团有限公司、唐传勤担保，以本公司海域使用权为抵押，2025年11月20日从农行荣成支行取得借款5,000万元；</w:t>
          </w:r>
        </w:p>
        <w:p w14:paraId="7E76CBBB">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本公司由好当家集团有限公司、唐传勤担保，以本公司的房地产及土地使用权、荣华食品厂的土地使用权为抵押，2025年11月25日从农行荣成支行取得借款3,500万元；</w:t>
          </w:r>
        </w:p>
        <w:p w14:paraId="2E72C177">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w:t>
          </w:r>
          <w:bookmarkStart w:id="326" w:name="OLE_LINK10"/>
          <w:r>
            <w:rPr>
              <w:rFonts w:hint="eastAsia"/>
              <w:color w:val="000000" w:themeColor="text1"/>
              <w14:textFill>
                <w14:solidFill>
                  <w14:schemeClr w14:val="tx1"/>
                </w14:solidFill>
              </w14:textFill>
            </w:rPr>
            <w:t>唐传勤、山东邱家实业有限公司</w:t>
          </w:r>
          <w:bookmarkEnd w:id="326"/>
          <w:r>
            <w:rPr>
              <w:rFonts w:hint="eastAsia"/>
              <w:color w:val="000000" w:themeColor="text1"/>
              <w14:textFill>
                <w14:solidFill>
                  <w14:schemeClr w14:val="tx1"/>
                </w14:solidFill>
              </w14:textFill>
            </w:rPr>
            <w:t>、荣成海盛纸业有限公司担保，2026年1月28日从浦发银行取得借款5, 900万元,；</w:t>
          </w:r>
        </w:p>
        <w:p w14:paraId="0374C7E1">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本公司由好当家集团有限公司、唐传勤、山东邱家实业有限公司、荣成海盛纸业有限公司担保，2026年2月26日从浦发银行取得借款4,000万元；</w:t>
          </w:r>
        </w:p>
        <w:p w14:paraId="3224A774">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本公司由好当家集团有限公司担保，以本公司、荣成荣东食品有限公司、荣成荣山食品有限公司、荣成荣健食品有限公司海域使用权为抵押，2026年3月25日从青岛银行荣成支行取得借款5,000万元；</w:t>
          </w:r>
        </w:p>
        <w:p w14:paraId="4338E721">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本公司由好当家集团有限公司担保，以本公司、荣成荣东食品有限公司、荣成荣山食品有限公司、荣成荣健食品有限公司海域使用权为抵押，2026年3月25日从青岛银行荣成支行取得借款4,000万元；</w:t>
          </w:r>
        </w:p>
        <w:p w14:paraId="7907BC98">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本公司由好当家集团有限公司担保，2026年3月16日从日照银行威海分行取得借款4,000万元；</w:t>
          </w:r>
        </w:p>
        <w:p w14:paraId="4A13F94B">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本公司由好当家集团有限公司担保、股份公司质押，2026年3月13日从日照银行威海分行取得借款970万元；</w:t>
          </w:r>
        </w:p>
        <w:p w14:paraId="38DB0ABB">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本公司由唐传勤、田锦霞担保，以本公司、荣成荣东食品有限公司、荣成荣山食品有限公司房地产为抵押，2026年4月27日从荣成农商行邱家支行取得借款4,900万元；</w:t>
          </w:r>
        </w:p>
        <w:p w14:paraId="463776FC">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本公司由好当家集团有限公司、唐传勤担保，以好当家集团有限公司海域使用权为抵押，2026年1月5日从烟台银行威海分行取得借款2,850万元；</w:t>
          </w:r>
        </w:p>
        <w:p w14:paraId="58DC6D39">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本公司由好当家集团有限公司担保，2026年3月3日从中行威海分行取得借款2,000万元；</w:t>
          </w:r>
        </w:p>
        <w:p w14:paraId="1B570F15">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本公司由好当家集团有限公司担保，2026年4月8日从中行威海分行取得借款4,000万元；</w:t>
          </w:r>
        </w:p>
        <w:p w14:paraId="75EA5744">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本公司由好当家集团有限公司担保，2025年7月11日从中行威海分行取得借款4,000万元；</w:t>
          </w:r>
        </w:p>
        <w:p w14:paraId="3A22C636">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本公司由好当家集团有限公司担保，2025年8月6日从中行威海分行取得借款4,000万元；</w:t>
          </w:r>
        </w:p>
        <w:p w14:paraId="631ADEDB">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本公司由好当家集团有限公司担保，2025年11月6日从中行威海分行取得借款5,000万元；</w:t>
          </w:r>
        </w:p>
        <w:p w14:paraId="58DC277F">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本公司由好当家集团有限公司、唐传勤、田锦霞、荣成市城市发展投资有限公司担保，2025年12月23日从中信银行威海石岛支行取得借款4,500万元；</w:t>
          </w:r>
        </w:p>
        <w:p w14:paraId="24622D3F">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本公司由好当家集团有限公司、唐传勤、田锦霞、荣成市城市发展投资有限公司担保，2026年5月8日从中信银行威海石岛支行取得借款750万元；</w:t>
          </w:r>
        </w:p>
        <w:p w14:paraId="0BFF119E">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本公司由好当家集团有限公司、唐传勤、田锦霞、荣成市城市发展投资有限公司担保，2025年12月16日从中信银行威海石岛支行取得借款5,750万元；</w:t>
          </w:r>
        </w:p>
        <w:p w14:paraId="53537F43">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本公司由好当家集团有限公司担保， 以本公司、荣成荣康食品有限公司、山东好当家海洋食品销售有限公司、山东好当家海洋发展股份有限公司冷链物流配送分公司房地产为抵押，2025年12月29日从民生银行明湖支行取得借款3,000万元；</w:t>
          </w:r>
        </w:p>
        <w:p w14:paraId="45461544">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本公司以3,400万存单为质押，2026年6月1日从青岛银行荣成支行取得借款3,400万元；</w:t>
          </w:r>
        </w:p>
        <w:p w14:paraId="2CAAA912">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本公司由好当家集团有限公司、唐传勤担保，2026年6月3日从招商银行荣成支行开立保理取得借款2</w:t>
          </w:r>
          <w:bookmarkStart w:id="327" w:name="OLE_LINK7"/>
          <w:r>
            <w:rPr>
              <w:rFonts w:hint="eastAsia"/>
              <w:color w:val="000000" w:themeColor="text1"/>
              <w14:textFill>
                <w14:solidFill>
                  <w14:schemeClr w14:val="tx1"/>
                </w14:solidFill>
              </w14:textFill>
            </w:rPr>
            <w:t>,</w:t>
          </w:r>
          <w:bookmarkEnd w:id="327"/>
          <w:r>
            <w:rPr>
              <w:rFonts w:hint="eastAsia"/>
              <w:color w:val="000000" w:themeColor="text1"/>
              <w14:textFill>
                <w14:solidFill>
                  <w14:schemeClr w14:val="tx1"/>
                </w14:solidFill>
              </w14:textFill>
            </w:rPr>
            <w:t>000万元、流动资金贷款2,000万元；</w:t>
          </w:r>
        </w:p>
        <w:p w14:paraId="2169E746">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本公司子公司青岛家盛水产有限公司由本公司担保，2025年9月3日从中国光大银行青岛辽宁路支行取得借款1,000万元；</w:t>
          </w:r>
        </w:p>
        <w:p w14:paraId="23F7115D">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本公司子公司青岛家盛水产有限公司由本公司担保，2026年3月13日从北京银行青岛分行取得1,000万元流动资金贷款；</w:t>
          </w:r>
        </w:p>
        <w:p w14:paraId="0641D6A1">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本公司子公司威海海翔食品监测服务有限公司以1000万定期存单（本行普通存单(非电子式)0012500）为质押，2025年9月19日从青岛银行威海荣成支行取得借款990万元；</w:t>
          </w:r>
        </w:p>
        <w:p w14:paraId="26D38501">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本公司子公司荣成荣康食品有限公司以990万元存单（本行普通存单(非电子式)0011992）为质押，于2025年11月28日从青岛银行荣成支行取得借款990万元；</w:t>
          </w:r>
        </w:p>
        <w:p w14:paraId="1BA238C7">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本公司子公司荣成荣进食品有限公司以850万元存单（本行普通存单(非电子式)0015148）为质押，2025年11月28日从青岛银行荣成支行取得借款840万元；</w:t>
          </w:r>
        </w:p>
        <w:p w14:paraId="3968F3B9">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山东好当家海洋捕捞有限公司由唐传勤、山东邱家实业有限公司、荣成海盛纸业有限公司、好当家集团有限公司担保，本公司大额存单895万元为质押，2026年3月5日通过国内证贴现从浦发银行取得借款1,000万元；</w:t>
          </w:r>
        </w:p>
        <w:p w14:paraId="180D2680">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本公司子公司山东好当家海洋捕捞有限公司由好当家集团有限公司担保，本公司保证金500万为质押，2025年12月19日通过国内证贴现从恒丰银行取得借款1</w:t>
          </w:r>
          <w:bookmarkStart w:id="328" w:name="OLE_LINK8"/>
          <w:r>
            <w:rPr>
              <w:rFonts w:hint="eastAsia"/>
              <w:color w:val="000000" w:themeColor="text1"/>
              <w14:textFill>
                <w14:solidFill>
                  <w14:schemeClr w14:val="tx1"/>
                </w14:solidFill>
              </w14:textFill>
            </w:rPr>
            <w:t>,</w:t>
          </w:r>
          <w:bookmarkEnd w:id="328"/>
          <w:r>
            <w:rPr>
              <w:rFonts w:hint="eastAsia"/>
              <w:color w:val="000000" w:themeColor="text1"/>
              <w14:textFill>
                <w14:solidFill>
                  <w14:schemeClr w14:val="tx1"/>
                </w14:solidFill>
              </w14:textFill>
            </w:rPr>
            <w:t>000万元。</w:t>
          </w:r>
        </w:p>
        <w:p w14:paraId="1F422E35">
          <w:pPr>
            <w:snapToGrid w:val="0"/>
            <w:spacing w:line="360" w:lineRule="auto"/>
            <w:rPr>
              <w:color w:val="000000" w:themeColor="text1"/>
              <w14:textFill>
                <w14:solidFill>
                  <w14:schemeClr w14:val="tx1"/>
                </w14:solidFill>
              </w14:textFill>
            </w:rPr>
          </w:pPr>
          <w:bookmarkStart w:id="329" w:name="OLE_LINK9"/>
          <w:r>
            <w:rPr>
              <w:rFonts w:hint="eastAsia"/>
              <w:color w:val="000000" w:themeColor="text1"/>
              <w14:textFill>
                <w14:solidFill>
                  <w14:schemeClr w14:val="tx1"/>
                </w14:solidFill>
              </w14:textFill>
            </w:rPr>
            <w:t>本公司子公司山东好当家海洋捕捞有限公司由</w:t>
          </w:r>
          <w:bookmarkEnd w:id="329"/>
          <w:r>
            <w:rPr>
              <w:rFonts w:hint="eastAsia"/>
              <w:color w:val="000000" w:themeColor="text1"/>
              <w14:textFill>
                <w14:solidFill>
                  <w14:schemeClr w14:val="tx1"/>
                </w14:solidFill>
              </w14:textFill>
            </w:rPr>
            <w:t>荣成市经济开发投资有限公司担保，2026年1月16日从齐鲁银行荣成支行取得1</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500万元；</w:t>
          </w:r>
        </w:p>
        <w:p w14:paraId="0DC06FFD">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本公司由唐传勤、山东邱家实业有限公司担保，2026年5月19日从威海银行荣成支行取得3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000万元；</w:t>
          </w:r>
        </w:p>
      </w:sdtContent>
    </w:sdt>
    <w:p w14:paraId="4B8AC0C2">
      <w:pPr>
        <w:snapToGrid w:val="0"/>
        <w:spacing w:line="240" w:lineRule="atLeast"/>
        <w:ind w:right="-153" w:rightChars="-73"/>
        <w:rPr>
          <w:b/>
          <w:color w:val="000000" w:themeColor="text1"/>
          <w14:textFill>
            <w14:solidFill>
              <w14:schemeClr w14:val="tx1"/>
            </w14:solidFill>
          </w14:textFill>
        </w:rPr>
      </w:pPr>
    </w:p>
    <w:p w14:paraId="2511BE86">
      <w:pPr>
        <w:pStyle w:val="5"/>
        <w:numPr>
          <w:ilvl w:val="0"/>
          <w:numId w:val="77"/>
        </w:numPr>
        <w:tabs>
          <w:tab w:val="left" w:pos="630"/>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已逾期未偿还的短期借款情况</w:t>
      </w:r>
    </w:p>
    <w:sdt>
      <w:sdtPr>
        <w:rPr>
          <w:color w:val="000000" w:themeColor="text1"/>
          <w14:textFill>
            <w14:solidFill>
              <w14:schemeClr w14:val="tx1"/>
            </w14:solidFill>
          </w14:textFill>
        </w:rPr>
        <w:alias w:val="是否适用：已逾期未偿还的短期借款情况[双击切换]"/>
        <w:tag w:val="_GBC_57f74ff95a304f19a7c06d7996fc30c7"/>
        <w:id w:val="739293302"/>
        <w:placeholder>
          <w:docPart w:val="GBC22222222222222222222222222222"/>
        </w:placeholder>
      </w:sdtPr>
      <w:sdtEndPr>
        <w:rPr>
          <w:color w:val="000000" w:themeColor="text1"/>
          <w14:textFill>
            <w14:solidFill>
              <w14:schemeClr w14:val="tx1"/>
            </w14:solidFill>
          </w14:textFill>
        </w:rPr>
      </w:sdtEndPr>
      <w:sdtContent>
        <w:p w14:paraId="3906A4B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9C69A05">
      <w:pPr>
        <w:rPr>
          <w:color w:val="000000" w:themeColor="text1"/>
          <w14:textFill>
            <w14:solidFill>
              <w14:schemeClr w14:val="tx1"/>
            </w14:solidFill>
          </w14:textFill>
        </w:rPr>
      </w:pPr>
    </w:p>
    <w:p w14:paraId="4EEA3236">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短期借款的说明[双击切换]"/>
        <w:tag w:val="_GBC_663e3ee6df014147bb9c7daa18ccb062"/>
        <w:id w:val="1162122588"/>
        <w:placeholder>
          <w:docPart w:val="GBC22222222222222222222222222222"/>
        </w:placeholder>
      </w:sdtPr>
      <w:sdtEndPr>
        <w:rPr>
          <w:color w:val="000000" w:themeColor="text1"/>
          <w14:textFill>
            <w14:solidFill>
              <w14:schemeClr w14:val="tx1"/>
            </w14:solidFill>
          </w14:textFill>
        </w:rPr>
      </w:sdtEndPr>
      <w:sdtContent>
        <w:p w14:paraId="3770B30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9900D0B">
      <w:pPr>
        <w:rPr>
          <w:color w:val="000000" w:themeColor="text1"/>
          <w14:textFill>
            <w14:solidFill>
              <w14:schemeClr w14:val="tx1"/>
            </w14:solidFill>
          </w14:textFill>
        </w:rPr>
      </w:pPr>
    </w:p>
    <w:p w14:paraId="26515D7A">
      <w:pPr>
        <w:pStyle w:val="4"/>
        <w:numPr>
          <w:ilvl w:val="0"/>
          <w:numId w:val="53"/>
        </w:numPr>
        <w:tabs>
          <w:tab w:val="left" w:pos="504"/>
        </w:tabs>
        <w:rPr>
          <w:color w:val="000000" w:themeColor="text1"/>
          <w:szCs w:val="21"/>
          <w14:textFill>
            <w14:solidFill>
              <w14:schemeClr w14:val="tx1"/>
            </w14:solidFill>
          </w14:textFill>
        </w:rPr>
      </w:pPr>
      <w:bookmarkStart w:id="330" w:name="_Hlk533422954"/>
      <w:bookmarkStart w:id="331" w:name="_Hlk533670147"/>
      <w:bookmarkStart w:id="332" w:name="_Hlk167960253"/>
      <w:r>
        <w:rPr>
          <w:rFonts w:hint="eastAsia"/>
          <w:color w:val="000000" w:themeColor="text1"/>
          <w:szCs w:val="21"/>
          <w14:textFill>
            <w14:solidFill>
              <w14:schemeClr w14:val="tx1"/>
            </w14:solidFill>
          </w14:textFill>
        </w:rPr>
        <w:t>交易性金融负债</w:t>
      </w:r>
    </w:p>
    <w:sdt>
      <w:sdtPr>
        <w:rPr>
          <w:color w:val="000000" w:themeColor="text1"/>
          <w14:textFill>
            <w14:solidFill>
              <w14:schemeClr w14:val="tx1"/>
            </w14:solidFill>
          </w14:textFill>
        </w:rPr>
        <w:alias w:val="是否适用：交易性金融负债[双击切换]"/>
        <w:tag w:val="_GBC_c80a748cb25743768dff0a872a281bca"/>
        <w:id w:val="1101765651"/>
        <w:placeholder>
          <w:docPart w:val="GBC22222222222222222222222222222"/>
        </w:placeholder>
      </w:sdtPr>
      <w:sdtEndPr>
        <w:rPr>
          <w:color w:val="000000" w:themeColor="text1"/>
          <w14:textFill>
            <w14:solidFill>
              <w14:schemeClr w14:val="tx1"/>
            </w14:solidFill>
          </w14:textFill>
        </w:rPr>
      </w:sdtEndPr>
      <w:sdtContent>
        <w:p w14:paraId="5A00A71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0111C1A">
      <w:pPr>
        <w:rPr>
          <w:color w:val="000000" w:themeColor="text1"/>
          <w14:textFill>
            <w14:solidFill>
              <w14:schemeClr w14:val="tx1"/>
            </w14:solidFill>
          </w14:textFill>
        </w:rPr>
      </w:pPr>
    </w:p>
    <w:p w14:paraId="6616F252">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r>
        <w:rPr>
          <w:color w:val="000000" w:themeColor="text1"/>
          <w14:textFill>
            <w14:solidFill>
              <w14:schemeClr w14:val="tx1"/>
            </w14:solidFill>
          </w14:textFill>
        </w:rPr>
        <w:t>说明</w:t>
      </w:r>
      <w:r>
        <w:rPr>
          <w:rFonts w:hint="eastAsia"/>
          <w:color w:val="000000" w:themeColor="text1"/>
          <w14:textFill>
            <w14:solidFill>
              <w14:schemeClr w14:val="tx1"/>
            </w14:solidFill>
          </w14:textFill>
        </w:rPr>
        <w:t>：</w:t>
      </w:r>
    </w:p>
    <w:sdt>
      <w:sdtPr>
        <w:rPr>
          <w:color w:val="000000" w:themeColor="text1"/>
          <w14:textFill>
            <w14:solidFill>
              <w14:schemeClr w14:val="tx1"/>
            </w14:solidFill>
          </w14:textFill>
        </w:rPr>
        <w:alias w:val="是否适用：交易性金融负债的说明[双击切换]"/>
        <w:tag w:val="_GBC_692d0bb6340447f685684271256fa188"/>
        <w:id w:val="-1900435173"/>
        <w:placeholder>
          <w:docPart w:val="GBC22222222222222222222222222222"/>
        </w:placeholder>
      </w:sdtPr>
      <w:sdtEndPr>
        <w:rPr>
          <w:color w:val="000000" w:themeColor="text1"/>
          <w14:textFill>
            <w14:solidFill>
              <w14:schemeClr w14:val="tx1"/>
            </w14:solidFill>
          </w14:textFill>
        </w:rPr>
      </w:sdtEndPr>
      <w:sdtContent>
        <w:p w14:paraId="5AC9AA3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594C267">
      <w:pPr>
        <w:rPr>
          <w:color w:val="000000" w:themeColor="text1"/>
          <w14:textFill>
            <w14:solidFill>
              <w14:schemeClr w14:val="tx1"/>
            </w14:solidFill>
          </w14:textFill>
        </w:rPr>
      </w:pPr>
    </w:p>
    <w:bookmarkEnd w:id="330"/>
    <w:bookmarkEnd w:id="331"/>
    <w:bookmarkEnd w:id="332"/>
    <w:p w14:paraId="36F28D89">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衍生</w:t>
      </w:r>
      <w:r>
        <w:rPr>
          <w:rFonts w:hint="eastAsia" w:ascii="宋体" w:hAnsi="宋体"/>
          <w:color w:val="000000" w:themeColor="text1"/>
          <w14:textFill>
            <w14:solidFill>
              <w14:schemeClr w14:val="tx1"/>
            </w14:solidFill>
          </w14:textFill>
        </w:rPr>
        <w:t>金融</w:t>
      </w:r>
      <w:r>
        <w:rPr>
          <w:rFonts w:hint="eastAsia" w:ascii="宋体" w:hAnsi="宋体"/>
          <w:color w:val="000000" w:themeColor="text1"/>
          <w:szCs w:val="21"/>
          <w14:textFill>
            <w14:solidFill>
              <w14:schemeClr w14:val="tx1"/>
            </w14:solidFill>
          </w14:textFill>
        </w:rPr>
        <w:t>负债</w:t>
      </w:r>
    </w:p>
    <w:sdt>
      <w:sdtPr>
        <w:rPr>
          <w:color w:val="000000" w:themeColor="text1"/>
          <w14:textFill>
            <w14:solidFill>
              <w14:schemeClr w14:val="tx1"/>
            </w14:solidFill>
          </w14:textFill>
        </w:rPr>
        <w:alias w:val="是否适用：衍生金融负债[双击切换]"/>
        <w:tag w:val="_GBC_3a60c0d3d0534eba80b93475b0a6411f"/>
        <w:id w:val="271754356"/>
        <w:placeholder>
          <w:docPart w:val="GBC22222222222222222222222222222"/>
        </w:placeholder>
      </w:sdtPr>
      <w:sdtEndPr>
        <w:rPr>
          <w:color w:val="000000" w:themeColor="text1"/>
          <w14:textFill>
            <w14:solidFill>
              <w14:schemeClr w14:val="tx1"/>
            </w14:solidFill>
          </w14:textFill>
        </w:rPr>
      </w:sdtEndPr>
      <w:sdtContent>
        <w:p w14:paraId="122C896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7E0C8A3">
      <w:pPr>
        <w:rPr>
          <w:color w:val="000000" w:themeColor="text1"/>
          <w14:textFill>
            <w14:solidFill>
              <w14:schemeClr w14:val="tx1"/>
            </w14:solidFill>
          </w14:textFill>
        </w:rPr>
      </w:pPr>
    </w:p>
    <w:p w14:paraId="657DFC77">
      <w:pPr>
        <w:rPr>
          <w:color w:val="000000" w:themeColor="text1"/>
          <w14:textFill>
            <w14:solidFill>
              <w14:schemeClr w14:val="tx1"/>
            </w14:solidFill>
          </w14:textFill>
        </w:rPr>
      </w:pPr>
    </w:p>
    <w:p w14:paraId="2D4B469C">
      <w:pPr>
        <w:pStyle w:val="4"/>
        <w:numPr>
          <w:ilvl w:val="0"/>
          <w:numId w:val="53"/>
        </w:numPr>
        <w:tabs>
          <w:tab w:val="left" w:pos="504"/>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应付票据</w:t>
      </w:r>
    </w:p>
    <w:sdt>
      <w:sdtPr>
        <w:rPr>
          <w:color w:val="000000" w:themeColor="text1"/>
          <w14:textFill>
            <w14:solidFill>
              <w14:schemeClr w14:val="tx1"/>
            </w14:solidFill>
          </w14:textFill>
        </w:rPr>
        <w:alias w:val="是否适用：应付票据[双击切换]"/>
        <w:tag w:val="_GBC_57c67181b34944e782b23a48b1843e8f"/>
        <w:id w:val="1994917102"/>
        <w:placeholder>
          <w:docPart w:val="GBC22222222222222222222222222222"/>
        </w:placeholder>
      </w:sdtPr>
      <w:sdtEndPr>
        <w:rPr>
          <w:color w:val="000000" w:themeColor="text1"/>
          <w14:textFill>
            <w14:solidFill>
              <w14:schemeClr w14:val="tx1"/>
            </w14:solidFill>
          </w14:textFill>
        </w:rPr>
      </w:sdtEndPr>
      <w:sdtContent>
        <w:p w14:paraId="3BE09F4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3C4422C">
      <w:pPr>
        <w:snapToGrid w:val="0"/>
        <w:spacing w:line="240" w:lineRule="atLeast"/>
        <w:rPr>
          <w:color w:val="000000" w:themeColor="text1"/>
          <w14:textFill>
            <w14:solidFill>
              <w14:schemeClr w14:val="tx1"/>
            </w14:solidFill>
          </w14:textFill>
        </w:rPr>
      </w:pPr>
      <w:bookmarkStart w:id="333" w:name="_Hlk167960344"/>
    </w:p>
    <w:p w14:paraId="5B2B66CD">
      <w:pPr>
        <w:snapToGrid w:val="0"/>
        <w:spacing w:line="240" w:lineRule="atLeast"/>
        <w:rPr>
          <w:color w:val="000000" w:themeColor="text1"/>
          <w14:textFill>
            <w14:solidFill>
              <w14:schemeClr w14:val="tx1"/>
            </w14:solidFill>
          </w14:textFill>
        </w:rPr>
      </w:pPr>
    </w:p>
    <w:bookmarkEnd w:id="333"/>
    <w:p w14:paraId="2B13B7FE">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应付</w:t>
      </w:r>
      <w:r>
        <w:rPr>
          <w:rFonts w:hint="eastAsia" w:ascii="宋体" w:hAnsi="宋体"/>
          <w:color w:val="000000" w:themeColor="text1"/>
          <w:szCs w:val="21"/>
          <w14:textFill>
            <w14:solidFill>
              <w14:schemeClr w14:val="tx1"/>
            </w14:solidFill>
          </w14:textFill>
        </w:rPr>
        <w:t>账款</w:t>
      </w:r>
    </w:p>
    <w:p w14:paraId="2E8645DE">
      <w:pPr>
        <w:pStyle w:val="5"/>
        <w:numPr>
          <w:ilvl w:val="0"/>
          <w:numId w:val="78"/>
        </w:numPr>
        <w:tabs>
          <w:tab w:val="left" w:pos="588"/>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应付账款列示</w:t>
      </w:r>
    </w:p>
    <w:sdt>
      <w:sdtPr>
        <w:rPr>
          <w:color w:val="000000" w:themeColor="text1"/>
          <w14:textFill>
            <w14:solidFill>
              <w14:schemeClr w14:val="tx1"/>
            </w14:solidFill>
          </w14:textFill>
        </w:rPr>
        <w:alias w:val="是否适用：应付账款列示[双击切换]"/>
        <w:tag w:val="_GBC_8531771c226a4fb0b98e3cdaf7271c71"/>
        <w:id w:val="625431477"/>
        <w:placeholder>
          <w:docPart w:val="GBC22222222222222222222222222222"/>
        </w:placeholder>
      </w:sdtPr>
      <w:sdtEndPr>
        <w:rPr>
          <w:color w:val="000000" w:themeColor="text1"/>
          <w14:textFill>
            <w14:solidFill>
              <w14:schemeClr w14:val="tx1"/>
            </w14:solidFill>
          </w14:textFill>
        </w:rPr>
      </w:sdtEndPr>
      <w:sdtContent>
        <w:p w14:paraId="7033312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6F0DD3C">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应付账款情况"/>
          <w:tag w:val="_GBC_53c05e3ea1bb4f08bbe5cf204a0947b9"/>
          <w:id w:val="-185796299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应付账款情况"/>
          <w:tag w:val="_GBC_e10cb0a664ca4400817c8a2bcf9247fc"/>
          <w:id w:val="154062862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0"/>
        <w:gridCol w:w="2795"/>
        <w:gridCol w:w="3258"/>
      </w:tblGrid>
      <w:tr w14:paraId="7EA4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7dae27caeee34d74add24cd985083c75"/>
            <w:id w:val="1695191753"/>
          </w:sdtPr>
          <w:sdtContent>
            <w:tc>
              <w:tcPr>
                <w:tcW w:w="1570" w:type="pct"/>
              </w:tcPr>
              <w:p w14:paraId="1164389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136ba417561e421ea02da8004fdf8b33"/>
            <w:id w:val="2054961107"/>
          </w:sdtPr>
          <w:sdtContent>
            <w:tc>
              <w:tcPr>
                <w:tcW w:w="1584" w:type="pct"/>
              </w:tcPr>
              <w:p w14:paraId="4CDCB59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bc4b311c1ee54bd48b7b2ba2ab79c364"/>
            <w:id w:val="-533740480"/>
          </w:sdtPr>
          <w:sdtContent>
            <w:tc>
              <w:tcPr>
                <w:tcW w:w="1846" w:type="pct"/>
              </w:tcPr>
              <w:p w14:paraId="4A2EC0B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6866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pct"/>
          </w:tcPr>
          <w:p w14:paraId="166E0F0E">
            <w:r>
              <w:rPr>
                <w:rFonts w:hint="eastAsia" w:ascii="宋体" w:hAnsi="宋体"/>
              </w:rPr>
              <w:t>应付采购商品与劳务款项</w:t>
            </w:r>
          </w:p>
        </w:tc>
        <w:tc>
          <w:tcPr>
            <w:tcW w:w="1584" w:type="pct"/>
          </w:tcPr>
          <w:p w14:paraId="17445957">
            <w:pPr>
              <w:jc w:val="right"/>
            </w:pPr>
            <w:r>
              <w:t>117,396,365.42</w:t>
            </w:r>
          </w:p>
        </w:tc>
        <w:tc>
          <w:tcPr>
            <w:tcW w:w="1846" w:type="pct"/>
            <w:vAlign w:val="center"/>
          </w:tcPr>
          <w:p w14:paraId="34241C7F">
            <w:pPr>
              <w:jc w:val="right"/>
            </w:pPr>
            <w:r>
              <w:rPr>
                <w:rFonts w:hint="eastAsia" w:ascii="宋体" w:hAnsi="宋体"/>
              </w:rPr>
              <w:t xml:space="preserve"> 123,114,768.67 </w:t>
            </w:r>
          </w:p>
        </w:tc>
      </w:tr>
      <w:tr w14:paraId="0ED4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pct"/>
          </w:tcPr>
          <w:p w14:paraId="2E66BF2A">
            <w:r>
              <w:rPr>
                <w:rFonts w:hint="eastAsia" w:ascii="宋体" w:hAnsi="宋体"/>
              </w:rPr>
              <w:t>应付采购设备与工程款项</w:t>
            </w:r>
          </w:p>
        </w:tc>
        <w:tc>
          <w:tcPr>
            <w:tcW w:w="1584" w:type="pct"/>
          </w:tcPr>
          <w:p w14:paraId="36C08A32">
            <w:pPr>
              <w:jc w:val="right"/>
            </w:pPr>
            <w:r>
              <w:t>107,929,466.26</w:t>
            </w:r>
          </w:p>
        </w:tc>
        <w:tc>
          <w:tcPr>
            <w:tcW w:w="1846" w:type="pct"/>
            <w:vAlign w:val="center"/>
          </w:tcPr>
          <w:p w14:paraId="13827523">
            <w:pPr>
              <w:jc w:val="right"/>
            </w:pPr>
            <w:r>
              <w:rPr>
                <w:rFonts w:hint="eastAsia" w:ascii="宋体" w:hAnsi="宋体"/>
              </w:rPr>
              <w:t xml:space="preserve"> 5,575,101.68 </w:t>
            </w:r>
          </w:p>
        </w:tc>
      </w:tr>
      <w:tr w14:paraId="0A76A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pct"/>
          </w:tcPr>
          <w:p w14:paraId="073731C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584" w:type="pct"/>
          </w:tcPr>
          <w:p w14:paraId="6B7D0870">
            <w:pPr>
              <w:jc w:val="right"/>
            </w:pPr>
            <w:r>
              <w:t>225,325,831.68</w:t>
            </w:r>
          </w:p>
        </w:tc>
        <w:tc>
          <w:tcPr>
            <w:tcW w:w="1846" w:type="pct"/>
            <w:vAlign w:val="center"/>
          </w:tcPr>
          <w:p w14:paraId="36B9A188">
            <w:pPr>
              <w:jc w:val="right"/>
            </w:pPr>
            <w:r>
              <w:rPr>
                <w:rFonts w:hint="eastAsia" w:ascii="宋体" w:hAnsi="宋体"/>
              </w:rPr>
              <w:t xml:space="preserve"> 128,689,870.35 </w:t>
            </w:r>
          </w:p>
        </w:tc>
      </w:tr>
    </w:tbl>
    <w:p w14:paraId="04F7B80C">
      <w:pPr>
        <w:rPr>
          <w:color w:val="000000" w:themeColor="text1"/>
          <w14:textFill>
            <w14:solidFill>
              <w14:schemeClr w14:val="tx1"/>
            </w14:solidFill>
          </w14:textFill>
        </w:rPr>
      </w:pPr>
    </w:p>
    <w:p w14:paraId="2E5C6A45">
      <w:pPr>
        <w:pStyle w:val="5"/>
        <w:numPr>
          <w:ilvl w:val="0"/>
          <w:numId w:val="78"/>
        </w:numPr>
        <w:tabs>
          <w:tab w:val="left" w:pos="588"/>
        </w:tabs>
        <w:rPr>
          <w:rFonts w:hint="eastAsia"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账龄超过</w:t>
      </w:r>
      <w:r>
        <w:rPr>
          <w:rFonts w:ascii="宋体" w:hAnsi="宋体"/>
          <w:color w:val="000000" w:themeColor="text1"/>
          <w:kern w:val="0"/>
          <w14:textFill>
            <w14:solidFill>
              <w14:schemeClr w14:val="tx1"/>
            </w14:solidFill>
          </w14:textFill>
        </w:rPr>
        <w:t>1年</w:t>
      </w:r>
      <w:r>
        <w:rPr>
          <w:rFonts w:hint="eastAsia" w:ascii="宋体" w:hAnsi="宋体"/>
          <w:color w:val="000000" w:themeColor="text1"/>
          <w:kern w:val="0"/>
          <w14:textFill>
            <w14:solidFill>
              <w14:schemeClr w14:val="tx1"/>
            </w14:solidFill>
          </w14:textFill>
        </w:rPr>
        <w:t>或逾期</w:t>
      </w:r>
      <w:r>
        <w:rPr>
          <w:rFonts w:ascii="宋体" w:hAnsi="宋体"/>
          <w:color w:val="000000" w:themeColor="text1"/>
          <w:kern w:val="0"/>
          <w14:textFill>
            <w14:solidFill>
              <w14:schemeClr w14:val="tx1"/>
            </w14:solidFill>
          </w14:textFill>
        </w:rPr>
        <w:t>的重要应付账款</w:t>
      </w:r>
    </w:p>
    <w:sdt>
      <w:sdtPr>
        <w:rPr>
          <w:color w:val="000000" w:themeColor="text1"/>
          <w14:textFill>
            <w14:solidFill>
              <w14:schemeClr w14:val="tx1"/>
            </w14:solidFill>
          </w14:textFill>
        </w:rPr>
        <w:alias w:val="是否适用：账龄超过1年的重要应付账款[双击切换]"/>
        <w:tag w:val="_GBC_02c6e7ed8ae149e8a09f5b80217deb89"/>
        <w:id w:val="1059672197"/>
        <w:placeholder>
          <w:docPart w:val="GBC22222222222222222222222222222"/>
        </w:placeholder>
      </w:sdtPr>
      <w:sdtEndPr>
        <w:rPr>
          <w:color w:val="000000" w:themeColor="text1"/>
          <w14:textFill>
            <w14:solidFill>
              <w14:schemeClr w14:val="tx1"/>
            </w14:solidFill>
          </w14:textFill>
        </w:rPr>
      </w:sdtEndPr>
      <w:sdtContent>
        <w:p w14:paraId="73D1E32A">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673B867">
      <w:pPr>
        <w:rPr>
          <w:color w:val="000000" w:themeColor="text1"/>
          <w14:textFill>
            <w14:solidFill>
              <w14:schemeClr w14:val="tx1"/>
            </w14:solidFill>
          </w14:textFill>
        </w:rPr>
      </w:pPr>
    </w:p>
    <w:p w14:paraId="17358387">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应付账款的其他说明[双击切换]"/>
        <w:tag w:val="_GBC_9a797e83ea1747e9aca4221e6cdfe89f"/>
        <w:id w:val="-1151289149"/>
        <w:placeholder>
          <w:docPart w:val="GBC22222222222222222222222222222"/>
        </w:placeholder>
      </w:sdtPr>
      <w:sdtEndPr>
        <w:rPr>
          <w:color w:val="000000" w:themeColor="text1"/>
          <w14:textFill>
            <w14:solidFill>
              <w14:schemeClr w14:val="tx1"/>
            </w14:solidFill>
          </w14:textFill>
        </w:rPr>
      </w:sdtEndPr>
      <w:sdtContent>
        <w:p w14:paraId="7B03930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应付账款的其他说明"/>
        <w:tag w:val="_GBC_ce49b41e552042498c99840916063218"/>
        <w:id w:val="1820836700"/>
        <w:placeholder>
          <w:docPart w:val="GBC22222222222222222222222222222"/>
        </w:placeholder>
      </w:sdtPr>
      <w:sdtEndPr>
        <w:rPr>
          <w:color w:val="000000" w:themeColor="text1"/>
          <w14:textFill>
            <w14:solidFill>
              <w14:schemeClr w14:val="tx1"/>
            </w14:solidFill>
          </w14:textFill>
        </w:rPr>
      </w:sdtEndPr>
      <w:sdtContent>
        <w:p w14:paraId="532B79B5">
          <w:pPr>
            <w:rPr>
              <w:color w:val="000000" w:themeColor="text1"/>
              <w14:textFill>
                <w14:solidFill>
                  <w14:schemeClr w14:val="tx1"/>
                </w14:solidFill>
              </w14:textFill>
            </w:rPr>
          </w:pPr>
          <w:r>
            <w:rPr>
              <w:rFonts w:hint="eastAsia"/>
              <w:color w:val="000000" w:themeColor="text1"/>
              <w14:textFill>
                <w14:solidFill>
                  <w14:schemeClr w14:val="tx1"/>
                </w14:solidFill>
              </w14:textFill>
            </w:rPr>
            <w:t>报告期期末无重要的账龄超过1年的应付账款。</w:t>
          </w:r>
        </w:p>
      </w:sdtContent>
    </w:sdt>
    <w:p w14:paraId="45E907C5">
      <w:pPr>
        <w:snapToGrid w:val="0"/>
        <w:spacing w:line="240" w:lineRule="atLeast"/>
        <w:rPr>
          <w:color w:val="000000" w:themeColor="text1"/>
          <w14:textFill>
            <w14:solidFill>
              <w14:schemeClr w14:val="tx1"/>
            </w14:solidFill>
          </w14:textFill>
        </w:rPr>
      </w:pPr>
    </w:p>
    <w:p w14:paraId="17DBE371">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预收款项</w:t>
      </w:r>
    </w:p>
    <w:p w14:paraId="69B1157A">
      <w:pPr>
        <w:pStyle w:val="5"/>
        <w:numPr>
          <w:ilvl w:val="0"/>
          <w:numId w:val="79"/>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预收账款项列示</w:t>
      </w:r>
    </w:p>
    <w:sdt>
      <w:sdtPr>
        <w:rPr>
          <w:color w:val="000000" w:themeColor="text1"/>
          <w14:textFill>
            <w14:solidFill>
              <w14:schemeClr w14:val="tx1"/>
            </w14:solidFill>
          </w14:textFill>
        </w:rPr>
        <w:alias w:val="是否适用：预收账款项列示[双击切换]"/>
        <w:tag w:val="_GBC_cf9ab7f5f12c4f788a9bbb6e3ef9c9de"/>
        <w:id w:val="-84996917"/>
        <w:placeholder>
          <w:docPart w:val="GBC22222222222222222222222222222"/>
        </w:placeholder>
      </w:sdtPr>
      <w:sdtEndPr>
        <w:rPr>
          <w:color w:val="000000" w:themeColor="text1"/>
          <w14:textFill>
            <w14:solidFill>
              <w14:schemeClr w14:val="tx1"/>
            </w14:solidFill>
          </w14:textFill>
        </w:rPr>
      </w:sdtEndPr>
      <w:sdtContent>
        <w:p w14:paraId="31DA65D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7D90CE4">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预收账款情况"/>
          <w:tag w:val="_GBC_f4564e0d7a8a4a9589aae9168c4c8fdb"/>
          <w:id w:val="375668248"/>
          <w:placeholder>
            <w:docPart w:val="7F22127486B042A390D37F6660EFE2F7"/>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预收账款情况"/>
          <w:tag w:val="_GBC_e993db46bf3641c59c10bd3e14a930d9"/>
          <w:id w:val="-2111034688"/>
          <w:placeholder>
            <w:docPart w:val="7F22127486B042A390D37F6660EFE2F7"/>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5"/>
        <w:gridCol w:w="3002"/>
        <w:gridCol w:w="2996"/>
      </w:tblGrid>
      <w:tr w14:paraId="20B2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d5dd98b095374d108e2df93a96e434bb"/>
            <w:id w:val="1269737914"/>
          </w:sdtPr>
          <w:sdtContent>
            <w:tc>
              <w:tcPr>
                <w:tcW w:w="1601" w:type="pct"/>
              </w:tcPr>
              <w:p w14:paraId="5CD072E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9fc077db74354318b54c7ec24cd1ce0c"/>
            <w:id w:val="-1787039695"/>
          </w:sdtPr>
          <w:sdtContent>
            <w:tc>
              <w:tcPr>
                <w:tcW w:w="1701" w:type="pct"/>
              </w:tcPr>
              <w:p w14:paraId="43D3D28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aa9447699c054ad4b698586b835a3180"/>
            <w:id w:val="-264690963"/>
          </w:sdtPr>
          <w:sdtContent>
            <w:tc>
              <w:tcPr>
                <w:tcW w:w="1698" w:type="pct"/>
              </w:tcPr>
              <w:p w14:paraId="303FF54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3367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Pr>
          <w:p w14:paraId="017D1661">
            <w:r>
              <w:rPr>
                <w:rFonts w:hint="eastAsia"/>
              </w:rPr>
              <w:t>预收房租</w:t>
            </w:r>
          </w:p>
        </w:tc>
        <w:tc>
          <w:tcPr>
            <w:tcW w:w="1701" w:type="pct"/>
          </w:tcPr>
          <w:p w14:paraId="36D03851">
            <w:pPr>
              <w:jc w:val="right"/>
            </w:pPr>
            <w:r>
              <w:t>98,412.70</w:t>
            </w:r>
          </w:p>
        </w:tc>
        <w:tc>
          <w:tcPr>
            <w:tcW w:w="1698" w:type="pct"/>
            <w:vAlign w:val="center"/>
          </w:tcPr>
          <w:p w14:paraId="6D0D544A">
            <w:pPr>
              <w:jc w:val="right"/>
            </w:pPr>
            <w:r>
              <w:t>98,412.70</w:t>
            </w:r>
          </w:p>
        </w:tc>
      </w:tr>
      <w:tr w14:paraId="6CA8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Pr>
          <w:p w14:paraId="360D854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701" w:type="pct"/>
          </w:tcPr>
          <w:p w14:paraId="3FBFBD6E">
            <w:pPr>
              <w:jc w:val="right"/>
            </w:pPr>
            <w:r>
              <w:t>98,412.70</w:t>
            </w:r>
          </w:p>
        </w:tc>
        <w:tc>
          <w:tcPr>
            <w:tcW w:w="1698" w:type="pct"/>
            <w:vAlign w:val="center"/>
          </w:tcPr>
          <w:p w14:paraId="39D2F25D">
            <w:pPr>
              <w:jc w:val="right"/>
            </w:pPr>
            <w:r>
              <w:t>98,412.70</w:t>
            </w:r>
          </w:p>
        </w:tc>
      </w:tr>
    </w:tbl>
    <w:p w14:paraId="1CE64AFC"/>
    <w:p w14:paraId="30CD570E">
      <w:pPr>
        <w:rPr>
          <w:color w:val="000000" w:themeColor="text1"/>
          <w14:textFill>
            <w14:solidFill>
              <w14:schemeClr w14:val="tx1"/>
            </w14:solidFill>
          </w14:textFill>
        </w:rPr>
      </w:pPr>
    </w:p>
    <w:p w14:paraId="22828F20">
      <w:pPr>
        <w:pStyle w:val="5"/>
        <w:numPr>
          <w:ilvl w:val="0"/>
          <w:numId w:val="79"/>
        </w:numPr>
        <w:rPr>
          <w:rFonts w:hint="eastAsia"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账龄超过</w:t>
      </w:r>
      <w:r>
        <w:rPr>
          <w:rFonts w:ascii="宋体" w:hAnsi="宋体"/>
          <w:color w:val="000000" w:themeColor="text1"/>
          <w:kern w:val="0"/>
          <w14:textFill>
            <w14:solidFill>
              <w14:schemeClr w14:val="tx1"/>
            </w14:solidFill>
          </w14:textFill>
        </w:rPr>
        <w:t>1年的重要预收款项</w:t>
      </w:r>
    </w:p>
    <w:sdt>
      <w:sdtPr>
        <w:rPr>
          <w:color w:val="000000" w:themeColor="text1"/>
          <w14:textFill>
            <w14:solidFill>
              <w14:schemeClr w14:val="tx1"/>
            </w14:solidFill>
          </w14:textFill>
        </w:rPr>
        <w:alias w:val="是否适用：账龄超过1年的重要预收款项[双击切换]"/>
        <w:tag w:val="_GBC_ae7ea5bab4b04b2cb170af5020f86302"/>
        <w:id w:val="789250618"/>
        <w:placeholder>
          <w:docPart w:val="GBC22222222222222222222222222222"/>
        </w:placeholder>
      </w:sdtPr>
      <w:sdtEndPr>
        <w:rPr>
          <w:color w:val="000000" w:themeColor="text1"/>
          <w14:textFill>
            <w14:solidFill>
              <w14:schemeClr w14:val="tx1"/>
            </w14:solidFill>
          </w14:textFill>
        </w:rPr>
      </w:sdtEndPr>
      <w:sdtContent>
        <w:p w14:paraId="431D608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472E0FA">
      <w:pPr>
        <w:rPr>
          <w:rFonts w:cstheme="minorBidi"/>
          <w:color w:val="000000" w:themeColor="text1"/>
          <w14:textFill>
            <w14:solidFill>
              <w14:schemeClr w14:val="tx1"/>
            </w14:solidFill>
          </w14:textFill>
        </w:rPr>
      </w:pPr>
    </w:p>
    <w:p w14:paraId="590C6CD0">
      <w:pPr>
        <w:pStyle w:val="5"/>
        <w:numPr>
          <w:ilvl w:val="0"/>
          <w:numId w:val="79"/>
        </w:numPr>
        <w:ind w:left="450" w:hanging="450"/>
        <w:rPr>
          <w:color w:val="000000" w:themeColor="text1"/>
          <w14:textFill>
            <w14:solidFill>
              <w14:schemeClr w14:val="tx1"/>
            </w14:solidFill>
          </w14:textFill>
        </w:rPr>
      </w:pPr>
      <w:bookmarkStart w:id="334" w:name="_Hlk167960464"/>
      <w:r>
        <w:rPr>
          <w:rFonts w:hint="eastAsia"/>
          <w:color w:val="000000" w:themeColor="text1"/>
          <w14:textFill>
            <w14:solidFill>
              <w14:schemeClr w14:val="tx1"/>
            </w14:solidFill>
          </w14:textFill>
        </w:rPr>
        <w:t>报告期内账面价值发生重大变动的金额和原因</w:t>
      </w:r>
    </w:p>
    <w:sdt>
      <w:sdtPr>
        <w:rPr>
          <w:color w:val="000000" w:themeColor="text1"/>
          <w14:textFill>
            <w14:solidFill>
              <w14:schemeClr w14:val="tx1"/>
            </w14:solidFill>
          </w14:textFill>
        </w:rPr>
        <w:alias w:val="是否适用：预收款项账面价值发生重大变动的金额和原因?[双击切换]"/>
        <w:tag w:val="_GBC_e406dc580328407abd4af2aa60e13e28"/>
        <w:id w:val="1981959342"/>
        <w:placeholder>
          <w:docPart w:val="GBC22222222222222222222222222222"/>
        </w:placeholder>
      </w:sdtPr>
      <w:sdtEndPr>
        <w:rPr>
          <w:color w:val="000000" w:themeColor="text1"/>
          <w14:textFill>
            <w14:solidFill>
              <w14:schemeClr w14:val="tx1"/>
            </w14:solidFill>
          </w14:textFill>
        </w:rPr>
      </w:sdtEndPr>
      <w:sdtContent>
        <w:p w14:paraId="0FCDA67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ECCC3FF">
      <w:pPr>
        <w:rPr>
          <w:color w:val="000000" w:themeColor="text1"/>
          <w14:textFill>
            <w14:solidFill>
              <w14:schemeClr w14:val="tx1"/>
            </w14:solidFill>
          </w14:textFill>
        </w:rPr>
      </w:pPr>
    </w:p>
    <w:bookmarkEnd w:id="334"/>
    <w:p w14:paraId="5F791779">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预收账款的其他说明[双击切换]"/>
        <w:tag w:val="_GBC_f473b6b28a104ffc812e6da4cf5177e5"/>
        <w:id w:val="-1755971941"/>
        <w:placeholder>
          <w:docPart w:val="GBC22222222222222222222222222222"/>
        </w:placeholder>
      </w:sdtPr>
      <w:sdtEndPr>
        <w:rPr>
          <w:color w:val="000000" w:themeColor="text1"/>
          <w14:textFill>
            <w14:solidFill>
              <w14:schemeClr w14:val="tx1"/>
            </w14:solidFill>
          </w14:textFill>
        </w:rPr>
      </w:sdtEndPr>
      <w:sdtContent>
        <w:p w14:paraId="438665C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预收账款的其他说明"/>
        <w:tag w:val="_GBC_b8db95ae8fdb4ee6b08199edc79a282c"/>
        <w:id w:val="-282577171"/>
        <w:placeholder>
          <w:docPart w:val="GBC22222222222222222222222222222"/>
        </w:placeholder>
      </w:sdtPr>
      <w:sdtEndPr>
        <w:rPr>
          <w:color w:val="000000" w:themeColor="text1"/>
          <w14:textFill>
            <w14:solidFill>
              <w14:schemeClr w14:val="tx1"/>
            </w14:solidFill>
          </w14:textFill>
        </w:rPr>
      </w:sdtEndPr>
      <w:sdtContent>
        <w:p w14:paraId="15FB87EB">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6D9A092D">
      <w:pPr>
        <w:rPr>
          <w:color w:val="000000" w:themeColor="text1"/>
          <w14:textFill>
            <w14:solidFill>
              <w14:schemeClr w14:val="tx1"/>
            </w14:solidFill>
          </w14:textFill>
        </w:rPr>
      </w:pPr>
    </w:p>
    <w:p w14:paraId="495EF623">
      <w:pPr>
        <w:pStyle w:val="4"/>
        <w:numPr>
          <w:ilvl w:val="0"/>
          <w:numId w:val="53"/>
        </w:numPr>
        <w:tabs>
          <w:tab w:val="left" w:pos="504"/>
        </w:tabs>
        <w:rPr>
          <w:rFonts w:hint="eastAsia" w:ascii="宋体" w:hAnsi="宋体"/>
          <w:color w:val="000000" w:themeColor="text1"/>
          <w:szCs w:val="21"/>
          <w14:textFill>
            <w14:solidFill>
              <w14:schemeClr w14:val="tx1"/>
            </w14:solidFill>
          </w14:textFill>
        </w:rPr>
      </w:pPr>
      <w:bookmarkStart w:id="335" w:name="_Hlk10535609"/>
      <w:r>
        <w:rPr>
          <w:rFonts w:hint="eastAsia" w:ascii="宋体" w:hAnsi="宋体"/>
          <w:color w:val="000000" w:themeColor="text1"/>
          <w:szCs w:val="21"/>
          <w14:textFill>
            <w14:solidFill>
              <w14:schemeClr w14:val="tx1"/>
            </w14:solidFill>
          </w14:textFill>
        </w:rPr>
        <w:t>合同负债</w:t>
      </w:r>
    </w:p>
    <w:p w14:paraId="5B15810B">
      <w:pPr>
        <w:pStyle w:val="5"/>
        <w:numPr>
          <w:ilvl w:val="0"/>
          <w:numId w:val="80"/>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合同负债情况</w:t>
      </w:r>
    </w:p>
    <w:sdt>
      <w:sdtPr>
        <w:rPr>
          <w:color w:val="000000" w:themeColor="text1"/>
          <w14:textFill>
            <w14:solidFill>
              <w14:schemeClr w14:val="tx1"/>
            </w14:solidFill>
          </w14:textFill>
        </w:rPr>
        <w:alias w:val="是否适用：合同负债情况[双击切换]"/>
        <w:tag w:val="_GBC_2b6238a8ea00438eab947f83a5f6451d"/>
        <w:id w:val="1843116210"/>
        <w:placeholder>
          <w:docPart w:val="GBC22222222222222222222222222222"/>
        </w:placeholder>
      </w:sdtPr>
      <w:sdtEndPr>
        <w:rPr>
          <w:color w:val="000000" w:themeColor="text1"/>
          <w14:textFill>
            <w14:solidFill>
              <w14:schemeClr w14:val="tx1"/>
            </w14:solidFill>
          </w14:textFill>
        </w:rPr>
      </w:sdtEndPr>
      <w:sdtContent>
        <w:p w14:paraId="6304652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AA9610F">
      <w:pPr>
        <w:ind w:left="36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合同负债情况"/>
          <w:tag w:val="_GBC_0024c0ddc3514b009e8166b63dc10ae9"/>
          <w:id w:val="-3723904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合同负债情况"/>
          <w:tag w:val="_GBC_154d9411b9764a4f8e1412d0a22c8375"/>
          <w:id w:val="-17119119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5"/>
        <w:gridCol w:w="3002"/>
        <w:gridCol w:w="2996"/>
      </w:tblGrid>
      <w:tr w14:paraId="105E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c5e783ac966e416184ff57e436f98be2"/>
            <w:id w:val="685094043"/>
          </w:sdtPr>
          <w:sdtContent>
            <w:tc>
              <w:tcPr>
                <w:tcW w:w="1601" w:type="pct"/>
              </w:tcPr>
              <w:p w14:paraId="0EFD58C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a4f8a9567271447e9f7bc01f59c6eed6"/>
            <w:id w:val="-142585851"/>
          </w:sdtPr>
          <w:sdtContent>
            <w:tc>
              <w:tcPr>
                <w:tcW w:w="1701" w:type="pct"/>
                <w:vAlign w:val="center"/>
              </w:tcPr>
              <w:p w14:paraId="2843024A">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b8f751ec83834a96b0e87c862d2ae80b"/>
            <w:id w:val="698740280"/>
          </w:sdtPr>
          <w:sdtContent>
            <w:tc>
              <w:tcPr>
                <w:tcW w:w="1698" w:type="pct"/>
                <w:vAlign w:val="center"/>
              </w:tcPr>
              <w:p w14:paraId="2DBB955E">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6E5E6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Pr>
          <w:p w14:paraId="03DB4A4B">
            <w:r>
              <w:rPr>
                <w:rFonts w:hint="eastAsia"/>
              </w:rPr>
              <w:t>预收合同款项</w:t>
            </w:r>
          </w:p>
        </w:tc>
        <w:tc>
          <w:tcPr>
            <w:tcW w:w="1701" w:type="pct"/>
          </w:tcPr>
          <w:p w14:paraId="0EBDCF6E">
            <w:pPr>
              <w:jc w:val="right"/>
            </w:pPr>
            <w:r>
              <w:t>76,125,091.48</w:t>
            </w:r>
          </w:p>
        </w:tc>
        <w:tc>
          <w:tcPr>
            <w:tcW w:w="1698" w:type="pct"/>
            <w:vAlign w:val="center"/>
          </w:tcPr>
          <w:p w14:paraId="22CB5A92">
            <w:pPr>
              <w:jc w:val="right"/>
            </w:pPr>
            <w:r>
              <w:rPr>
                <w:rFonts w:hint="eastAsia" w:ascii="宋体" w:hAnsi="宋体"/>
                <w:sz w:val="18"/>
                <w:szCs w:val="18"/>
              </w:rPr>
              <w:t>94,726,213.18</w:t>
            </w:r>
          </w:p>
        </w:tc>
      </w:tr>
      <w:tr w14:paraId="44CA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Pr>
          <w:p w14:paraId="3A5D94B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701" w:type="pct"/>
          </w:tcPr>
          <w:p w14:paraId="331EB773">
            <w:pPr>
              <w:jc w:val="right"/>
            </w:pPr>
            <w:r>
              <w:t>76,125,091.48</w:t>
            </w:r>
          </w:p>
        </w:tc>
        <w:tc>
          <w:tcPr>
            <w:tcW w:w="1698" w:type="pct"/>
            <w:vAlign w:val="center"/>
          </w:tcPr>
          <w:p w14:paraId="3C708C7F">
            <w:pPr>
              <w:jc w:val="right"/>
            </w:pPr>
            <w:r>
              <w:rPr>
                <w:rFonts w:hint="eastAsia" w:ascii="宋体" w:hAnsi="宋体"/>
                <w:sz w:val="18"/>
                <w:szCs w:val="18"/>
              </w:rPr>
              <w:t>94,726,213.18</w:t>
            </w:r>
          </w:p>
        </w:tc>
      </w:tr>
    </w:tbl>
    <w:p w14:paraId="2FBBFEF2">
      <w:pPr>
        <w:rPr>
          <w:color w:val="000000" w:themeColor="text1"/>
          <w14:textFill>
            <w14:solidFill>
              <w14:schemeClr w14:val="tx1"/>
            </w14:solidFill>
          </w14:textFill>
        </w:rPr>
      </w:pPr>
    </w:p>
    <w:bookmarkEnd w:id="335"/>
    <w:p w14:paraId="5A304388">
      <w:pPr>
        <w:pStyle w:val="5"/>
        <w:numPr>
          <w:ilvl w:val="0"/>
          <w:numId w:val="80"/>
        </w:numPr>
        <w:ind w:left="450" w:hanging="450"/>
        <w:rPr>
          <w:color w:val="000000" w:themeColor="text1"/>
          <w14:textFill>
            <w14:solidFill>
              <w14:schemeClr w14:val="tx1"/>
            </w14:solidFill>
          </w14:textFill>
        </w:rPr>
      </w:pPr>
      <w:bookmarkStart w:id="336" w:name="_Hlk167960548"/>
      <w:r>
        <w:rPr>
          <w:rFonts w:hint="eastAsia"/>
          <w:color w:val="000000" w:themeColor="text1"/>
          <w14:textFill>
            <w14:solidFill>
              <w14:schemeClr w14:val="tx1"/>
            </w14:solidFill>
          </w14:textFill>
        </w:rPr>
        <w:t>账龄超过</w:t>
      </w:r>
      <w:r>
        <w:rPr>
          <w:color w:val="000000" w:themeColor="text1"/>
          <w14:textFill>
            <w14:solidFill>
              <w14:schemeClr w14:val="tx1"/>
            </w14:solidFill>
          </w14:textFill>
        </w:rPr>
        <w:t>1年的重要合同负债</w:t>
      </w:r>
    </w:p>
    <w:sdt>
      <w:sdtPr>
        <w:rPr>
          <w:color w:val="000000" w:themeColor="text1"/>
          <w14:textFill>
            <w14:solidFill>
              <w14:schemeClr w14:val="tx1"/>
            </w14:solidFill>
          </w14:textFill>
        </w:rPr>
        <w:alias w:val="是否适用：账龄超过1年的重要合同负债明细[双击切换]"/>
        <w:tag w:val="_GBC_aef24e08ea524c9a9a25ec0e93c6c574"/>
        <w:id w:val="1009485236"/>
        <w:placeholder>
          <w:docPart w:val="GBC22222222222222222222222222222"/>
        </w:placeholder>
      </w:sdtPr>
      <w:sdtEndPr>
        <w:rPr>
          <w:color w:val="000000" w:themeColor="text1"/>
          <w14:textFill>
            <w14:solidFill>
              <w14:schemeClr w14:val="tx1"/>
            </w14:solidFill>
          </w14:textFill>
        </w:rPr>
      </w:sdtEndPr>
      <w:sdtContent>
        <w:p w14:paraId="403F2E3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9C5075F">
      <w:pPr>
        <w:rPr>
          <w:color w:val="000000" w:themeColor="text1"/>
          <w14:textFill>
            <w14:solidFill>
              <w14:schemeClr w14:val="tx1"/>
            </w14:solidFill>
          </w14:textFill>
        </w:rPr>
      </w:pPr>
    </w:p>
    <w:bookmarkEnd w:id="336"/>
    <w:p w14:paraId="52DBC685">
      <w:pPr>
        <w:pStyle w:val="5"/>
        <w:numPr>
          <w:ilvl w:val="0"/>
          <w:numId w:val="80"/>
        </w:numPr>
        <w:rPr>
          <w:rFonts w:hint="eastAsia" w:ascii="宋体" w:hAnsi="宋体"/>
          <w:color w:val="000000" w:themeColor="text1"/>
          <w:szCs w:val="21"/>
          <w14:textFill>
            <w14:solidFill>
              <w14:schemeClr w14:val="tx1"/>
            </w14:solidFill>
          </w14:textFill>
        </w:rPr>
      </w:pPr>
      <w:bookmarkStart w:id="337" w:name="_Hlk10535674"/>
      <w:r>
        <w:rPr>
          <w:rFonts w:hint="eastAsia" w:ascii="宋体" w:hAnsi="宋体"/>
          <w:color w:val="000000" w:themeColor="text1"/>
          <w:szCs w:val="21"/>
          <w14:textFill>
            <w14:solidFill>
              <w14:schemeClr w14:val="tx1"/>
            </w14:solidFill>
          </w14:textFill>
        </w:rPr>
        <w:t>报告期内账面价值发生重大变动的金额和原因</w:t>
      </w:r>
    </w:p>
    <w:sdt>
      <w:sdtPr>
        <w:rPr>
          <w:color w:val="000000" w:themeColor="text1"/>
          <w14:textFill>
            <w14:solidFill>
              <w14:schemeClr w14:val="tx1"/>
            </w14:solidFill>
          </w14:textFill>
        </w:rPr>
        <w:alias w:val="是否适用：合同负债账面价值发生重大变动[双击切换]"/>
        <w:tag w:val="_GBC_18d9cdd7095d4bda8f22860c58746248"/>
        <w:id w:val="-1416161771"/>
        <w:placeholder>
          <w:docPart w:val="GBC22222222222222222222222222222"/>
        </w:placeholder>
      </w:sdtPr>
      <w:sdtEndPr>
        <w:rPr>
          <w:color w:val="000000" w:themeColor="text1"/>
          <w14:textFill>
            <w14:solidFill>
              <w14:schemeClr w14:val="tx1"/>
            </w14:solidFill>
          </w14:textFill>
        </w:rPr>
      </w:sdtEndPr>
      <w:sdtContent>
        <w:p w14:paraId="1ADF949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DC9AF09">
      <w:pPr>
        <w:rPr>
          <w:color w:val="000000" w:themeColor="text1"/>
          <w14:textFill>
            <w14:solidFill>
              <w14:schemeClr w14:val="tx1"/>
            </w14:solidFill>
          </w14:textFill>
        </w:rPr>
      </w:pPr>
    </w:p>
    <w:bookmarkEnd w:id="337"/>
    <w:p w14:paraId="0E53FB30">
      <w:pPr>
        <w:rPr>
          <w:color w:val="000000" w:themeColor="text1"/>
          <w14:textFill>
            <w14:solidFill>
              <w14:schemeClr w14:val="tx1"/>
            </w14:solidFill>
          </w14:textFill>
        </w:rPr>
      </w:pPr>
      <w:bookmarkStart w:id="338" w:name="_Hlk10535687"/>
      <w:bookmarkStart w:id="339" w:name="_Hlk10535696"/>
      <w:r>
        <w:rPr>
          <w:rFonts w:hint="eastAsia"/>
          <w:color w:val="000000" w:themeColor="text1"/>
          <w14:textFill>
            <w14:solidFill>
              <w14:schemeClr w14:val="tx1"/>
            </w14:solidFill>
          </w14:textFill>
        </w:rPr>
        <w:t>其他说明：</w:t>
      </w:r>
      <w:bookmarkEnd w:id="338"/>
    </w:p>
    <w:sdt>
      <w:sdtPr>
        <w:rPr>
          <w:color w:val="000000" w:themeColor="text1"/>
          <w14:textFill>
            <w14:solidFill>
              <w14:schemeClr w14:val="tx1"/>
            </w14:solidFill>
          </w14:textFill>
        </w:rPr>
        <w:alias w:val="是否适用：合同负债其他说明[双击切换]"/>
        <w:tag w:val="_GBC_f73cf097b72042508657c656d4dc0c08"/>
        <w:id w:val="2122568497"/>
        <w:placeholder>
          <w:docPart w:val="GBC22222222222222222222222222222"/>
        </w:placeholder>
      </w:sdtPr>
      <w:sdtEndPr>
        <w:rPr>
          <w:color w:val="000000" w:themeColor="text1"/>
          <w14:textFill>
            <w14:solidFill>
              <w14:schemeClr w14:val="tx1"/>
            </w14:solidFill>
          </w14:textFill>
        </w:rPr>
      </w:sdtEndPr>
      <w:sdtContent>
        <w:p w14:paraId="6B3E812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339"/>
    <w:p w14:paraId="57ED3E62">
      <w:pPr>
        <w:rPr>
          <w:color w:val="000000" w:themeColor="text1"/>
          <w14:textFill>
            <w14:solidFill>
              <w14:schemeClr w14:val="tx1"/>
            </w14:solidFill>
          </w14:textFill>
        </w:rPr>
      </w:pPr>
    </w:p>
    <w:p w14:paraId="437F1CA1">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应付职工薪酬</w:t>
      </w:r>
    </w:p>
    <w:p w14:paraId="7E7A1CF5">
      <w:pPr>
        <w:pStyle w:val="5"/>
        <w:numPr>
          <w:ilvl w:val="0"/>
          <w:numId w:val="81"/>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应付职工薪酬列示</w:t>
      </w:r>
    </w:p>
    <w:sdt>
      <w:sdtPr>
        <w:rPr>
          <w:color w:val="000000" w:themeColor="text1"/>
          <w14:textFill>
            <w14:solidFill>
              <w14:schemeClr w14:val="tx1"/>
            </w14:solidFill>
          </w14:textFill>
        </w:rPr>
        <w:alias w:val="是否适用：应付职工薪酬列示[双击切换]"/>
        <w:tag w:val="_GBC_88faccc480a843dca589c1af0d3fee37"/>
        <w:id w:val="1565215662"/>
        <w:placeholder>
          <w:docPart w:val="GBC22222222222222222222222222222"/>
        </w:placeholder>
      </w:sdtPr>
      <w:sdtEndPr>
        <w:rPr>
          <w:color w:val="000000" w:themeColor="text1"/>
          <w14:textFill>
            <w14:solidFill>
              <w14:schemeClr w14:val="tx1"/>
            </w14:solidFill>
          </w14:textFill>
        </w:rPr>
      </w:sdtEndPr>
      <w:sdtContent>
        <w:p w14:paraId="2DB5E65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652F492">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应付职工薪酬"/>
          <w:tag w:val="_GBC_5c4cdcd7cd924c4ca8e87f806bc459b0"/>
          <w:id w:val="-128526499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应付职工薪酬"/>
          <w:tag w:val="_GBC_1b7f0fd0ca54470ca12f1037c092be9a"/>
          <w:id w:val="-14459950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8"/>
        <w:gridCol w:w="1570"/>
        <w:gridCol w:w="1567"/>
        <w:gridCol w:w="1570"/>
        <w:gridCol w:w="1578"/>
      </w:tblGrid>
      <w:tr w14:paraId="1E20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481bea2acb8f49ac9b4cfc92cd4a426e"/>
            <w:id w:val="-1100025622"/>
          </w:sdtPr>
          <w:sdtContent>
            <w:tc>
              <w:tcPr>
                <w:tcW w:w="1438" w:type="pct"/>
                <w:vAlign w:val="center"/>
              </w:tcPr>
              <w:p w14:paraId="277D51C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ff27c0f5bcb94d9b932762b91edf2ff1"/>
            <w:id w:val="-1069192246"/>
          </w:sdtPr>
          <w:sdtContent>
            <w:tc>
              <w:tcPr>
                <w:tcW w:w="890" w:type="pct"/>
                <w:vAlign w:val="center"/>
              </w:tcPr>
              <w:p w14:paraId="0DB6A60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sdt>
          <w:sdtPr>
            <w:tag w:val="_PLD_7274636f27ae4e048ade60bfddaa8164"/>
            <w:id w:val="2118477778"/>
          </w:sdtPr>
          <w:sdtContent>
            <w:tc>
              <w:tcPr>
                <w:tcW w:w="888" w:type="pct"/>
                <w:vAlign w:val="center"/>
              </w:tcPr>
              <w:p w14:paraId="330CC5A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本期增加</w:t>
                </w:r>
              </w:p>
            </w:tc>
          </w:sdtContent>
        </w:sdt>
        <w:sdt>
          <w:sdtPr>
            <w:tag w:val="_PLD_07ae572963de436aa2308d649a28c23b"/>
            <w:id w:val="878674858"/>
          </w:sdtPr>
          <w:sdtContent>
            <w:tc>
              <w:tcPr>
                <w:tcW w:w="890" w:type="pct"/>
                <w:vAlign w:val="center"/>
              </w:tcPr>
              <w:p w14:paraId="0C080A8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本期减少</w:t>
                </w:r>
              </w:p>
            </w:tc>
          </w:sdtContent>
        </w:sdt>
        <w:sdt>
          <w:sdtPr>
            <w:tag w:val="_PLD_27069329d7654e34bc45ca7dee532204"/>
            <w:id w:val="-2141339120"/>
          </w:sdtPr>
          <w:sdtContent>
            <w:tc>
              <w:tcPr>
                <w:tcW w:w="894" w:type="pct"/>
                <w:vAlign w:val="center"/>
              </w:tcPr>
              <w:p w14:paraId="2B8811D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tr>
      <w:tr w14:paraId="4FB1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tcPr>
          <w:p w14:paraId="57DDC130">
            <w:pPr>
              <w:rPr>
                <w:color w:val="000000" w:themeColor="text1"/>
                <w14:textFill>
                  <w14:solidFill>
                    <w14:schemeClr w14:val="tx1"/>
                  </w14:solidFill>
                </w14:textFill>
              </w:rPr>
            </w:pPr>
            <w:r>
              <w:rPr>
                <w:rFonts w:hint="eastAsia"/>
                <w:color w:val="000000" w:themeColor="text1"/>
                <w14:textFill>
                  <w14:solidFill>
                    <w14:schemeClr w14:val="tx1"/>
                  </w14:solidFill>
                </w14:textFill>
              </w:rPr>
              <w:t>一、短期薪酬</w:t>
            </w:r>
          </w:p>
        </w:tc>
        <w:tc>
          <w:tcPr>
            <w:tcW w:w="890" w:type="pct"/>
            <w:vAlign w:val="center"/>
          </w:tcPr>
          <w:p w14:paraId="71492F51">
            <w:pPr>
              <w:jc w:val="right"/>
            </w:pPr>
            <w:r>
              <w:t>93,238,791.97</w:t>
            </w:r>
          </w:p>
        </w:tc>
        <w:tc>
          <w:tcPr>
            <w:tcW w:w="888" w:type="pct"/>
          </w:tcPr>
          <w:p w14:paraId="1FA9314F">
            <w:pPr>
              <w:jc w:val="right"/>
            </w:pPr>
            <w:r>
              <w:t>89,490,044.67</w:t>
            </w:r>
          </w:p>
        </w:tc>
        <w:tc>
          <w:tcPr>
            <w:tcW w:w="890" w:type="pct"/>
          </w:tcPr>
          <w:p w14:paraId="38D57958">
            <w:pPr>
              <w:jc w:val="right"/>
            </w:pPr>
            <w:r>
              <w:t>97,532,899.91</w:t>
            </w:r>
          </w:p>
        </w:tc>
        <w:tc>
          <w:tcPr>
            <w:tcW w:w="894" w:type="pct"/>
          </w:tcPr>
          <w:p w14:paraId="709CF00B">
            <w:pPr>
              <w:jc w:val="right"/>
            </w:pPr>
            <w:r>
              <w:t>85,195,936.73</w:t>
            </w:r>
          </w:p>
        </w:tc>
      </w:tr>
      <w:tr w14:paraId="1D49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tcPr>
          <w:p w14:paraId="7478F403">
            <w:pPr>
              <w:rPr>
                <w:color w:val="000000" w:themeColor="text1"/>
                <w14:textFill>
                  <w14:solidFill>
                    <w14:schemeClr w14:val="tx1"/>
                  </w14:solidFill>
                </w14:textFill>
              </w:rPr>
            </w:pPr>
            <w:r>
              <w:rPr>
                <w:rFonts w:hint="eastAsia"/>
                <w:color w:val="000000" w:themeColor="text1"/>
                <w14:textFill>
                  <w14:solidFill>
                    <w14:schemeClr w14:val="tx1"/>
                  </w14:solidFill>
                </w14:textFill>
              </w:rPr>
              <w:t>二、离职后福利-设定提存计划</w:t>
            </w:r>
          </w:p>
        </w:tc>
        <w:tc>
          <w:tcPr>
            <w:tcW w:w="890" w:type="pct"/>
            <w:vAlign w:val="center"/>
          </w:tcPr>
          <w:p w14:paraId="5F361591">
            <w:pPr>
              <w:jc w:val="right"/>
            </w:pPr>
            <w:r>
              <w:t>345,410.73</w:t>
            </w:r>
          </w:p>
        </w:tc>
        <w:tc>
          <w:tcPr>
            <w:tcW w:w="888" w:type="pct"/>
            <w:vAlign w:val="center"/>
          </w:tcPr>
          <w:p w14:paraId="38E64CE5">
            <w:pPr>
              <w:jc w:val="right"/>
            </w:pPr>
            <w:r>
              <w:t>2,472,472.67</w:t>
            </w:r>
          </w:p>
        </w:tc>
        <w:tc>
          <w:tcPr>
            <w:tcW w:w="890" w:type="pct"/>
            <w:vAlign w:val="center"/>
          </w:tcPr>
          <w:p w14:paraId="7620B246">
            <w:pPr>
              <w:jc w:val="right"/>
            </w:pPr>
            <w:r>
              <w:t>2,813,008.97</w:t>
            </w:r>
          </w:p>
        </w:tc>
        <w:tc>
          <w:tcPr>
            <w:tcW w:w="894" w:type="pct"/>
            <w:vAlign w:val="center"/>
          </w:tcPr>
          <w:p w14:paraId="5F641366">
            <w:pPr>
              <w:jc w:val="right"/>
            </w:pPr>
            <w:r>
              <w:t>4,874.43</w:t>
            </w:r>
          </w:p>
        </w:tc>
      </w:tr>
      <w:tr w14:paraId="28EE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tcPr>
          <w:p w14:paraId="1A577677">
            <w:pPr>
              <w:rPr>
                <w:color w:val="000000" w:themeColor="text1"/>
                <w14:textFill>
                  <w14:solidFill>
                    <w14:schemeClr w14:val="tx1"/>
                  </w14:solidFill>
                </w14:textFill>
              </w:rPr>
            </w:pPr>
            <w:r>
              <w:rPr>
                <w:rFonts w:hint="eastAsia"/>
                <w:color w:val="000000" w:themeColor="text1"/>
                <w14:textFill>
                  <w14:solidFill>
                    <w14:schemeClr w14:val="tx1"/>
                  </w14:solidFill>
                </w14:textFill>
              </w:rPr>
              <w:t>三、辞退福利</w:t>
            </w:r>
          </w:p>
        </w:tc>
        <w:tc>
          <w:tcPr>
            <w:tcW w:w="890" w:type="pct"/>
            <w:vAlign w:val="center"/>
          </w:tcPr>
          <w:p w14:paraId="286864E9">
            <w:pPr>
              <w:jc w:val="right"/>
            </w:pPr>
          </w:p>
        </w:tc>
        <w:tc>
          <w:tcPr>
            <w:tcW w:w="888" w:type="pct"/>
          </w:tcPr>
          <w:p w14:paraId="47F40288">
            <w:pPr>
              <w:jc w:val="right"/>
            </w:pPr>
          </w:p>
        </w:tc>
        <w:tc>
          <w:tcPr>
            <w:tcW w:w="890" w:type="pct"/>
          </w:tcPr>
          <w:p w14:paraId="7711E49C">
            <w:pPr>
              <w:jc w:val="right"/>
            </w:pPr>
          </w:p>
        </w:tc>
        <w:tc>
          <w:tcPr>
            <w:tcW w:w="894" w:type="pct"/>
          </w:tcPr>
          <w:p w14:paraId="047C2046">
            <w:pPr>
              <w:jc w:val="right"/>
            </w:pPr>
          </w:p>
        </w:tc>
      </w:tr>
      <w:tr w14:paraId="2C2D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tcPr>
          <w:p w14:paraId="6BDFB0D0">
            <w:pPr>
              <w:rPr>
                <w:color w:val="000000" w:themeColor="text1"/>
                <w14:textFill>
                  <w14:solidFill>
                    <w14:schemeClr w14:val="tx1"/>
                  </w14:solidFill>
                </w14:textFill>
              </w:rPr>
            </w:pPr>
            <w:r>
              <w:rPr>
                <w:rFonts w:hint="eastAsia"/>
                <w:color w:val="000000" w:themeColor="text1"/>
                <w14:textFill>
                  <w14:solidFill>
                    <w14:schemeClr w14:val="tx1"/>
                  </w14:solidFill>
                </w14:textFill>
              </w:rPr>
              <w:t>四、一年内到期的其他福利</w:t>
            </w:r>
          </w:p>
        </w:tc>
        <w:tc>
          <w:tcPr>
            <w:tcW w:w="890" w:type="pct"/>
            <w:vAlign w:val="center"/>
          </w:tcPr>
          <w:p w14:paraId="7F8F1C36">
            <w:pPr>
              <w:jc w:val="right"/>
            </w:pPr>
          </w:p>
        </w:tc>
        <w:tc>
          <w:tcPr>
            <w:tcW w:w="888" w:type="pct"/>
          </w:tcPr>
          <w:p w14:paraId="303A3F2D">
            <w:pPr>
              <w:jc w:val="right"/>
            </w:pPr>
          </w:p>
        </w:tc>
        <w:tc>
          <w:tcPr>
            <w:tcW w:w="890" w:type="pct"/>
          </w:tcPr>
          <w:p w14:paraId="4596690E">
            <w:pPr>
              <w:jc w:val="right"/>
            </w:pPr>
          </w:p>
        </w:tc>
        <w:tc>
          <w:tcPr>
            <w:tcW w:w="894" w:type="pct"/>
          </w:tcPr>
          <w:p w14:paraId="36491168">
            <w:pPr>
              <w:jc w:val="right"/>
            </w:pPr>
          </w:p>
        </w:tc>
      </w:tr>
      <w:tr w14:paraId="50C9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vAlign w:val="center"/>
          </w:tcPr>
          <w:p w14:paraId="4D62CD1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890" w:type="pct"/>
            <w:vAlign w:val="center"/>
          </w:tcPr>
          <w:p w14:paraId="626274B8">
            <w:pPr>
              <w:jc w:val="right"/>
            </w:pPr>
            <w:r>
              <w:t>93,584,202.70</w:t>
            </w:r>
          </w:p>
        </w:tc>
        <w:tc>
          <w:tcPr>
            <w:tcW w:w="888" w:type="pct"/>
          </w:tcPr>
          <w:p w14:paraId="7624ABBB">
            <w:pPr>
              <w:jc w:val="right"/>
            </w:pPr>
            <w:r>
              <w:t>91,962,517.34</w:t>
            </w:r>
          </w:p>
        </w:tc>
        <w:tc>
          <w:tcPr>
            <w:tcW w:w="890" w:type="pct"/>
          </w:tcPr>
          <w:p w14:paraId="77DD0C8E">
            <w:pPr>
              <w:jc w:val="right"/>
            </w:pPr>
            <w:r>
              <w:t>100,345,908.88</w:t>
            </w:r>
          </w:p>
        </w:tc>
        <w:tc>
          <w:tcPr>
            <w:tcW w:w="894" w:type="pct"/>
          </w:tcPr>
          <w:p w14:paraId="7637ABE1">
            <w:pPr>
              <w:jc w:val="right"/>
            </w:pPr>
            <w:r>
              <w:t>85,200,811.16</w:t>
            </w:r>
          </w:p>
        </w:tc>
      </w:tr>
    </w:tbl>
    <w:p w14:paraId="66DDD49C">
      <w:pPr>
        <w:rPr>
          <w:color w:val="000000" w:themeColor="text1"/>
          <w14:textFill>
            <w14:solidFill>
              <w14:schemeClr w14:val="tx1"/>
            </w14:solidFill>
          </w14:textFill>
        </w:rPr>
      </w:pPr>
    </w:p>
    <w:p w14:paraId="67325E34">
      <w:pPr>
        <w:pStyle w:val="5"/>
        <w:numPr>
          <w:ilvl w:val="0"/>
          <w:numId w:val="81"/>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短期薪酬列示</w:t>
      </w:r>
    </w:p>
    <w:sdt>
      <w:sdtPr>
        <w:rPr>
          <w:color w:val="000000" w:themeColor="text1"/>
          <w14:textFill>
            <w14:solidFill>
              <w14:schemeClr w14:val="tx1"/>
            </w14:solidFill>
          </w14:textFill>
        </w:rPr>
        <w:alias w:val="是否适用：短期薪酬列示[双击切换]"/>
        <w:tag w:val="_GBC_fe9cc4ffdf524f4695448b31c76167ce"/>
        <w:id w:val="902485721"/>
        <w:placeholder>
          <w:docPart w:val="GBC22222222222222222222222222222"/>
        </w:placeholder>
      </w:sdtPr>
      <w:sdtEndPr>
        <w:rPr>
          <w:color w:val="000000" w:themeColor="text1"/>
          <w14:textFill>
            <w14:solidFill>
              <w14:schemeClr w14:val="tx1"/>
            </w14:solidFill>
          </w14:textFill>
        </w:rPr>
      </w:sdtEndPr>
      <w:sdtContent>
        <w:p w14:paraId="1254E28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D84507A">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短期薪酬"/>
          <w:tag w:val="_GBC_f5a2a934147944d68f11ca2bcce4d80f"/>
          <w:id w:val="-11927609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短期薪酬"/>
          <w:tag w:val="_GBC_ded097d86a7d48b8a8b1d9689a73bd5d"/>
          <w:id w:val="-10521536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8"/>
        <w:gridCol w:w="1572"/>
        <w:gridCol w:w="1555"/>
        <w:gridCol w:w="1569"/>
        <w:gridCol w:w="1579"/>
      </w:tblGrid>
      <w:tr w14:paraId="136D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sdt>
          <w:sdtPr>
            <w:tag w:val="_PLD_7b5378bc64e24511ae79d643c80f9c98"/>
            <w:id w:val="2106464253"/>
          </w:sdtPr>
          <w:sdtContent>
            <w:tc>
              <w:tcPr>
                <w:tcW w:w="1444" w:type="pct"/>
                <w:tcBorders>
                  <w:top w:val="single" w:color="auto" w:sz="4" w:space="0"/>
                  <w:left w:val="single" w:color="auto" w:sz="4" w:space="0"/>
                  <w:bottom w:val="single" w:color="auto" w:sz="4" w:space="0"/>
                  <w:right w:val="single" w:color="auto" w:sz="4" w:space="0"/>
                </w:tcBorders>
                <w:vAlign w:val="center"/>
              </w:tcPr>
              <w:p w14:paraId="381051EE">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0144fa4bad154236aa75e1dcc0a89e56"/>
            <w:id w:val="-1947837982"/>
          </w:sdtPr>
          <w:sdtContent>
            <w:tc>
              <w:tcPr>
                <w:tcW w:w="891" w:type="pct"/>
                <w:tcBorders>
                  <w:top w:val="single" w:color="auto" w:sz="4" w:space="0"/>
                  <w:left w:val="single" w:color="auto" w:sz="4" w:space="0"/>
                  <w:bottom w:val="single" w:color="auto" w:sz="4" w:space="0"/>
                  <w:right w:val="single" w:color="auto" w:sz="4" w:space="0"/>
                </w:tcBorders>
                <w:vAlign w:val="center"/>
              </w:tcPr>
              <w:p w14:paraId="6523E9BB">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sdt>
          <w:sdtPr>
            <w:tag w:val="_PLD_2d15a4a9e10b4386a7ed67bc2137e04a"/>
            <w:id w:val="2063127270"/>
          </w:sdtPr>
          <w:sdtContent>
            <w:tc>
              <w:tcPr>
                <w:tcW w:w="881" w:type="pct"/>
                <w:tcBorders>
                  <w:top w:val="single" w:color="auto" w:sz="4" w:space="0"/>
                  <w:left w:val="single" w:color="auto" w:sz="4" w:space="0"/>
                  <w:bottom w:val="single" w:color="auto" w:sz="4" w:space="0"/>
                  <w:right w:val="single" w:color="auto" w:sz="4" w:space="0"/>
                </w:tcBorders>
                <w:vAlign w:val="center"/>
              </w:tcPr>
              <w:p w14:paraId="2DCA95B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本期增加</w:t>
                </w:r>
              </w:p>
            </w:tc>
          </w:sdtContent>
        </w:sdt>
        <w:sdt>
          <w:sdtPr>
            <w:tag w:val="_PLD_12a2bbefe0874cde83fdb77f4a4158a1"/>
            <w:id w:val="617883765"/>
          </w:sdtPr>
          <w:sdtContent>
            <w:tc>
              <w:tcPr>
                <w:tcW w:w="889" w:type="pct"/>
                <w:tcBorders>
                  <w:top w:val="single" w:color="auto" w:sz="4" w:space="0"/>
                  <w:left w:val="single" w:color="auto" w:sz="4" w:space="0"/>
                  <w:bottom w:val="single" w:color="auto" w:sz="4" w:space="0"/>
                  <w:right w:val="single" w:color="auto" w:sz="4" w:space="0"/>
                </w:tcBorders>
                <w:vAlign w:val="center"/>
              </w:tcPr>
              <w:p w14:paraId="4FDE1460">
                <w:pPr>
                  <w:jc w:val="center"/>
                  <w:rPr>
                    <w:color w:val="000000" w:themeColor="text1"/>
                    <w14:textFill>
                      <w14:solidFill>
                        <w14:schemeClr w14:val="tx1"/>
                      </w14:solidFill>
                    </w14:textFill>
                  </w:rPr>
                </w:pPr>
                <w:r>
                  <w:rPr>
                    <w:color w:val="000000" w:themeColor="text1"/>
                    <w14:textFill>
                      <w14:solidFill>
                        <w14:schemeClr w14:val="tx1"/>
                      </w14:solidFill>
                    </w14:textFill>
                  </w:rPr>
                  <w:t>本期减少</w:t>
                </w:r>
              </w:p>
            </w:tc>
          </w:sdtContent>
        </w:sdt>
        <w:sdt>
          <w:sdtPr>
            <w:tag w:val="_PLD_190d6bcbbde148ffb48f230c6d9d7186"/>
            <w:id w:val="1458606101"/>
          </w:sdtPr>
          <w:sdtContent>
            <w:tc>
              <w:tcPr>
                <w:tcW w:w="895" w:type="pct"/>
                <w:tcBorders>
                  <w:top w:val="single" w:color="auto" w:sz="4" w:space="0"/>
                  <w:left w:val="single" w:color="auto" w:sz="4" w:space="0"/>
                  <w:bottom w:val="single" w:color="auto" w:sz="4" w:space="0"/>
                  <w:right w:val="single" w:color="auto" w:sz="4" w:space="0"/>
                </w:tcBorders>
                <w:vAlign w:val="center"/>
              </w:tcPr>
              <w:p w14:paraId="15C075A1">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tr>
      <w:tr w14:paraId="4FE3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Borders>
              <w:top w:val="single" w:color="auto" w:sz="4" w:space="0"/>
              <w:left w:val="single" w:color="auto" w:sz="4" w:space="0"/>
              <w:bottom w:val="single" w:color="auto" w:sz="4" w:space="0"/>
              <w:right w:val="single" w:color="auto" w:sz="4" w:space="0"/>
            </w:tcBorders>
          </w:tcPr>
          <w:p w14:paraId="63D47FBD">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一、工资、奖金、津贴和补贴</w:t>
            </w:r>
          </w:p>
        </w:tc>
        <w:tc>
          <w:tcPr>
            <w:tcW w:w="891" w:type="pct"/>
            <w:tcBorders>
              <w:top w:val="single" w:color="auto" w:sz="4" w:space="0"/>
              <w:left w:val="single" w:color="auto" w:sz="4" w:space="0"/>
              <w:bottom w:val="single" w:color="auto" w:sz="4" w:space="0"/>
              <w:right w:val="single" w:color="auto" w:sz="4" w:space="0"/>
            </w:tcBorders>
          </w:tcPr>
          <w:p w14:paraId="6A35592A">
            <w:pPr>
              <w:jc w:val="right"/>
            </w:pPr>
            <w:r>
              <w:t>86,002,166.93</w:t>
            </w:r>
          </w:p>
        </w:tc>
        <w:tc>
          <w:tcPr>
            <w:tcW w:w="881" w:type="pct"/>
            <w:tcBorders>
              <w:top w:val="single" w:color="auto" w:sz="4" w:space="0"/>
              <w:left w:val="single" w:color="auto" w:sz="4" w:space="0"/>
              <w:bottom w:val="single" w:color="auto" w:sz="4" w:space="0"/>
              <w:right w:val="single" w:color="auto" w:sz="4" w:space="0"/>
            </w:tcBorders>
          </w:tcPr>
          <w:p w14:paraId="1BAA827E">
            <w:pPr>
              <w:jc w:val="right"/>
            </w:pPr>
            <w:r>
              <w:t>88,182,385.76</w:t>
            </w:r>
          </w:p>
        </w:tc>
        <w:tc>
          <w:tcPr>
            <w:tcW w:w="889" w:type="pct"/>
            <w:tcBorders>
              <w:top w:val="single" w:color="auto" w:sz="4" w:space="0"/>
              <w:left w:val="single" w:color="auto" w:sz="4" w:space="0"/>
              <w:bottom w:val="single" w:color="auto" w:sz="4" w:space="0"/>
              <w:right w:val="single" w:color="auto" w:sz="4" w:space="0"/>
            </w:tcBorders>
          </w:tcPr>
          <w:p w14:paraId="775CD444">
            <w:pPr>
              <w:jc w:val="right"/>
            </w:pPr>
            <w:r>
              <w:t>96,239,729.26</w:t>
            </w:r>
          </w:p>
        </w:tc>
        <w:tc>
          <w:tcPr>
            <w:tcW w:w="895" w:type="pct"/>
            <w:tcBorders>
              <w:top w:val="single" w:color="auto" w:sz="4" w:space="0"/>
              <w:left w:val="single" w:color="auto" w:sz="4" w:space="0"/>
              <w:bottom w:val="single" w:color="auto" w:sz="4" w:space="0"/>
              <w:right w:val="single" w:color="auto" w:sz="4" w:space="0"/>
            </w:tcBorders>
          </w:tcPr>
          <w:p w14:paraId="3F483342">
            <w:pPr>
              <w:jc w:val="right"/>
            </w:pPr>
            <w:r>
              <w:t>77,944,823.43</w:t>
            </w:r>
          </w:p>
        </w:tc>
      </w:tr>
      <w:tr w14:paraId="76EC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Borders>
              <w:top w:val="single" w:color="auto" w:sz="4" w:space="0"/>
              <w:left w:val="single" w:color="auto" w:sz="4" w:space="0"/>
              <w:bottom w:val="single" w:color="auto" w:sz="4" w:space="0"/>
              <w:right w:val="single" w:color="auto" w:sz="4" w:space="0"/>
            </w:tcBorders>
          </w:tcPr>
          <w:p w14:paraId="5BA3254E">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二、职工福利费</w:t>
            </w:r>
          </w:p>
        </w:tc>
        <w:tc>
          <w:tcPr>
            <w:tcW w:w="891" w:type="pct"/>
            <w:tcBorders>
              <w:top w:val="single" w:color="auto" w:sz="4" w:space="0"/>
              <w:left w:val="single" w:color="auto" w:sz="4" w:space="0"/>
              <w:bottom w:val="single" w:color="auto" w:sz="4" w:space="0"/>
              <w:right w:val="single" w:color="auto" w:sz="4" w:space="0"/>
            </w:tcBorders>
          </w:tcPr>
          <w:p w14:paraId="1CDB0990">
            <w:pPr>
              <w:jc w:val="right"/>
            </w:pPr>
          </w:p>
        </w:tc>
        <w:tc>
          <w:tcPr>
            <w:tcW w:w="881" w:type="pct"/>
            <w:tcBorders>
              <w:top w:val="single" w:color="auto" w:sz="4" w:space="0"/>
              <w:left w:val="single" w:color="auto" w:sz="4" w:space="0"/>
              <w:bottom w:val="single" w:color="auto" w:sz="4" w:space="0"/>
              <w:right w:val="single" w:color="auto" w:sz="4" w:space="0"/>
            </w:tcBorders>
          </w:tcPr>
          <w:p w14:paraId="1A0AA631">
            <w:pPr>
              <w:jc w:val="right"/>
            </w:pPr>
          </w:p>
        </w:tc>
        <w:tc>
          <w:tcPr>
            <w:tcW w:w="889" w:type="pct"/>
            <w:tcBorders>
              <w:top w:val="single" w:color="auto" w:sz="4" w:space="0"/>
              <w:left w:val="single" w:color="auto" w:sz="4" w:space="0"/>
              <w:bottom w:val="single" w:color="auto" w:sz="4" w:space="0"/>
              <w:right w:val="single" w:color="auto" w:sz="4" w:space="0"/>
            </w:tcBorders>
          </w:tcPr>
          <w:p w14:paraId="25966737">
            <w:pPr>
              <w:jc w:val="right"/>
            </w:pPr>
          </w:p>
        </w:tc>
        <w:tc>
          <w:tcPr>
            <w:tcW w:w="895" w:type="pct"/>
            <w:tcBorders>
              <w:top w:val="single" w:color="auto" w:sz="4" w:space="0"/>
              <w:left w:val="single" w:color="auto" w:sz="4" w:space="0"/>
              <w:bottom w:val="single" w:color="auto" w:sz="4" w:space="0"/>
              <w:right w:val="single" w:color="auto" w:sz="4" w:space="0"/>
            </w:tcBorders>
          </w:tcPr>
          <w:p w14:paraId="1602726A">
            <w:pPr>
              <w:jc w:val="right"/>
            </w:pPr>
          </w:p>
        </w:tc>
      </w:tr>
      <w:tr w14:paraId="505C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Borders>
              <w:top w:val="single" w:color="auto" w:sz="4" w:space="0"/>
              <w:left w:val="single" w:color="auto" w:sz="4" w:space="0"/>
              <w:bottom w:val="single" w:color="auto" w:sz="4" w:space="0"/>
              <w:right w:val="single" w:color="auto" w:sz="4" w:space="0"/>
            </w:tcBorders>
          </w:tcPr>
          <w:p w14:paraId="56D3B7B3">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三、社会保险费</w:t>
            </w:r>
          </w:p>
        </w:tc>
        <w:tc>
          <w:tcPr>
            <w:tcW w:w="891" w:type="pct"/>
            <w:tcBorders>
              <w:top w:val="single" w:color="auto" w:sz="4" w:space="0"/>
              <w:left w:val="single" w:color="auto" w:sz="4" w:space="0"/>
              <w:bottom w:val="single" w:color="auto" w:sz="4" w:space="0"/>
              <w:right w:val="single" w:color="auto" w:sz="4" w:space="0"/>
            </w:tcBorders>
          </w:tcPr>
          <w:p w14:paraId="133B3D73">
            <w:pPr>
              <w:jc w:val="right"/>
            </w:pPr>
            <w:r>
              <w:t>4,250.55</w:t>
            </w:r>
          </w:p>
        </w:tc>
        <w:tc>
          <w:tcPr>
            <w:tcW w:w="881" w:type="pct"/>
            <w:tcBorders>
              <w:top w:val="single" w:color="auto" w:sz="4" w:space="0"/>
              <w:left w:val="single" w:color="auto" w:sz="4" w:space="0"/>
              <w:bottom w:val="single" w:color="auto" w:sz="4" w:space="0"/>
              <w:right w:val="single" w:color="auto" w:sz="4" w:space="0"/>
            </w:tcBorders>
          </w:tcPr>
          <w:p w14:paraId="62B11C13">
            <w:pPr>
              <w:jc w:val="right"/>
            </w:pPr>
            <w:r>
              <w:t>1,269,961.00</w:t>
            </w:r>
          </w:p>
        </w:tc>
        <w:tc>
          <w:tcPr>
            <w:tcW w:w="889" w:type="pct"/>
            <w:tcBorders>
              <w:top w:val="single" w:color="auto" w:sz="4" w:space="0"/>
              <w:left w:val="single" w:color="auto" w:sz="4" w:space="0"/>
              <w:bottom w:val="single" w:color="auto" w:sz="4" w:space="0"/>
              <w:right w:val="single" w:color="auto" w:sz="4" w:space="0"/>
            </w:tcBorders>
          </w:tcPr>
          <w:p w14:paraId="3F8EE0B1">
            <w:pPr>
              <w:jc w:val="right"/>
            </w:pPr>
            <w:r>
              <w:t>1,271,422.06</w:t>
            </w:r>
          </w:p>
        </w:tc>
        <w:tc>
          <w:tcPr>
            <w:tcW w:w="895" w:type="pct"/>
            <w:tcBorders>
              <w:top w:val="single" w:color="auto" w:sz="4" w:space="0"/>
              <w:left w:val="single" w:color="auto" w:sz="4" w:space="0"/>
              <w:bottom w:val="single" w:color="auto" w:sz="4" w:space="0"/>
              <w:right w:val="single" w:color="auto" w:sz="4" w:space="0"/>
            </w:tcBorders>
          </w:tcPr>
          <w:p w14:paraId="674EAD55">
            <w:pPr>
              <w:jc w:val="right"/>
            </w:pPr>
            <w:r>
              <w:t>2,789.49</w:t>
            </w:r>
          </w:p>
        </w:tc>
      </w:tr>
      <w:tr w14:paraId="5E52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Borders>
              <w:top w:val="single" w:color="auto" w:sz="4" w:space="0"/>
              <w:left w:val="single" w:color="auto" w:sz="4" w:space="0"/>
              <w:bottom w:val="single" w:color="auto" w:sz="4" w:space="0"/>
              <w:right w:val="single" w:color="auto" w:sz="4" w:space="0"/>
            </w:tcBorders>
          </w:tcPr>
          <w:p w14:paraId="06562A96">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w:t>
            </w:r>
            <w:r>
              <w:rPr>
                <w:color w:val="000000" w:themeColor="text1"/>
                <w14:textFill>
                  <w14:solidFill>
                    <w14:schemeClr w14:val="tx1"/>
                  </w14:solidFill>
                </w14:textFill>
              </w:rPr>
              <w:t>医疗保险费</w:t>
            </w:r>
          </w:p>
        </w:tc>
        <w:tc>
          <w:tcPr>
            <w:tcW w:w="891" w:type="pct"/>
            <w:tcBorders>
              <w:top w:val="single" w:color="auto" w:sz="4" w:space="0"/>
              <w:left w:val="single" w:color="auto" w:sz="4" w:space="0"/>
              <w:bottom w:val="single" w:color="auto" w:sz="4" w:space="0"/>
              <w:right w:val="single" w:color="auto" w:sz="4" w:space="0"/>
            </w:tcBorders>
          </w:tcPr>
          <w:p w14:paraId="32AC7969">
            <w:pPr>
              <w:jc w:val="right"/>
            </w:pPr>
            <w:r>
              <w:t>4,119.84</w:t>
            </w:r>
          </w:p>
        </w:tc>
        <w:tc>
          <w:tcPr>
            <w:tcW w:w="881" w:type="pct"/>
            <w:tcBorders>
              <w:top w:val="single" w:color="auto" w:sz="4" w:space="0"/>
              <w:left w:val="single" w:color="auto" w:sz="4" w:space="0"/>
              <w:bottom w:val="single" w:color="auto" w:sz="4" w:space="0"/>
              <w:right w:val="single" w:color="auto" w:sz="4" w:space="0"/>
            </w:tcBorders>
          </w:tcPr>
          <w:p w14:paraId="1DBA7E79">
            <w:pPr>
              <w:jc w:val="right"/>
            </w:pPr>
            <w:r>
              <w:t>1,265,050.32</w:t>
            </w:r>
          </w:p>
        </w:tc>
        <w:tc>
          <w:tcPr>
            <w:tcW w:w="889" w:type="pct"/>
            <w:tcBorders>
              <w:top w:val="single" w:color="auto" w:sz="4" w:space="0"/>
              <w:left w:val="single" w:color="auto" w:sz="4" w:space="0"/>
              <w:bottom w:val="single" w:color="auto" w:sz="4" w:space="0"/>
              <w:right w:val="single" w:color="auto" w:sz="4" w:space="0"/>
            </w:tcBorders>
          </w:tcPr>
          <w:p w14:paraId="1692ACD2">
            <w:pPr>
              <w:jc w:val="right"/>
            </w:pPr>
            <w:r>
              <w:t>1,266,454.08</w:t>
            </w:r>
          </w:p>
        </w:tc>
        <w:tc>
          <w:tcPr>
            <w:tcW w:w="895" w:type="pct"/>
            <w:tcBorders>
              <w:top w:val="single" w:color="auto" w:sz="4" w:space="0"/>
              <w:left w:val="single" w:color="auto" w:sz="4" w:space="0"/>
              <w:bottom w:val="single" w:color="auto" w:sz="4" w:space="0"/>
              <w:right w:val="single" w:color="auto" w:sz="4" w:space="0"/>
            </w:tcBorders>
          </w:tcPr>
          <w:p w14:paraId="13FCA4FF">
            <w:pPr>
              <w:jc w:val="right"/>
            </w:pPr>
            <w:r>
              <w:t>2,716.08</w:t>
            </w:r>
          </w:p>
        </w:tc>
      </w:tr>
      <w:tr w14:paraId="622B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Borders>
              <w:top w:val="single" w:color="auto" w:sz="4" w:space="0"/>
              <w:left w:val="single" w:color="auto" w:sz="4" w:space="0"/>
              <w:bottom w:val="single" w:color="auto" w:sz="4" w:space="0"/>
              <w:right w:val="single" w:color="auto" w:sz="4" w:space="0"/>
            </w:tcBorders>
          </w:tcPr>
          <w:p w14:paraId="1E1EABD0">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工伤保险费</w:t>
            </w:r>
          </w:p>
        </w:tc>
        <w:tc>
          <w:tcPr>
            <w:tcW w:w="891" w:type="pct"/>
            <w:tcBorders>
              <w:top w:val="single" w:color="auto" w:sz="4" w:space="0"/>
              <w:left w:val="single" w:color="auto" w:sz="4" w:space="0"/>
              <w:bottom w:val="single" w:color="auto" w:sz="4" w:space="0"/>
              <w:right w:val="single" w:color="auto" w:sz="4" w:space="0"/>
            </w:tcBorders>
          </w:tcPr>
          <w:p w14:paraId="19B20AEE">
            <w:pPr>
              <w:jc w:val="right"/>
            </w:pPr>
            <w:r>
              <w:rPr>
                <w:rFonts w:hint="eastAsia"/>
              </w:rPr>
              <w:t>130.71</w:t>
            </w:r>
          </w:p>
        </w:tc>
        <w:tc>
          <w:tcPr>
            <w:tcW w:w="881" w:type="pct"/>
            <w:tcBorders>
              <w:top w:val="single" w:color="auto" w:sz="4" w:space="0"/>
              <w:left w:val="single" w:color="auto" w:sz="4" w:space="0"/>
              <w:bottom w:val="single" w:color="auto" w:sz="4" w:space="0"/>
              <w:right w:val="single" w:color="auto" w:sz="4" w:space="0"/>
            </w:tcBorders>
          </w:tcPr>
          <w:p w14:paraId="5E5A010F">
            <w:pPr>
              <w:jc w:val="right"/>
            </w:pPr>
            <w:r>
              <w:t>4,910.68</w:t>
            </w:r>
          </w:p>
        </w:tc>
        <w:tc>
          <w:tcPr>
            <w:tcW w:w="889" w:type="pct"/>
            <w:tcBorders>
              <w:top w:val="single" w:color="auto" w:sz="4" w:space="0"/>
              <w:left w:val="single" w:color="auto" w:sz="4" w:space="0"/>
              <w:bottom w:val="single" w:color="auto" w:sz="4" w:space="0"/>
              <w:right w:val="single" w:color="auto" w:sz="4" w:space="0"/>
            </w:tcBorders>
          </w:tcPr>
          <w:p w14:paraId="3DE789EB">
            <w:pPr>
              <w:jc w:val="right"/>
            </w:pPr>
            <w:r>
              <w:t>4,967.98</w:t>
            </w:r>
          </w:p>
        </w:tc>
        <w:tc>
          <w:tcPr>
            <w:tcW w:w="895" w:type="pct"/>
            <w:tcBorders>
              <w:top w:val="single" w:color="auto" w:sz="4" w:space="0"/>
              <w:left w:val="single" w:color="auto" w:sz="4" w:space="0"/>
              <w:bottom w:val="single" w:color="auto" w:sz="4" w:space="0"/>
              <w:right w:val="single" w:color="auto" w:sz="4" w:space="0"/>
            </w:tcBorders>
          </w:tcPr>
          <w:p w14:paraId="76A2E4AB">
            <w:pPr>
              <w:jc w:val="right"/>
            </w:pPr>
            <w:r>
              <w:rPr>
                <w:rFonts w:hint="eastAsia"/>
              </w:rPr>
              <w:t>73.41</w:t>
            </w:r>
          </w:p>
        </w:tc>
      </w:tr>
      <w:tr w14:paraId="63E4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Borders>
              <w:top w:val="single" w:color="auto" w:sz="4" w:space="0"/>
              <w:left w:val="single" w:color="auto" w:sz="4" w:space="0"/>
              <w:bottom w:val="single" w:color="auto" w:sz="4" w:space="0"/>
              <w:right w:val="single" w:color="auto" w:sz="4" w:space="0"/>
            </w:tcBorders>
          </w:tcPr>
          <w:p w14:paraId="3734703F">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生育保险费</w:t>
            </w:r>
          </w:p>
        </w:tc>
        <w:tc>
          <w:tcPr>
            <w:tcW w:w="891" w:type="pct"/>
            <w:tcBorders>
              <w:top w:val="single" w:color="auto" w:sz="4" w:space="0"/>
              <w:left w:val="single" w:color="auto" w:sz="4" w:space="0"/>
              <w:bottom w:val="single" w:color="auto" w:sz="4" w:space="0"/>
              <w:right w:val="single" w:color="auto" w:sz="4" w:space="0"/>
            </w:tcBorders>
          </w:tcPr>
          <w:p w14:paraId="71C2F1A8">
            <w:pPr>
              <w:jc w:val="right"/>
            </w:pPr>
          </w:p>
        </w:tc>
        <w:tc>
          <w:tcPr>
            <w:tcW w:w="881" w:type="pct"/>
            <w:tcBorders>
              <w:top w:val="single" w:color="auto" w:sz="4" w:space="0"/>
              <w:left w:val="single" w:color="auto" w:sz="4" w:space="0"/>
              <w:bottom w:val="single" w:color="auto" w:sz="4" w:space="0"/>
              <w:right w:val="single" w:color="auto" w:sz="4" w:space="0"/>
            </w:tcBorders>
          </w:tcPr>
          <w:p w14:paraId="5EBDB2E4">
            <w:pPr>
              <w:jc w:val="right"/>
            </w:pPr>
          </w:p>
        </w:tc>
        <w:tc>
          <w:tcPr>
            <w:tcW w:w="889" w:type="pct"/>
            <w:tcBorders>
              <w:top w:val="single" w:color="auto" w:sz="4" w:space="0"/>
              <w:left w:val="single" w:color="auto" w:sz="4" w:space="0"/>
              <w:bottom w:val="single" w:color="auto" w:sz="4" w:space="0"/>
              <w:right w:val="single" w:color="auto" w:sz="4" w:space="0"/>
            </w:tcBorders>
          </w:tcPr>
          <w:p w14:paraId="2E84AE38">
            <w:pPr>
              <w:jc w:val="right"/>
            </w:pPr>
          </w:p>
        </w:tc>
        <w:tc>
          <w:tcPr>
            <w:tcW w:w="895" w:type="pct"/>
            <w:tcBorders>
              <w:top w:val="single" w:color="auto" w:sz="4" w:space="0"/>
              <w:left w:val="single" w:color="auto" w:sz="4" w:space="0"/>
              <w:bottom w:val="single" w:color="auto" w:sz="4" w:space="0"/>
              <w:right w:val="single" w:color="auto" w:sz="4" w:space="0"/>
            </w:tcBorders>
          </w:tcPr>
          <w:p w14:paraId="331C6892">
            <w:pPr>
              <w:jc w:val="right"/>
            </w:pPr>
          </w:p>
        </w:tc>
      </w:tr>
      <w:tr w14:paraId="4558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Borders>
              <w:top w:val="single" w:color="auto" w:sz="4" w:space="0"/>
              <w:left w:val="single" w:color="auto" w:sz="4" w:space="0"/>
              <w:bottom w:val="single" w:color="auto" w:sz="4" w:space="0"/>
              <w:right w:val="single" w:color="auto" w:sz="4" w:space="0"/>
            </w:tcBorders>
          </w:tcPr>
          <w:p w14:paraId="5053CA69">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四、住房公积金</w:t>
            </w:r>
          </w:p>
        </w:tc>
        <w:tc>
          <w:tcPr>
            <w:tcW w:w="891" w:type="pct"/>
            <w:tcBorders>
              <w:top w:val="single" w:color="auto" w:sz="4" w:space="0"/>
              <w:left w:val="single" w:color="auto" w:sz="4" w:space="0"/>
              <w:bottom w:val="single" w:color="auto" w:sz="4" w:space="0"/>
              <w:right w:val="single" w:color="auto" w:sz="4" w:space="0"/>
            </w:tcBorders>
          </w:tcPr>
          <w:p w14:paraId="3988F433">
            <w:pPr>
              <w:jc w:val="right"/>
            </w:pPr>
          </w:p>
        </w:tc>
        <w:tc>
          <w:tcPr>
            <w:tcW w:w="881" w:type="pct"/>
            <w:tcBorders>
              <w:top w:val="single" w:color="auto" w:sz="4" w:space="0"/>
              <w:left w:val="single" w:color="auto" w:sz="4" w:space="0"/>
              <w:bottom w:val="single" w:color="auto" w:sz="4" w:space="0"/>
              <w:right w:val="single" w:color="auto" w:sz="4" w:space="0"/>
            </w:tcBorders>
          </w:tcPr>
          <w:p w14:paraId="560D26C9">
            <w:pPr>
              <w:jc w:val="right"/>
            </w:pPr>
          </w:p>
        </w:tc>
        <w:tc>
          <w:tcPr>
            <w:tcW w:w="889" w:type="pct"/>
            <w:tcBorders>
              <w:top w:val="single" w:color="auto" w:sz="4" w:space="0"/>
              <w:left w:val="single" w:color="auto" w:sz="4" w:space="0"/>
              <w:bottom w:val="single" w:color="auto" w:sz="4" w:space="0"/>
              <w:right w:val="single" w:color="auto" w:sz="4" w:space="0"/>
            </w:tcBorders>
          </w:tcPr>
          <w:p w14:paraId="5195DA30">
            <w:pPr>
              <w:jc w:val="right"/>
            </w:pPr>
          </w:p>
        </w:tc>
        <w:tc>
          <w:tcPr>
            <w:tcW w:w="895" w:type="pct"/>
            <w:tcBorders>
              <w:top w:val="single" w:color="auto" w:sz="4" w:space="0"/>
              <w:left w:val="single" w:color="auto" w:sz="4" w:space="0"/>
              <w:bottom w:val="single" w:color="auto" w:sz="4" w:space="0"/>
              <w:right w:val="single" w:color="auto" w:sz="4" w:space="0"/>
            </w:tcBorders>
          </w:tcPr>
          <w:p w14:paraId="7CE05639">
            <w:pPr>
              <w:jc w:val="right"/>
            </w:pPr>
          </w:p>
        </w:tc>
      </w:tr>
      <w:tr w14:paraId="4020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Borders>
              <w:top w:val="single" w:color="auto" w:sz="4" w:space="0"/>
              <w:left w:val="single" w:color="auto" w:sz="4" w:space="0"/>
              <w:bottom w:val="single" w:color="auto" w:sz="4" w:space="0"/>
              <w:right w:val="single" w:color="auto" w:sz="4" w:space="0"/>
            </w:tcBorders>
          </w:tcPr>
          <w:p w14:paraId="7BB2D248">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五、工会经费和职工教育经费</w:t>
            </w:r>
          </w:p>
        </w:tc>
        <w:tc>
          <w:tcPr>
            <w:tcW w:w="891" w:type="pct"/>
            <w:tcBorders>
              <w:top w:val="single" w:color="auto" w:sz="4" w:space="0"/>
              <w:left w:val="single" w:color="auto" w:sz="4" w:space="0"/>
              <w:bottom w:val="single" w:color="auto" w:sz="4" w:space="0"/>
              <w:right w:val="single" w:color="auto" w:sz="4" w:space="0"/>
            </w:tcBorders>
          </w:tcPr>
          <w:p w14:paraId="163A1962">
            <w:pPr>
              <w:jc w:val="right"/>
            </w:pPr>
            <w:r>
              <w:t>7,232,374.49</w:t>
            </w:r>
          </w:p>
        </w:tc>
        <w:tc>
          <w:tcPr>
            <w:tcW w:w="881" w:type="pct"/>
            <w:tcBorders>
              <w:top w:val="single" w:color="auto" w:sz="4" w:space="0"/>
              <w:left w:val="single" w:color="auto" w:sz="4" w:space="0"/>
              <w:bottom w:val="single" w:color="auto" w:sz="4" w:space="0"/>
              <w:right w:val="single" w:color="auto" w:sz="4" w:space="0"/>
            </w:tcBorders>
          </w:tcPr>
          <w:p w14:paraId="4DEC7694">
            <w:pPr>
              <w:jc w:val="right"/>
            </w:pPr>
            <w:r>
              <w:t>37,697.91</w:t>
            </w:r>
          </w:p>
        </w:tc>
        <w:tc>
          <w:tcPr>
            <w:tcW w:w="889" w:type="pct"/>
            <w:tcBorders>
              <w:top w:val="single" w:color="auto" w:sz="4" w:space="0"/>
              <w:left w:val="single" w:color="auto" w:sz="4" w:space="0"/>
              <w:bottom w:val="single" w:color="auto" w:sz="4" w:space="0"/>
              <w:right w:val="single" w:color="auto" w:sz="4" w:space="0"/>
            </w:tcBorders>
          </w:tcPr>
          <w:p w14:paraId="038DEB87">
            <w:pPr>
              <w:jc w:val="right"/>
            </w:pPr>
            <w:r>
              <w:t>21,748.59</w:t>
            </w:r>
          </w:p>
        </w:tc>
        <w:tc>
          <w:tcPr>
            <w:tcW w:w="895" w:type="pct"/>
            <w:tcBorders>
              <w:top w:val="single" w:color="auto" w:sz="4" w:space="0"/>
              <w:left w:val="single" w:color="auto" w:sz="4" w:space="0"/>
              <w:bottom w:val="single" w:color="auto" w:sz="4" w:space="0"/>
              <w:right w:val="single" w:color="auto" w:sz="4" w:space="0"/>
            </w:tcBorders>
          </w:tcPr>
          <w:p w14:paraId="769152C3">
            <w:pPr>
              <w:jc w:val="right"/>
            </w:pPr>
            <w:r>
              <w:t>7,248,323.81</w:t>
            </w:r>
          </w:p>
        </w:tc>
      </w:tr>
      <w:tr w14:paraId="0090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Borders>
              <w:top w:val="single" w:color="auto" w:sz="4" w:space="0"/>
              <w:left w:val="single" w:color="auto" w:sz="4" w:space="0"/>
              <w:bottom w:val="single" w:color="auto" w:sz="4" w:space="0"/>
              <w:right w:val="single" w:color="auto" w:sz="4" w:space="0"/>
            </w:tcBorders>
          </w:tcPr>
          <w:p w14:paraId="4AA18FA5">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六、短期带薪缺勤</w:t>
            </w:r>
          </w:p>
        </w:tc>
        <w:tc>
          <w:tcPr>
            <w:tcW w:w="891" w:type="pct"/>
            <w:tcBorders>
              <w:top w:val="single" w:color="auto" w:sz="4" w:space="0"/>
              <w:left w:val="single" w:color="auto" w:sz="4" w:space="0"/>
              <w:bottom w:val="single" w:color="auto" w:sz="4" w:space="0"/>
              <w:right w:val="single" w:color="auto" w:sz="4" w:space="0"/>
            </w:tcBorders>
          </w:tcPr>
          <w:p w14:paraId="33109564">
            <w:pPr>
              <w:jc w:val="right"/>
            </w:pPr>
          </w:p>
        </w:tc>
        <w:tc>
          <w:tcPr>
            <w:tcW w:w="881" w:type="pct"/>
            <w:tcBorders>
              <w:top w:val="single" w:color="auto" w:sz="4" w:space="0"/>
              <w:left w:val="single" w:color="auto" w:sz="4" w:space="0"/>
              <w:bottom w:val="single" w:color="auto" w:sz="4" w:space="0"/>
              <w:right w:val="single" w:color="auto" w:sz="4" w:space="0"/>
            </w:tcBorders>
          </w:tcPr>
          <w:p w14:paraId="1E3FFF1D">
            <w:pPr>
              <w:jc w:val="right"/>
            </w:pPr>
          </w:p>
        </w:tc>
        <w:tc>
          <w:tcPr>
            <w:tcW w:w="889" w:type="pct"/>
            <w:tcBorders>
              <w:top w:val="single" w:color="auto" w:sz="4" w:space="0"/>
              <w:left w:val="single" w:color="auto" w:sz="4" w:space="0"/>
              <w:bottom w:val="single" w:color="auto" w:sz="4" w:space="0"/>
              <w:right w:val="single" w:color="auto" w:sz="4" w:space="0"/>
            </w:tcBorders>
          </w:tcPr>
          <w:p w14:paraId="182AB096">
            <w:pPr>
              <w:jc w:val="right"/>
            </w:pPr>
          </w:p>
        </w:tc>
        <w:tc>
          <w:tcPr>
            <w:tcW w:w="895" w:type="pct"/>
            <w:tcBorders>
              <w:top w:val="single" w:color="auto" w:sz="4" w:space="0"/>
              <w:left w:val="single" w:color="auto" w:sz="4" w:space="0"/>
              <w:bottom w:val="single" w:color="auto" w:sz="4" w:space="0"/>
              <w:right w:val="single" w:color="auto" w:sz="4" w:space="0"/>
            </w:tcBorders>
          </w:tcPr>
          <w:p w14:paraId="38C5350C">
            <w:pPr>
              <w:jc w:val="right"/>
            </w:pPr>
          </w:p>
        </w:tc>
      </w:tr>
      <w:tr w14:paraId="51D3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Borders>
              <w:top w:val="single" w:color="auto" w:sz="4" w:space="0"/>
              <w:left w:val="single" w:color="auto" w:sz="4" w:space="0"/>
              <w:bottom w:val="single" w:color="auto" w:sz="4" w:space="0"/>
              <w:right w:val="single" w:color="auto" w:sz="4" w:space="0"/>
            </w:tcBorders>
          </w:tcPr>
          <w:p w14:paraId="507892EB">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七、短期利润分享计划</w:t>
            </w:r>
          </w:p>
        </w:tc>
        <w:tc>
          <w:tcPr>
            <w:tcW w:w="891" w:type="pct"/>
            <w:tcBorders>
              <w:top w:val="single" w:color="auto" w:sz="4" w:space="0"/>
              <w:left w:val="single" w:color="auto" w:sz="4" w:space="0"/>
              <w:bottom w:val="single" w:color="auto" w:sz="4" w:space="0"/>
              <w:right w:val="single" w:color="auto" w:sz="4" w:space="0"/>
            </w:tcBorders>
          </w:tcPr>
          <w:p w14:paraId="3CA90FE6">
            <w:pPr>
              <w:jc w:val="right"/>
            </w:pPr>
          </w:p>
        </w:tc>
        <w:tc>
          <w:tcPr>
            <w:tcW w:w="881" w:type="pct"/>
            <w:tcBorders>
              <w:top w:val="single" w:color="auto" w:sz="4" w:space="0"/>
              <w:left w:val="single" w:color="auto" w:sz="4" w:space="0"/>
              <w:bottom w:val="single" w:color="auto" w:sz="4" w:space="0"/>
              <w:right w:val="single" w:color="auto" w:sz="4" w:space="0"/>
            </w:tcBorders>
          </w:tcPr>
          <w:p w14:paraId="3CD3B748">
            <w:pPr>
              <w:jc w:val="right"/>
            </w:pPr>
          </w:p>
        </w:tc>
        <w:tc>
          <w:tcPr>
            <w:tcW w:w="889" w:type="pct"/>
            <w:tcBorders>
              <w:top w:val="single" w:color="auto" w:sz="4" w:space="0"/>
              <w:left w:val="single" w:color="auto" w:sz="4" w:space="0"/>
              <w:bottom w:val="single" w:color="auto" w:sz="4" w:space="0"/>
              <w:right w:val="single" w:color="auto" w:sz="4" w:space="0"/>
            </w:tcBorders>
          </w:tcPr>
          <w:p w14:paraId="212B1EFF">
            <w:pPr>
              <w:jc w:val="right"/>
            </w:pPr>
          </w:p>
        </w:tc>
        <w:tc>
          <w:tcPr>
            <w:tcW w:w="895" w:type="pct"/>
            <w:tcBorders>
              <w:top w:val="single" w:color="auto" w:sz="4" w:space="0"/>
              <w:left w:val="single" w:color="auto" w:sz="4" w:space="0"/>
              <w:bottom w:val="single" w:color="auto" w:sz="4" w:space="0"/>
              <w:right w:val="single" w:color="auto" w:sz="4" w:space="0"/>
            </w:tcBorders>
          </w:tcPr>
          <w:p w14:paraId="0E50EE50">
            <w:pPr>
              <w:jc w:val="right"/>
            </w:pPr>
          </w:p>
        </w:tc>
      </w:tr>
      <w:tr w14:paraId="54E8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Borders>
              <w:top w:val="single" w:color="auto" w:sz="4" w:space="0"/>
              <w:left w:val="single" w:color="auto" w:sz="4" w:space="0"/>
              <w:bottom w:val="single" w:color="auto" w:sz="4" w:space="0"/>
              <w:right w:val="single" w:color="auto" w:sz="4" w:space="0"/>
            </w:tcBorders>
            <w:vAlign w:val="center"/>
          </w:tcPr>
          <w:p w14:paraId="4858204F">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891" w:type="pct"/>
            <w:tcBorders>
              <w:top w:val="single" w:color="auto" w:sz="4" w:space="0"/>
              <w:left w:val="single" w:color="auto" w:sz="4" w:space="0"/>
              <w:bottom w:val="single" w:color="auto" w:sz="4" w:space="0"/>
              <w:right w:val="single" w:color="auto" w:sz="4" w:space="0"/>
            </w:tcBorders>
          </w:tcPr>
          <w:p w14:paraId="77DC5794">
            <w:pPr>
              <w:jc w:val="right"/>
            </w:pPr>
            <w:r>
              <w:t>93,238,791.97</w:t>
            </w:r>
          </w:p>
        </w:tc>
        <w:tc>
          <w:tcPr>
            <w:tcW w:w="881" w:type="pct"/>
            <w:tcBorders>
              <w:top w:val="single" w:color="auto" w:sz="4" w:space="0"/>
              <w:left w:val="single" w:color="auto" w:sz="4" w:space="0"/>
              <w:bottom w:val="single" w:color="auto" w:sz="4" w:space="0"/>
              <w:right w:val="single" w:color="auto" w:sz="4" w:space="0"/>
            </w:tcBorders>
          </w:tcPr>
          <w:p w14:paraId="5B18C3A6">
            <w:pPr>
              <w:jc w:val="right"/>
            </w:pPr>
            <w:r>
              <w:t>89,490,044.67</w:t>
            </w:r>
          </w:p>
        </w:tc>
        <w:tc>
          <w:tcPr>
            <w:tcW w:w="889" w:type="pct"/>
            <w:tcBorders>
              <w:top w:val="single" w:color="auto" w:sz="4" w:space="0"/>
              <w:left w:val="single" w:color="auto" w:sz="4" w:space="0"/>
              <w:bottom w:val="single" w:color="auto" w:sz="4" w:space="0"/>
              <w:right w:val="single" w:color="auto" w:sz="4" w:space="0"/>
            </w:tcBorders>
          </w:tcPr>
          <w:p w14:paraId="60168CF2">
            <w:pPr>
              <w:jc w:val="right"/>
            </w:pPr>
            <w:r>
              <w:t>97,532,899.91</w:t>
            </w:r>
          </w:p>
        </w:tc>
        <w:tc>
          <w:tcPr>
            <w:tcW w:w="895" w:type="pct"/>
            <w:tcBorders>
              <w:top w:val="single" w:color="auto" w:sz="4" w:space="0"/>
              <w:left w:val="single" w:color="auto" w:sz="4" w:space="0"/>
              <w:bottom w:val="single" w:color="auto" w:sz="4" w:space="0"/>
              <w:right w:val="single" w:color="auto" w:sz="4" w:space="0"/>
            </w:tcBorders>
          </w:tcPr>
          <w:p w14:paraId="5C2A115B">
            <w:pPr>
              <w:jc w:val="right"/>
            </w:pPr>
            <w:r>
              <w:t>85,195,936.73</w:t>
            </w:r>
          </w:p>
        </w:tc>
      </w:tr>
    </w:tbl>
    <w:p w14:paraId="7CD06DF7">
      <w:pPr>
        <w:rPr>
          <w:color w:val="000000" w:themeColor="text1"/>
          <w14:textFill>
            <w14:solidFill>
              <w14:schemeClr w14:val="tx1"/>
            </w14:solidFill>
          </w14:textFill>
        </w:rPr>
      </w:pPr>
    </w:p>
    <w:p w14:paraId="6317943D">
      <w:pPr>
        <w:pStyle w:val="5"/>
        <w:numPr>
          <w:ilvl w:val="0"/>
          <w:numId w:val="81"/>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设定提存计划列示</w:t>
      </w:r>
    </w:p>
    <w:sdt>
      <w:sdtPr>
        <w:rPr>
          <w:color w:val="000000" w:themeColor="text1"/>
          <w14:textFill>
            <w14:solidFill>
              <w14:schemeClr w14:val="tx1"/>
            </w14:solidFill>
          </w14:textFill>
        </w:rPr>
        <w:alias w:val="是否适用：设定提存计划列示[双击切换]"/>
        <w:tag w:val="_GBC_107b7eec6d75473e8809e93d01e00021"/>
        <w:id w:val="-491028409"/>
        <w:placeholder>
          <w:docPart w:val="GBC22222222222222222222222222222"/>
        </w:placeholder>
      </w:sdtPr>
      <w:sdtEndPr>
        <w:rPr>
          <w:color w:val="000000" w:themeColor="text1"/>
          <w14:textFill>
            <w14:solidFill>
              <w14:schemeClr w14:val="tx1"/>
            </w14:solidFill>
          </w14:textFill>
        </w:rPr>
      </w:sdtEndPr>
      <w:sdtContent>
        <w:p w14:paraId="1A9EDD9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BA71C14">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设定提存计划列示"/>
          <w:tag w:val="_GBC_744d8f829e6040c78616ef1951ef7e59"/>
          <w:id w:val="-21039390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设定提存计划列示"/>
          <w:tag w:val="_GBC_433e4a4ae9d648a2973673cbec959f23"/>
          <w:id w:val="5212151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1583"/>
        <w:gridCol w:w="1569"/>
        <w:gridCol w:w="1597"/>
        <w:gridCol w:w="1553"/>
      </w:tblGrid>
      <w:tr w14:paraId="6D5C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f8a9011ca6bd4cc895a50279da6547e9"/>
            <w:id w:val="-1818864863"/>
          </w:sdtPr>
          <w:sdtContent>
            <w:tc>
              <w:tcPr>
                <w:tcW w:w="1429" w:type="pct"/>
                <w:vAlign w:val="center"/>
              </w:tcPr>
              <w:p w14:paraId="34ED16A4">
                <w:pPr>
                  <w:jc w:val="center"/>
                  <w:rPr>
                    <w:color w:val="000000" w:themeColor="text1"/>
                    <w14:textFill>
                      <w14:solidFill>
                        <w14:schemeClr w14:val="tx1"/>
                      </w14:solidFill>
                    </w14:textFill>
                  </w:rPr>
                </w:pPr>
                <w:bookmarkStart w:id="340" w:name="OLE_LINK29"/>
                <w:r>
                  <w:rPr>
                    <w:rFonts w:hint="eastAsia"/>
                    <w:color w:val="000000" w:themeColor="text1"/>
                    <w14:textFill>
                      <w14:solidFill>
                        <w14:schemeClr w14:val="tx1"/>
                      </w14:solidFill>
                    </w14:textFill>
                  </w:rPr>
                  <w:t>项目</w:t>
                </w:r>
              </w:p>
            </w:tc>
          </w:sdtContent>
        </w:sdt>
        <w:sdt>
          <w:sdtPr>
            <w:tag w:val="_PLD_db9ecea0e08e4c1bb5fe2474183a8480"/>
            <w:id w:val="-2144255353"/>
          </w:sdtPr>
          <w:sdtContent>
            <w:tc>
              <w:tcPr>
                <w:tcW w:w="897" w:type="pct"/>
                <w:vAlign w:val="center"/>
              </w:tcPr>
              <w:p w14:paraId="068A503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sdt>
          <w:sdtPr>
            <w:tag w:val="_PLD_11b6b53867b44c92b19ef791cad0c8c4"/>
            <w:id w:val="-2113264894"/>
          </w:sdtPr>
          <w:sdtContent>
            <w:tc>
              <w:tcPr>
                <w:tcW w:w="889" w:type="pct"/>
                <w:vAlign w:val="center"/>
              </w:tcPr>
              <w:p w14:paraId="0334487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本期增加</w:t>
                </w:r>
              </w:p>
            </w:tc>
          </w:sdtContent>
        </w:sdt>
        <w:sdt>
          <w:sdtPr>
            <w:tag w:val="_PLD_c2cbd009dd4248ceb9040da5fc326084"/>
            <w:id w:val="1523893050"/>
          </w:sdtPr>
          <w:sdtContent>
            <w:tc>
              <w:tcPr>
                <w:tcW w:w="905" w:type="pct"/>
                <w:vAlign w:val="center"/>
              </w:tcPr>
              <w:p w14:paraId="07CDBC9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本期减少</w:t>
                </w:r>
              </w:p>
            </w:tc>
          </w:sdtContent>
        </w:sdt>
        <w:sdt>
          <w:sdtPr>
            <w:tag w:val="_PLD_0ded00fbf217420ebfe8ace86c12086d"/>
            <w:id w:val="-124625475"/>
          </w:sdtPr>
          <w:sdtContent>
            <w:tc>
              <w:tcPr>
                <w:tcW w:w="880" w:type="pct"/>
                <w:vAlign w:val="center"/>
              </w:tcPr>
              <w:p w14:paraId="7AC8331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tr>
      <w:tr w14:paraId="3C7C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9" w:type="pct"/>
          </w:tcPr>
          <w:p w14:paraId="1A8F3863">
            <w:pPr>
              <w:rPr>
                <w:color w:val="000000" w:themeColor="text1"/>
                <w14:textFill>
                  <w14:solidFill>
                    <w14:schemeClr w14:val="tx1"/>
                  </w14:solidFill>
                </w14:textFill>
              </w:rPr>
            </w:pPr>
            <w:r>
              <w:rPr>
                <w:rFonts w:hint="eastAsia"/>
                <w:color w:val="000000" w:themeColor="text1"/>
                <w14:textFill>
                  <w14:solidFill>
                    <w14:schemeClr w14:val="tx1"/>
                  </w14:solidFill>
                </w14:textFill>
              </w:rPr>
              <w:t>1、基本养老保险</w:t>
            </w:r>
          </w:p>
        </w:tc>
        <w:tc>
          <w:tcPr>
            <w:tcW w:w="897" w:type="pct"/>
          </w:tcPr>
          <w:p w14:paraId="0372F8D2">
            <w:pPr>
              <w:jc w:val="right"/>
            </w:pPr>
            <w:r>
              <w:t>345,191.40</w:t>
            </w:r>
          </w:p>
        </w:tc>
        <w:tc>
          <w:tcPr>
            <w:tcW w:w="889" w:type="pct"/>
          </w:tcPr>
          <w:p w14:paraId="6CC0555F">
            <w:pPr>
              <w:jc w:val="right"/>
            </w:pPr>
            <w:r>
              <w:t>2,358,406.40</w:t>
            </w:r>
          </w:p>
        </w:tc>
        <w:tc>
          <w:tcPr>
            <w:tcW w:w="905" w:type="pct"/>
          </w:tcPr>
          <w:p w14:paraId="2998097C">
            <w:pPr>
              <w:jc w:val="right"/>
            </w:pPr>
            <w:r>
              <w:t>2,698,871.08</w:t>
            </w:r>
          </w:p>
        </w:tc>
        <w:tc>
          <w:tcPr>
            <w:tcW w:w="880" w:type="pct"/>
          </w:tcPr>
          <w:p w14:paraId="48B0AA25">
            <w:pPr>
              <w:jc w:val="right"/>
            </w:pPr>
            <w:r>
              <w:t>4,726.72</w:t>
            </w:r>
          </w:p>
        </w:tc>
      </w:tr>
      <w:tr w14:paraId="3723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9" w:type="pct"/>
          </w:tcPr>
          <w:p w14:paraId="02FB9B52">
            <w:pPr>
              <w:rPr>
                <w:color w:val="000000" w:themeColor="text1"/>
                <w14:textFill>
                  <w14:solidFill>
                    <w14:schemeClr w14:val="tx1"/>
                  </w14:solidFill>
                </w14:textFill>
              </w:rPr>
            </w:pPr>
            <w:r>
              <w:rPr>
                <w:rFonts w:hint="eastAsia"/>
                <w:color w:val="000000" w:themeColor="text1"/>
                <w14:textFill>
                  <w14:solidFill>
                    <w14:schemeClr w14:val="tx1"/>
                  </w14:solidFill>
                </w14:textFill>
              </w:rPr>
              <w:t>2、失业保险费</w:t>
            </w:r>
          </w:p>
        </w:tc>
        <w:tc>
          <w:tcPr>
            <w:tcW w:w="897" w:type="pct"/>
          </w:tcPr>
          <w:p w14:paraId="09825CAE">
            <w:pPr>
              <w:jc w:val="right"/>
            </w:pPr>
            <w:r>
              <w:rPr>
                <w:rFonts w:hint="eastAsia"/>
              </w:rPr>
              <w:t>219.33</w:t>
            </w:r>
          </w:p>
        </w:tc>
        <w:tc>
          <w:tcPr>
            <w:tcW w:w="889" w:type="pct"/>
          </w:tcPr>
          <w:p w14:paraId="692A220E">
            <w:pPr>
              <w:jc w:val="right"/>
            </w:pPr>
            <w:r>
              <w:t>114,066.27</w:t>
            </w:r>
          </w:p>
        </w:tc>
        <w:tc>
          <w:tcPr>
            <w:tcW w:w="905" w:type="pct"/>
          </w:tcPr>
          <w:p w14:paraId="10694F51">
            <w:pPr>
              <w:jc w:val="right"/>
            </w:pPr>
            <w:r>
              <w:t>114,137.89</w:t>
            </w:r>
          </w:p>
        </w:tc>
        <w:tc>
          <w:tcPr>
            <w:tcW w:w="880" w:type="pct"/>
          </w:tcPr>
          <w:p w14:paraId="3314919F">
            <w:pPr>
              <w:jc w:val="right"/>
            </w:pPr>
            <w:r>
              <w:rPr>
                <w:rFonts w:hint="eastAsia"/>
              </w:rPr>
              <w:t>147.71</w:t>
            </w:r>
          </w:p>
        </w:tc>
      </w:tr>
      <w:tr w14:paraId="06FC5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9" w:type="pct"/>
          </w:tcPr>
          <w:p w14:paraId="5F71F8FB">
            <w:pPr>
              <w:rPr>
                <w:color w:val="000000" w:themeColor="text1"/>
                <w14:textFill>
                  <w14:solidFill>
                    <w14:schemeClr w14:val="tx1"/>
                  </w14:solidFill>
                </w14:textFill>
              </w:rPr>
            </w:pPr>
            <w:r>
              <w:rPr>
                <w:rFonts w:hint="eastAsia"/>
                <w:color w:val="000000" w:themeColor="text1"/>
                <w14:textFill>
                  <w14:solidFill>
                    <w14:schemeClr w14:val="tx1"/>
                  </w14:solidFill>
                </w14:textFill>
              </w:rPr>
              <w:t>3、企业年金缴费</w:t>
            </w:r>
          </w:p>
        </w:tc>
        <w:tc>
          <w:tcPr>
            <w:tcW w:w="897" w:type="pct"/>
          </w:tcPr>
          <w:p w14:paraId="3269A9FF">
            <w:pPr>
              <w:jc w:val="right"/>
            </w:pPr>
          </w:p>
        </w:tc>
        <w:tc>
          <w:tcPr>
            <w:tcW w:w="889" w:type="pct"/>
          </w:tcPr>
          <w:p w14:paraId="1AAB7C4C">
            <w:pPr>
              <w:jc w:val="right"/>
            </w:pPr>
          </w:p>
        </w:tc>
        <w:tc>
          <w:tcPr>
            <w:tcW w:w="905" w:type="pct"/>
          </w:tcPr>
          <w:p w14:paraId="3FCC2F39">
            <w:pPr>
              <w:jc w:val="right"/>
            </w:pPr>
          </w:p>
        </w:tc>
        <w:tc>
          <w:tcPr>
            <w:tcW w:w="880" w:type="pct"/>
          </w:tcPr>
          <w:p w14:paraId="173C7FB7">
            <w:pPr>
              <w:jc w:val="right"/>
            </w:pPr>
          </w:p>
        </w:tc>
      </w:tr>
      <w:tr w14:paraId="7A19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9" w:type="pct"/>
            <w:vAlign w:val="center"/>
          </w:tcPr>
          <w:p w14:paraId="6761F26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897" w:type="pct"/>
          </w:tcPr>
          <w:p w14:paraId="339D5C78">
            <w:pPr>
              <w:jc w:val="right"/>
            </w:pPr>
            <w:r>
              <w:t>345,410.73</w:t>
            </w:r>
          </w:p>
        </w:tc>
        <w:tc>
          <w:tcPr>
            <w:tcW w:w="889" w:type="pct"/>
          </w:tcPr>
          <w:p w14:paraId="36F13585">
            <w:pPr>
              <w:jc w:val="right"/>
            </w:pPr>
            <w:r>
              <w:t>2,472,472.67</w:t>
            </w:r>
          </w:p>
        </w:tc>
        <w:tc>
          <w:tcPr>
            <w:tcW w:w="905" w:type="pct"/>
          </w:tcPr>
          <w:p w14:paraId="5E9F058F">
            <w:pPr>
              <w:jc w:val="right"/>
            </w:pPr>
            <w:r>
              <w:t>2,813,008.97</w:t>
            </w:r>
          </w:p>
        </w:tc>
        <w:tc>
          <w:tcPr>
            <w:tcW w:w="880" w:type="pct"/>
          </w:tcPr>
          <w:p w14:paraId="15A51B6A">
            <w:pPr>
              <w:jc w:val="right"/>
            </w:pPr>
            <w:r>
              <w:t>4,874.43</w:t>
            </w:r>
          </w:p>
        </w:tc>
      </w:tr>
      <w:bookmarkEnd w:id="340"/>
    </w:tbl>
    <w:p w14:paraId="3C189FA6">
      <w:pPr>
        <w:autoSpaceDE w:val="0"/>
        <w:autoSpaceDN w:val="0"/>
        <w:adjustRightInd w:val="0"/>
        <w:rPr>
          <w:color w:val="000000" w:themeColor="text1"/>
          <w14:textFill>
            <w14:solidFill>
              <w14:schemeClr w14:val="tx1"/>
            </w14:solidFill>
          </w14:textFill>
        </w:rPr>
      </w:pPr>
    </w:p>
    <w:p w14:paraId="17B17EA5">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应付职工薪酬的说明[双击切换]"/>
        <w:tag w:val="_GBC_f41ecc08d4994ba99707111806caa376"/>
        <w:id w:val="1693033327"/>
        <w:placeholder>
          <w:docPart w:val="GBC22222222222222222222222222222"/>
        </w:placeholder>
      </w:sdtPr>
      <w:sdtEndPr>
        <w:rPr>
          <w:color w:val="000000" w:themeColor="text1"/>
          <w14:textFill>
            <w14:solidFill>
              <w14:schemeClr w14:val="tx1"/>
            </w14:solidFill>
          </w14:textFill>
        </w:rPr>
      </w:sdtEndPr>
      <w:sdtContent>
        <w:p w14:paraId="2EAF65BD">
          <w:pPr>
            <w:autoSpaceDE w:val="0"/>
            <w:autoSpaceDN w:val="0"/>
            <w:adjustRightInd w:val="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9DED961">
      <w:pPr>
        <w:autoSpaceDE w:val="0"/>
        <w:autoSpaceDN w:val="0"/>
        <w:adjustRightInd w:val="0"/>
        <w:rPr>
          <w:color w:val="000000" w:themeColor="text1"/>
          <w14:textFill>
            <w14:solidFill>
              <w14:schemeClr w14:val="tx1"/>
            </w14:solidFill>
          </w14:textFill>
        </w:rPr>
      </w:pPr>
    </w:p>
    <w:p w14:paraId="1546304A">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应交税费</w:t>
      </w:r>
    </w:p>
    <w:sdt>
      <w:sdtPr>
        <w:rPr>
          <w:color w:val="000000" w:themeColor="text1"/>
          <w14:textFill>
            <w14:solidFill>
              <w14:schemeClr w14:val="tx1"/>
            </w14:solidFill>
          </w14:textFill>
        </w:rPr>
        <w:alias w:val="是否适用：应交税费[双击切换]"/>
        <w:tag w:val="_GBC_e7e2664720b9408384c5d3cd6d97c132"/>
        <w:id w:val="1890689422"/>
        <w:placeholder>
          <w:docPart w:val="GBC22222222222222222222222222222"/>
        </w:placeholder>
      </w:sdtPr>
      <w:sdtEndPr>
        <w:rPr>
          <w:color w:val="000000" w:themeColor="text1"/>
          <w14:textFill>
            <w14:solidFill>
              <w14:schemeClr w14:val="tx1"/>
            </w14:solidFill>
          </w14:textFill>
        </w:rPr>
      </w:sdtEndPr>
      <w:sdtContent>
        <w:p w14:paraId="40B7366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FAE53F3">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应交税费"/>
          <w:tag w:val="_GBC_a6162c9f021640929018406be611b834"/>
          <w:id w:val="94358793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应交税费"/>
          <w:tag w:val="_GBC_d787fa1c70604797889c69c4c364e711"/>
          <w:id w:val="-78735659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1" w:type="dxa"/>
          <w:bottom w:w="0" w:type="dxa"/>
          <w:right w:w="31" w:type="dxa"/>
        </w:tblCellMar>
      </w:tblPr>
      <w:tblGrid>
        <w:gridCol w:w="2956"/>
        <w:gridCol w:w="2931"/>
        <w:gridCol w:w="2936"/>
      </w:tblGrid>
      <w:tr w14:paraId="5F37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tag w:val="_PLD_ab0019be2d10489d885d15626d85168f"/>
            <w:id w:val="-352198251"/>
          </w:sdtPr>
          <w:sdtContent>
            <w:tc>
              <w:tcPr>
                <w:tcW w:w="1675" w:type="pct"/>
                <w:vAlign w:val="center"/>
              </w:tcPr>
              <w:p w14:paraId="6DD75EE7">
                <w:pPr>
                  <w:ind w:right="10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4d086e8f4e004ee3aa116a5d10a7ecbd"/>
            <w:id w:val="2135985518"/>
          </w:sdtPr>
          <w:sdtContent>
            <w:tc>
              <w:tcPr>
                <w:tcW w:w="1661" w:type="pct"/>
                <w:vAlign w:val="center"/>
              </w:tcPr>
              <w:p w14:paraId="7A60A4A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8b866f731e474c6ebfb67cd903ab95c8"/>
            <w:id w:val="51046934"/>
          </w:sdtPr>
          <w:sdtContent>
            <w:tc>
              <w:tcPr>
                <w:tcW w:w="1664" w:type="pct"/>
                <w:vAlign w:val="center"/>
              </w:tcPr>
              <w:p w14:paraId="6899615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37B9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75" w:type="pct"/>
          </w:tcPr>
          <w:p w14:paraId="71EBFCCD">
            <w:pPr>
              <w:ind w:right="105"/>
              <w:rPr>
                <w:color w:val="000000" w:themeColor="text1"/>
                <w14:textFill>
                  <w14:solidFill>
                    <w14:schemeClr w14:val="tx1"/>
                  </w14:solidFill>
                </w14:textFill>
              </w:rPr>
            </w:pPr>
            <w:r>
              <w:rPr>
                <w:rFonts w:hint="eastAsia" w:ascii="宋体" w:hAnsi="宋体"/>
              </w:rPr>
              <w:t>增值税</w:t>
            </w:r>
          </w:p>
        </w:tc>
        <w:tc>
          <w:tcPr>
            <w:tcW w:w="1661" w:type="pct"/>
          </w:tcPr>
          <w:p w14:paraId="054E4820">
            <w:pPr>
              <w:ind w:right="73"/>
              <w:jc w:val="right"/>
            </w:pPr>
            <w:r>
              <w:t>2,115,881.31</w:t>
            </w:r>
          </w:p>
        </w:tc>
        <w:tc>
          <w:tcPr>
            <w:tcW w:w="1664" w:type="pct"/>
          </w:tcPr>
          <w:p w14:paraId="2731ACA6">
            <w:pPr>
              <w:jc w:val="right"/>
            </w:pPr>
            <w:r>
              <w:t>822,525.04</w:t>
            </w:r>
          </w:p>
        </w:tc>
      </w:tr>
      <w:tr w14:paraId="3846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75" w:type="pct"/>
          </w:tcPr>
          <w:p w14:paraId="52EF8E32">
            <w:pPr>
              <w:ind w:right="105"/>
              <w:rPr>
                <w:color w:val="000000" w:themeColor="text1"/>
                <w14:textFill>
                  <w14:solidFill>
                    <w14:schemeClr w14:val="tx1"/>
                  </w14:solidFill>
                </w14:textFill>
              </w:rPr>
            </w:pPr>
            <w:r>
              <w:rPr>
                <w:rFonts w:hint="eastAsia" w:ascii="宋体" w:hAnsi="宋体"/>
              </w:rPr>
              <w:t>企业所得税</w:t>
            </w:r>
          </w:p>
        </w:tc>
        <w:tc>
          <w:tcPr>
            <w:tcW w:w="1661" w:type="pct"/>
          </w:tcPr>
          <w:p w14:paraId="4B2EFE1D">
            <w:pPr>
              <w:ind w:right="73"/>
              <w:jc w:val="right"/>
            </w:pPr>
            <w:r>
              <w:t>20,073,005.97</w:t>
            </w:r>
          </w:p>
        </w:tc>
        <w:tc>
          <w:tcPr>
            <w:tcW w:w="1664" w:type="pct"/>
          </w:tcPr>
          <w:p w14:paraId="64D7723A">
            <w:pPr>
              <w:jc w:val="right"/>
            </w:pPr>
            <w:r>
              <w:t>21,844,228.47</w:t>
            </w:r>
          </w:p>
        </w:tc>
      </w:tr>
      <w:tr w14:paraId="75C1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75" w:type="pct"/>
          </w:tcPr>
          <w:p w14:paraId="73F30536">
            <w:pPr>
              <w:ind w:right="105"/>
              <w:rPr>
                <w:color w:val="000000" w:themeColor="text1"/>
                <w14:textFill>
                  <w14:solidFill>
                    <w14:schemeClr w14:val="tx1"/>
                  </w14:solidFill>
                </w14:textFill>
              </w:rPr>
            </w:pPr>
            <w:r>
              <w:rPr>
                <w:rFonts w:hint="eastAsia" w:ascii="宋体" w:hAnsi="宋体"/>
              </w:rPr>
              <w:t>个人所得税</w:t>
            </w:r>
          </w:p>
        </w:tc>
        <w:tc>
          <w:tcPr>
            <w:tcW w:w="1661" w:type="pct"/>
          </w:tcPr>
          <w:p w14:paraId="4D1BE4D9">
            <w:pPr>
              <w:ind w:right="73"/>
              <w:jc w:val="right"/>
            </w:pPr>
            <w:r>
              <w:t>1,970,537.19</w:t>
            </w:r>
          </w:p>
        </w:tc>
        <w:tc>
          <w:tcPr>
            <w:tcW w:w="1664" w:type="pct"/>
          </w:tcPr>
          <w:p w14:paraId="422738F7">
            <w:pPr>
              <w:jc w:val="right"/>
            </w:pPr>
            <w:r>
              <w:t>2,182,230.18</w:t>
            </w:r>
          </w:p>
        </w:tc>
      </w:tr>
      <w:tr w14:paraId="3198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75" w:type="pct"/>
          </w:tcPr>
          <w:p w14:paraId="107310BD">
            <w:pPr>
              <w:ind w:right="105"/>
              <w:rPr>
                <w:color w:val="000000" w:themeColor="text1"/>
                <w14:textFill>
                  <w14:solidFill>
                    <w14:schemeClr w14:val="tx1"/>
                  </w14:solidFill>
                </w14:textFill>
              </w:rPr>
            </w:pPr>
            <w:r>
              <w:rPr>
                <w:rFonts w:hint="eastAsia" w:ascii="宋体" w:hAnsi="宋体"/>
              </w:rPr>
              <w:t>城市维护建设税</w:t>
            </w:r>
          </w:p>
        </w:tc>
        <w:tc>
          <w:tcPr>
            <w:tcW w:w="1661" w:type="pct"/>
          </w:tcPr>
          <w:p w14:paraId="2955EA12">
            <w:pPr>
              <w:ind w:right="73"/>
              <w:jc w:val="right"/>
            </w:pPr>
            <w:r>
              <w:t>42,798.99</w:t>
            </w:r>
          </w:p>
        </w:tc>
        <w:tc>
          <w:tcPr>
            <w:tcW w:w="1664" w:type="pct"/>
          </w:tcPr>
          <w:p w14:paraId="60016BFC">
            <w:pPr>
              <w:jc w:val="right"/>
            </w:pPr>
            <w:r>
              <w:t>196,837.85</w:t>
            </w:r>
          </w:p>
        </w:tc>
      </w:tr>
      <w:tr w14:paraId="7AF0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75" w:type="pct"/>
          </w:tcPr>
          <w:p w14:paraId="444A1838">
            <w:pPr>
              <w:ind w:right="105"/>
              <w:rPr>
                <w:color w:val="000000" w:themeColor="text1"/>
                <w14:textFill>
                  <w14:solidFill>
                    <w14:schemeClr w14:val="tx1"/>
                  </w14:solidFill>
                </w14:textFill>
              </w:rPr>
            </w:pPr>
            <w:r>
              <w:rPr>
                <w:rFonts w:hint="eastAsia" w:ascii="宋体" w:hAnsi="宋体"/>
              </w:rPr>
              <w:t>教育费附加</w:t>
            </w:r>
          </w:p>
        </w:tc>
        <w:tc>
          <w:tcPr>
            <w:tcW w:w="1661" w:type="pct"/>
          </w:tcPr>
          <w:p w14:paraId="698FFE6C">
            <w:pPr>
              <w:ind w:right="73"/>
              <w:jc w:val="right"/>
            </w:pPr>
            <w:r>
              <w:t>38,272.69</w:t>
            </w:r>
          </w:p>
        </w:tc>
        <w:tc>
          <w:tcPr>
            <w:tcW w:w="1664" w:type="pct"/>
          </w:tcPr>
          <w:p w14:paraId="54206C85">
            <w:pPr>
              <w:jc w:val="right"/>
            </w:pPr>
            <w:r>
              <w:t>88,050.31</w:t>
            </w:r>
          </w:p>
        </w:tc>
      </w:tr>
      <w:tr w14:paraId="0CCA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75" w:type="pct"/>
          </w:tcPr>
          <w:p w14:paraId="65D938D2">
            <w:pPr>
              <w:ind w:right="105"/>
              <w:rPr>
                <w:color w:val="000000" w:themeColor="text1"/>
                <w14:textFill>
                  <w14:solidFill>
                    <w14:schemeClr w14:val="tx1"/>
                  </w14:solidFill>
                </w14:textFill>
              </w:rPr>
            </w:pPr>
            <w:r>
              <w:rPr>
                <w:rFonts w:hint="eastAsia" w:ascii="宋体" w:hAnsi="宋体"/>
              </w:rPr>
              <w:t>地方教育费附加</w:t>
            </w:r>
          </w:p>
        </w:tc>
        <w:tc>
          <w:tcPr>
            <w:tcW w:w="1661" w:type="pct"/>
          </w:tcPr>
          <w:p w14:paraId="5965BECF">
            <w:pPr>
              <w:ind w:right="73"/>
              <w:jc w:val="right"/>
            </w:pPr>
            <w:r>
              <w:t>25,377.22</w:t>
            </w:r>
          </w:p>
        </w:tc>
        <w:tc>
          <w:tcPr>
            <w:tcW w:w="1664" w:type="pct"/>
          </w:tcPr>
          <w:p w14:paraId="2F55E1F8">
            <w:pPr>
              <w:jc w:val="right"/>
            </w:pPr>
            <w:r>
              <w:t>58,380.74</w:t>
            </w:r>
          </w:p>
        </w:tc>
      </w:tr>
      <w:tr w14:paraId="627F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75" w:type="pct"/>
          </w:tcPr>
          <w:p w14:paraId="558CCE35">
            <w:pPr>
              <w:ind w:right="105"/>
            </w:pPr>
            <w:r>
              <w:rPr>
                <w:rFonts w:hint="eastAsia" w:ascii="宋体" w:hAnsi="宋体"/>
              </w:rPr>
              <w:t>房产税</w:t>
            </w:r>
          </w:p>
        </w:tc>
        <w:tc>
          <w:tcPr>
            <w:tcW w:w="1661" w:type="pct"/>
          </w:tcPr>
          <w:p w14:paraId="15CFAC7C">
            <w:pPr>
              <w:ind w:right="73"/>
              <w:jc w:val="right"/>
            </w:pPr>
            <w:r>
              <w:t>2,494,560.99</w:t>
            </w:r>
          </w:p>
        </w:tc>
        <w:tc>
          <w:tcPr>
            <w:tcW w:w="1664" w:type="pct"/>
          </w:tcPr>
          <w:p w14:paraId="5B18D3BB">
            <w:pPr>
              <w:jc w:val="right"/>
            </w:pPr>
            <w:r>
              <w:t>2,316,359.20</w:t>
            </w:r>
          </w:p>
        </w:tc>
      </w:tr>
      <w:tr w14:paraId="65C7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75" w:type="pct"/>
          </w:tcPr>
          <w:p w14:paraId="552DBFE3">
            <w:pPr>
              <w:ind w:right="105"/>
            </w:pPr>
            <w:r>
              <w:rPr>
                <w:rFonts w:hint="eastAsia" w:ascii="宋体" w:hAnsi="宋体"/>
              </w:rPr>
              <w:t>印花税</w:t>
            </w:r>
          </w:p>
        </w:tc>
        <w:tc>
          <w:tcPr>
            <w:tcW w:w="1661" w:type="pct"/>
          </w:tcPr>
          <w:p w14:paraId="57275B61">
            <w:pPr>
              <w:ind w:right="73"/>
              <w:jc w:val="right"/>
            </w:pPr>
            <w:r>
              <w:t>204,116.95</w:t>
            </w:r>
          </w:p>
        </w:tc>
        <w:tc>
          <w:tcPr>
            <w:tcW w:w="1664" w:type="pct"/>
          </w:tcPr>
          <w:p w14:paraId="1BE97201">
            <w:pPr>
              <w:jc w:val="right"/>
            </w:pPr>
            <w:r>
              <w:t>207,773.17</w:t>
            </w:r>
          </w:p>
        </w:tc>
      </w:tr>
      <w:tr w14:paraId="4541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75" w:type="pct"/>
          </w:tcPr>
          <w:p w14:paraId="33721C8D">
            <w:pPr>
              <w:ind w:right="105"/>
            </w:pPr>
            <w:r>
              <w:rPr>
                <w:rFonts w:hint="eastAsia" w:ascii="宋体" w:hAnsi="宋体"/>
              </w:rPr>
              <w:t>资源税</w:t>
            </w:r>
          </w:p>
        </w:tc>
        <w:tc>
          <w:tcPr>
            <w:tcW w:w="1661" w:type="pct"/>
          </w:tcPr>
          <w:p w14:paraId="3BBE239E">
            <w:pPr>
              <w:ind w:right="73"/>
              <w:jc w:val="right"/>
            </w:pPr>
            <w:r>
              <w:t>474,921.80</w:t>
            </w:r>
          </w:p>
        </w:tc>
        <w:tc>
          <w:tcPr>
            <w:tcW w:w="1664" w:type="pct"/>
          </w:tcPr>
          <w:p w14:paraId="08692870">
            <w:pPr>
              <w:jc w:val="right"/>
            </w:pPr>
            <w:r>
              <w:t>474,921.80</w:t>
            </w:r>
          </w:p>
        </w:tc>
      </w:tr>
      <w:tr w14:paraId="57AA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75" w:type="pct"/>
          </w:tcPr>
          <w:p w14:paraId="30624F36">
            <w:pPr>
              <w:ind w:right="105"/>
            </w:pPr>
            <w:r>
              <w:rPr>
                <w:rFonts w:hint="eastAsia" w:ascii="宋体" w:hAnsi="宋体"/>
              </w:rPr>
              <w:t>城镇土地使用税</w:t>
            </w:r>
          </w:p>
        </w:tc>
        <w:tc>
          <w:tcPr>
            <w:tcW w:w="1661" w:type="pct"/>
          </w:tcPr>
          <w:p w14:paraId="46859F10">
            <w:pPr>
              <w:ind w:right="73"/>
              <w:jc w:val="right"/>
            </w:pPr>
            <w:r>
              <w:t>320,</w:t>
            </w:r>
            <w:r>
              <w:rPr>
                <w:rFonts w:hint="eastAsia"/>
              </w:rPr>
              <w:t>450.29</w:t>
            </w:r>
          </w:p>
        </w:tc>
        <w:tc>
          <w:tcPr>
            <w:tcW w:w="1664" w:type="pct"/>
          </w:tcPr>
          <w:p w14:paraId="0F33F77E">
            <w:pPr>
              <w:jc w:val="right"/>
            </w:pPr>
            <w:r>
              <w:t>355,779.25</w:t>
            </w:r>
          </w:p>
        </w:tc>
      </w:tr>
      <w:tr w14:paraId="65CC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75" w:type="pct"/>
          </w:tcPr>
          <w:p w14:paraId="0FB38F31">
            <w:pPr>
              <w:ind w:right="105"/>
            </w:pPr>
            <w:r>
              <w:rPr>
                <w:rFonts w:hint="eastAsia" w:ascii="宋体" w:hAnsi="宋体"/>
              </w:rPr>
              <w:t>地方水利建设基金</w:t>
            </w:r>
          </w:p>
        </w:tc>
        <w:tc>
          <w:tcPr>
            <w:tcW w:w="1661" w:type="pct"/>
          </w:tcPr>
          <w:p w14:paraId="7689095D">
            <w:pPr>
              <w:ind w:right="73"/>
              <w:jc w:val="right"/>
            </w:pPr>
            <w:r>
              <w:rPr>
                <w:rFonts w:hint="eastAsia"/>
              </w:rPr>
              <w:t>230.23</w:t>
            </w:r>
          </w:p>
        </w:tc>
        <w:tc>
          <w:tcPr>
            <w:tcW w:w="1664" w:type="pct"/>
          </w:tcPr>
          <w:p w14:paraId="02392854">
            <w:pPr>
              <w:jc w:val="right"/>
            </w:pPr>
            <w:r>
              <w:t>230.23</w:t>
            </w:r>
          </w:p>
        </w:tc>
      </w:tr>
      <w:tr w14:paraId="5642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75" w:type="pct"/>
          </w:tcPr>
          <w:p w14:paraId="50CEEE0E">
            <w:pPr>
              <w:ind w:right="105"/>
            </w:pPr>
            <w:r>
              <w:rPr>
                <w:rFonts w:hint="eastAsia" w:ascii="宋体" w:hAnsi="宋体"/>
              </w:rPr>
              <w:t>消费税</w:t>
            </w:r>
          </w:p>
        </w:tc>
        <w:tc>
          <w:tcPr>
            <w:tcW w:w="1661" w:type="pct"/>
          </w:tcPr>
          <w:p w14:paraId="2D8F5D16">
            <w:pPr>
              <w:ind w:right="73"/>
              <w:jc w:val="right"/>
            </w:pPr>
            <w:r>
              <w:rPr>
                <w:rFonts w:hint="eastAsia"/>
              </w:rPr>
              <w:t>98.80</w:t>
            </w:r>
          </w:p>
        </w:tc>
        <w:tc>
          <w:tcPr>
            <w:tcW w:w="1664" w:type="pct"/>
          </w:tcPr>
          <w:p w14:paraId="6FF2F233">
            <w:pPr>
              <w:jc w:val="right"/>
            </w:pPr>
            <w:r>
              <w:t>98.80</w:t>
            </w:r>
          </w:p>
        </w:tc>
      </w:tr>
      <w:tr w14:paraId="7972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75" w:type="pct"/>
            <w:vAlign w:val="center"/>
          </w:tcPr>
          <w:p w14:paraId="2BFD78B0">
            <w:pPr>
              <w:ind w:right="10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61" w:type="pct"/>
          </w:tcPr>
          <w:p w14:paraId="360BC5CA">
            <w:pPr>
              <w:ind w:right="73"/>
              <w:jc w:val="right"/>
            </w:pPr>
            <w:r>
              <w:t>27,760,252.43</w:t>
            </w:r>
          </w:p>
        </w:tc>
        <w:tc>
          <w:tcPr>
            <w:tcW w:w="1664" w:type="pct"/>
          </w:tcPr>
          <w:p w14:paraId="7CAFA5A7">
            <w:pPr>
              <w:jc w:val="right"/>
            </w:pPr>
            <w:r>
              <w:t>28,547,415.04</w:t>
            </w:r>
          </w:p>
        </w:tc>
      </w:tr>
    </w:tbl>
    <w:p w14:paraId="4B9EAC1E">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应交税金的说明"/>
        <w:tag w:val="_GBC_fb59f8f9de2d41c3aaf0dc3b0970dd91"/>
        <w:id w:val="1976260165"/>
        <w:placeholder>
          <w:docPart w:val="GBC22222222222222222222222222222"/>
        </w:placeholder>
      </w:sdtPr>
      <w:sdtEndPr>
        <w:rPr>
          <w:color w:val="000000" w:themeColor="text1"/>
          <w14:textFill>
            <w14:solidFill>
              <w14:schemeClr w14:val="tx1"/>
            </w14:solidFill>
          </w14:textFill>
        </w:rPr>
      </w:sdtEndPr>
      <w:sdtContent>
        <w:p w14:paraId="213DE812">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5EFCC6F7">
      <w:pPr>
        <w:rPr>
          <w:color w:val="000000" w:themeColor="text1"/>
          <w14:textFill>
            <w14:solidFill>
              <w14:schemeClr w14:val="tx1"/>
            </w14:solidFill>
          </w14:textFill>
        </w:rPr>
      </w:pPr>
    </w:p>
    <w:p w14:paraId="2269D610">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其他应付款</w:t>
      </w:r>
    </w:p>
    <w:p w14:paraId="5145DF9B">
      <w:pPr>
        <w:pStyle w:val="5"/>
        <w:numPr>
          <w:ilvl w:val="0"/>
          <w:numId w:val="82"/>
        </w:numPr>
        <w:ind w:left="425" w:hanging="425"/>
        <w:rPr>
          <w:color w:val="000000" w:themeColor="text1"/>
          <w14:textFill>
            <w14:solidFill>
              <w14:schemeClr w14:val="tx1"/>
            </w14:solidFill>
          </w14:textFill>
        </w:rPr>
      </w:pPr>
      <w:bookmarkStart w:id="341" w:name="_Hlk167960650"/>
      <w:r>
        <w:rPr>
          <w:rFonts w:hint="eastAsia"/>
          <w:color w:val="000000" w:themeColor="text1"/>
          <w14:textFill>
            <w14:solidFill>
              <w14:schemeClr w14:val="tx1"/>
            </w14:solidFill>
          </w14:textFill>
        </w:rPr>
        <w:t>项目列示</w:t>
      </w:r>
    </w:p>
    <w:sdt>
      <w:sdtPr>
        <w:rPr>
          <w:color w:val="000000" w:themeColor="text1"/>
          <w14:textFill>
            <w14:solidFill>
              <w14:schemeClr w14:val="tx1"/>
            </w14:solidFill>
          </w14:textFill>
        </w:rPr>
        <w:alias w:val="是否适用：其他应付款分类列示[双击切换]"/>
        <w:tag w:val="_GBC_5827d75493f041f68356cdf43e4b0e52"/>
        <w:id w:val="-538976447"/>
        <w:placeholder>
          <w:docPart w:val="GBC22222222222222222222222222222"/>
        </w:placeholder>
      </w:sdtPr>
      <w:sdtEndPr>
        <w:rPr>
          <w:color w:val="000000" w:themeColor="text1"/>
          <w14:textFill>
            <w14:solidFill>
              <w14:schemeClr w14:val="tx1"/>
            </w14:solidFill>
          </w14:textFill>
        </w:rPr>
      </w:sdtEndPr>
      <w:sdtContent>
        <w:p w14:paraId="00A0153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85A21D7">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其他应付款分类列示"/>
          <w:tag w:val="_GBC_2c430d2cae634c2e8376192a2b4c05d5"/>
          <w:id w:val="6742974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其他应付款分类列示"/>
          <w:tag w:val="_GBC_ac9f03788d1745f8afc5195f61ce7b16"/>
          <w:id w:val="-4788426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5"/>
        <w:gridCol w:w="2792"/>
        <w:gridCol w:w="2806"/>
      </w:tblGrid>
      <w:tr w14:paraId="2939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547406e2caa94b57a871517659cf9c0e"/>
            <w:id w:val="501167706"/>
          </w:sdtPr>
          <w:sdtContent>
            <w:tc>
              <w:tcPr>
                <w:tcW w:w="1828" w:type="pct"/>
                <w:vAlign w:val="center"/>
              </w:tcPr>
              <w:p w14:paraId="54D1068E">
                <w:pPr>
                  <w:tabs>
                    <w:tab w:val="right" w:pos="3690"/>
                    <w:tab w:val="right" w:pos="5130"/>
                    <w:tab w:val="right" w:pos="6030"/>
                    <w:tab w:val="right" w:pos="7650"/>
                    <w:tab w:val="right" w:pos="9270"/>
                  </w:tabs>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d719b36c588443f38353aada8839625f"/>
            <w:id w:val="1630212759"/>
          </w:sdtPr>
          <w:sdtContent>
            <w:tc>
              <w:tcPr>
                <w:tcW w:w="1582" w:type="pct"/>
                <w:vAlign w:val="center"/>
              </w:tcPr>
              <w:p w14:paraId="71F5459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bc6045ff64f3481da65c0cff41edd1d0"/>
            <w:id w:val="-2014605583"/>
          </w:sdtPr>
          <w:sdtContent>
            <w:tc>
              <w:tcPr>
                <w:tcW w:w="1590" w:type="pct"/>
                <w:vAlign w:val="center"/>
              </w:tcPr>
              <w:p w14:paraId="697ADB3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5F95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pct"/>
          </w:tcPr>
          <w:p w14:paraId="2005891F">
            <w:pPr>
              <w:tabs>
                <w:tab w:val="right" w:pos="3690"/>
                <w:tab w:val="right" w:pos="5130"/>
                <w:tab w:val="right" w:pos="6030"/>
                <w:tab w:val="right" w:pos="7650"/>
                <w:tab w:val="right" w:pos="9270"/>
              </w:tabs>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应付利息</w:t>
            </w:r>
          </w:p>
        </w:tc>
        <w:tc>
          <w:tcPr>
            <w:tcW w:w="1582" w:type="pct"/>
          </w:tcPr>
          <w:p w14:paraId="0F6A3891">
            <w:pPr>
              <w:tabs>
                <w:tab w:val="right" w:pos="3690"/>
                <w:tab w:val="right" w:pos="5130"/>
                <w:tab w:val="right" w:pos="6030"/>
                <w:tab w:val="right" w:pos="7650"/>
                <w:tab w:val="right" w:pos="9270"/>
              </w:tabs>
              <w:adjustRightInd w:val="0"/>
              <w:snapToGrid w:val="0"/>
              <w:jc w:val="right"/>
            </w:pPr>
          </w:p>
        </w:tc>
        <w:tc>
          <w:tcPr>
            <w:tcW w:w="1590" w:type="pct"/>
          </w:tcPr>
          <w:p w14:paraId="7908BF08">
            <w:pPr>
              <w:tabs>
                <w:tab w:val="right" w:pos="3690"/>
                <w:tab w:val="right" w:pos="5130"/>
                <w:tab w:val="right" w:pos="6030"/>
                <w:tab w:val="right" w:pos="7650"/>
                <w:tab w:val="right" w:pos="9270"/>
              </w:tabs>
              <w:adjustRightInd w:val="0"/>
              <w:snapToGrid w:val="0"/>
              <w:jc w:val="right"/>
            </w:pPr>
          </w:p>
        </w:tc>
      </w:tr>
      <w:tr w14:paraId="16DB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pct"/>
          </w:tcPr>
          <w:p w14:paraId="05FAA0F6">
            <w:pPr>
              <w:tabs>
                <w:tab w:val="right" w:pos="3690"/>
                <w:tab w:val="right" w:pos="5130"/>
                <w:tab w:val="right" w:pos="6030"/>
                <w:tab w:val="right" w:pos="7650"/>
                <w:tab w:val="right" w:pos="9270"/>
              </w:tabs>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应付股利</w:t>
            </w:r>
          </w:p>
        </w:tc>
        <w:tc>
          <w:tcPr>
            <w:tcW w:w="1582" w:type="pct"/>
          </w:tcPr>
          <w:p w14:paraId="7AFDAEF7">
            <w:pPr>
              <w:tabs>
                <w:tab w:val="right" w:pos="3690"/>
                <w:tab w:val="right" w:pos="5130"/>
                <w:tab w:val="right" w:pos="6030"/>
                <w:tab w:val="right" w:pos="7650"/>
                <w:tab w:val="right" w:pos="9270"/>
              </w:tabs>
              <w:adjustRightInd w:val="0"/>
              <w:snapToGrid w:val="0"/>
              <w:jc w:val="right"/>
            </w:pPr>
            <w:r>
              <w:t>12,685,993.28</w:t>
            </w:r>
          </w:p>
        </w:tc>
        <w:tc>
          <w:tcPr>
            <w:tcW w:w="1590" w:type="pct"/>
          </w:tcPr>
          <w:p w14:paraId="712E435F">
            <w:pPr>
              <w:tabs>
                <w:tab w:val="right" w:pos="3690"/>
                <w:tab w:val="right" w:pos="5130"/>
                <w:tab w:val="right" w:pos="6030"/>
                <w:tab w:val="right" w:pos="7650"/>
                <w:tab w:val="right" w:pos="9270"/>
              </w:tabs>
              <w:adjustRightInd w:val="0"/>
              <w:snapToGrid w:val="0"/>
              <w:jc w:val="right"/>
            </w:pPr>
            <w:r>
              <w:t>3,783,174.25</w:t>
            </w:r>
          </w:p>
        </w:tc>
      </w:tr>
      <w:tr w14:paraId="5367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pct"/>
          </w:tcPr>
          <w:p w14:paraId="7EE17AB1">
            <w:pPr>
              <w:tabs>
                <w:tab w:val="right" w:pos="3690"/>
                <w:tab w:val="right" w:pos="5130"/>
                <w:tab w:val="right" w:pos="6030"/>
                <w:tab w:val="right" w:pos="7650"/>
                <w:tab w:val="right" w:pos="9270"/>
              </w:tabs>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其他应付款</w:t>
            </w:r>
          </w:p>
        </w:tc>
        <w:tc>
          <w:tcPr>
            <w:tcW w:w="1582" w:type="pct"/>
          </w:tcPr>
          <w:p w14:paraId="2B2CD894">
            <w:pPr>
              <w:tabs>
                <w:tab w:val="right" w:pos="3690"/>
                <w:tab w:val="right" w:pos="5130"/>
                <w:tab w:val="right" w:pos="6030"/>
                <w:tab w:val="right" w:pos="7650"/>
                <w:tab w:val="right" w:pos="9270"/>
              </w:tabs>
              <w:adjustRightInd w:val="0"/>
              <w:snapToGrid w:val="0"/>
              <w:jc w:val="right"/>
            </w:pPr>
            <w:r>
              <w:t>23,115,416.63</w:t>
            </w:r>
          </w:p>
        </w:tc>
        <w:tc>
          <w:tcPr>
            <w:tcW w:w="1590" w:type="pct"/>
          </w:tcPr>
          <w:p w14:paraId="727D7E67">
            <w:pPr>
              <w:tabs>
                <w:tab w:val="right" w:pos="3690"/>
                <w:tab w:val="right" w:pos="5130"/>
                <w:tab w:val="right" w:pos="6030"/>
                <w:tab w:val="right" w:pos="7650"/>
                <w:tab w:val="right" w:pos="9270"/>
              </w:tabs>
              <w:adjustRightInd w:val="0"/>
              <w:snapToGrid w:val="0"/>
              <w:jc w:val="right"/>
            </w:pPr>
            <w:r>
              <w:t>24,830,686.46</w:t>
            </w:r>
          </w:p>
        </w:tc>
      </w:tr>
      <w:tr w14:paraId="380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pct"/>
          </w:tcPr>
          <w:p w14:paraId="1D58B190">
            <w:pPr>
              <w:tabs>
                <w:tab w:val="right" w:pos="3690"/>
                <w:tab w:val="right" w:pos="5130"/>
                <w:tab w:val="right" w:pos="6030"/>
                <w:tab w:val="right" w:pos="7650"/>
                <w:tab w:val="right" w:pos="9270"/>
              </w:tabs>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582" w:type="pct"/>
          </w:tcPr>
          <w:p w14:paraId="6EA0A3EC">
            <w:pPr>
              <w:tabs>
                <w:tab w:val="right" w:pos="3690"/>
                <w:tab w:val="right" w:pos="5130"/>
                <w:tab w:val="right" w:pos="6030"/>
                <w:tab w:val="right" w:pos="7650"/>
                <w:tab w:val="right" w:pos="9270"/>
              </w:tabs>
              <w:adjustRightInd w:val="0"/>
              <w:snapToGrid w:val="0"/>
              <w:jc w:val="right"/>
            </w:pPr>
            <w:r>
              <w:t>35,801,409.91</w:t>
            </w:r>
          </w:p>
        </w:tc>
        <w:tc>
          <w:tcPr>
            <w:tcW w:w="1590" w:type="pct"/>
          </w:tcPr>
          <w:p w14:paraId="23BD80EF">
            <w:pPr>
              <w:tabs>
                <w:tab w:val="right" w:pos="3690"/>
                <w:tab w:val="right" w:pos="5130"/>
                <w:tab w:val="right" w:pos="6030"/>
                <w:tab w:val="right" w:pos="7650"/>
                <w:tab w:val="right" w:pos="9270"/>
              </w:tabs>
              <w:adjustRightInd w:val="0"/>
              <w:snapToGrid w:val="0"/>
              <w:jc w:val="right"/>
            </w:pPr>
            <w:r>
              <w:t>28,613,860.71</w:t>
            </w:r>
          </w:p>
        </w:tc>
      </w:tr>
    </w:tbl>
    <w:p w14:paraId="28433C82">
      <w:pPr>
        <w:rPr>
          <w:color w:val="000000" w:themeColor="text1"/>
          <w14:textFill>
            <w14:solidFill>
              <w14:schemeClr w14:val="tx1"/>
            </w14:solidFill>
          </w14:textFill>
        </w:rPr>
      </w:pPr>
    </w:p>
    <w:bookmarkEnd w:id="341"/>
    <w:p w14:paraId="3674FE26">
      <w:pPr>
        <w:pStyle w:val="5"/>
        <w:numPr>
          <w:ilvl w:val="0"/>
          <w:numId w:val="82"/>
        </w:numPr>
        <w:ind w:left="425" w:hanging="425"/>
        <w:rPr>
          <w:rFonts w:hint="eastAsia" w:ascii="宋体" w:hAnsi="宋体" w:cs="宋体"/>
          <w:color w:val="000000" w:themeColor="text1"/>
          <w:kern w:val="0"/>
          <w:szCs w:val="24"/>
          <w14:textFill>
            <w14:solidFill>
              <w14:schemeClr w14:val="tx1"/>
            </w14:solidFill>
          </w14:textFill>
        </w:rPr>
      </w:pPr>
      <w:bookmarkStart w:id="342" w:name="_Hlk10536047"/>
      <w:r>
        <w:rPr>
          <w:rFonts w:hint="eastAsia" w:ascii="宋体" w:hAnsi="宋体" w:cs="宋体"/>
          <w:color w:val="000000" w:themeColor="text1"/>
          <w:kern w:val="0"/>
          <w:szCs w:val="24"/>
          <w14:textFill>
            <w14:solidFill>
              <w14:schemeClr w14:val="tx1"/>
            </w14:solidFill>
          </w14:textFill>
        </w:rPr>
        <w:t>应付利息</w:t>
      </w:r>
    </w:p>
    <w:sdt>
      <w:sdtPr>
        <w:rPr>
          <w:color w:val="000000" w:themeColor="text1"/>
          <w14:textFill>
            <w14:solidFill>
              <w14:schemeClr w14:val="tx1"/>
            </w14:solidFill>
          </w14:textFill>
        </w:rPr>
        <w:alias w:val="是否适用：应付利息[双击切换]"/>
        <w:tag w:val="_GBC_9058c1c6b0a94f6a8c531ec2dbd35706"/>
        <w:id w:val="357162536"/>
        <w:placeholder>
          <w:docPart w:val="GBC22222222222222222222222222222"/>
        </w:placeholder>
      </w:sdtPr>
      <w:sdtEndPr>
        <w:rPr>
          <w:color w:val="000000" w:themeColor="text1"/>
          <w14:textFill>
            <w14:solidFill>
              <w14:schemeClr w14:val="tx1"/>
            </w14:solidFill>
          </w14:textFill>
        </w:rPr>
      </w:sdtEndPr>
      <w:sdtContent>
        <w:p w14:paraId="4146D71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9C6B135">
      <w:pPr>
        <w:rPr>
          <w:color w:val="000000" w:themeColor="text1"/>
          <w14:textFill>
            <w14:solidFill>
              <w14:schemeClr w14:val="tx1"/>
            </w14:solidFill>
          </w14:textFill>
        </w:rPr>
      </w:pPr>
    </w:p>
    <w:p w14:paraId="06892668">
      <w:pPr>
        <w:rPr>
          <w:color w:val="000000" w:themeColor="text1"/>
          <w14:textFill>
            <w14:solidFill>
              <w14:schemeClr w14:val="tx1"/>
            </w14:solidFill>
          </w14:textFill>
        </w:rPr>
      </w:pPr>
    </w:p>
    <w:bookmarkEnd w:id="342"/>
    <w:p w14:paraId="569329B0">
      <w:pPr>
        <w:pStyle w:val="5"/>
        <w:numPr>
          <w:ilvl w:val="0"/>
          <w:numId w:val="82"/>
        </w:numPr>
        <w:ind w:left="425" w:hanging="425"/>
        <w:rPr>
          <w:rFonts w:hint="eastAsia" w:ascii="宋体" w:hAnsi="宋体" w:cs="宋体"/>
          <w:color w:val="000000" w:themeColor="text1"/>
          <w:kern w:val="0"/>
          <w:szCs w:val="24"/>
          <w14:textFill>
            <w14:solidFill>
              <w14:schemeClr w14:val="tx1"/>
            </w14:solidFill>
          </w14:textFill>
        </w:rPr>
      </w:pPr>
      <w:bookmarkStart w:id="343" w:name="_Hlk10536068"/>
      <w:bookmarkStart w:id="344" w:name="_Hlk10536082"/>
      <w:r>
        <w:rPr>
          <w:rFonts w:hint="eastAsia" w:ascii="宋体" w:hAnsi="宋体" w:cs="宋体"/>
          <w:color w:val="000000" w:themeColor="text1"/>
          <w:kern w:val="0"/>
          <w:szCs w:val="24"/>
          <w14:textFill>
            <w14:solidFill>
              <w14:schemeClr w14:val="tx1"/>
            </w14:solidFill>
          </w14:textFill>
        </w:rPr>
        <w:t>应付股利</w:t>
      </w:r>
      <w:bookmarkEnd w:id="343"/>
    </w:p>
    <w:sdt>
      <w:sdtPr>
        <w:rPr>
          <w:color w:val="000000" w:themeColor="text1"/>
          <w14:textFill>
            <w14:solidFill>
              <w14:schemeClr w14:val="tx1"/>
            </w14:solidFill>
          </w14:textFill>
        </w:rPr>
        <w:alias w:val="是否适用：应付股利[双击切换]"/>
        <w:tag w:val="_GBC_09dc75ba10d44acfb18b03320a40e4c5"/>
        <w:id w:val="-1900363389"/>
        <w:placeholder>
          <w:docPart w:val="GBC22222222222222222222222222222"/>
        </w:placeholder>
      </w:sdtPr>
      <w:sdtEndPr>
        <w:rPr>
          <w:color w:val="000000" w:themeColor="text1"/>
          <w14:textFill>
            <w14:solidFill>
              <w14:schemeClr w14:val="tx1"/>
            </w14:solidFill>
          </w14:textFill>
        </w:rPr>
      </w:sdtEndPr>
      <w:sdtContent>
        <w:p w14:paraId="66B330D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9107E9A">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应付股利"/>
          <w:tag w:val="_GBC_794436f63bf446c4b4d5d09922a87476"/>
          <w:id w:val="585039683"/>
          <w:placeholder>
            <w:docPart w:val="0894EF79B8CA4323BBB43A3CD5CFF5F3"/>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应付股利"/>
          <w:tag w:val="_GBC_3ac9f6019d6040e79214de869765e7c9"/>
          <w:id w:val="532777925"/>
          <w:placeholder>
            <w:docPart w:val="0894EF79B8CA4323BBB43A3CD5CFF5F3"/>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1" w:type="dxa"/>
          <w:bottom w:w="0" w:type="dxa"/>
          <w:right w:w="31" w:type="dxa"/>
        </w:tblCellMar>
      </w:tblPr>
      <w:tblGrid>
        <w:gridCol w:w="2835"/>
        <w:gridCol w:w="2993"/>
        <w:gridCol w:w="2995"/>
      </w:tblGrid>
      <w:tr w14:paraId="56B7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tag w:val="_PLD_9d58938574b04fdbb97abe896d2ae73a"/>
            <w:id w:val="1546338210"/>
          </w:sdtPr>
          <w:sdtContent>
            <w:tc>
              <w:tcPr>
                <w:tcW w:w="1607" w:type="pct"/>
              </w:tcPr>
              <w:p w14:paraId="28D59A76">
                <w:pPr>
                  <w:ind w:right="10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464a3e2801194be5b8f549044d634880"/>
            <w:id w:val="1844281498"/>
          </w:sdtPr>
          <w:sdtContent>
            <w:tc>
              <w:tcPr>
                <w:tcW w:w="1696" w:type="pct"/>
              </w:tcPr>
              <w:p w14:paraId="2593636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b96a666c25174aeab9bab423f51ae94f"/>
            <w:id w:val="-230929681"/>
          </w:sdtPr>
          <w:sdtContent>
            <w:tc>
              <w:tcPr>
                <w:tcW w:w="1697" w:type="pct"/>
              </w:tcPr>
              <w:p w14:paraId="22594BA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20C0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07" w:type="pct"/>
          </w:tcPr>
          <w:p w14:paraId="67659A13">
            <w:pPr>
              <w:ind w:right="105"/>
              <w:rPr>
                <w:color w:val="000000" w:themeColor="text1"/>
                <w14:textFill>
                  <w14:solidFill>
                    <w14:schemeClr w14:val="tx1"/>
                  </w14:solidFill>
                </w14:textFill>
              </w:rPr>
            </w:pPr>
            <w:r>
              <w:rPr>
                <w:rFonts w:hint="eastAsia"/>
                <w:color w:val="000000" w:themeColor="text1"/>
                <w14:textFill>
                  <w14:solidFill>
                    <w14:schemeClr w14:val="tx1"/>
                  </w14:solidFill>
                </w14:textFill>
              </w:rPr>
              <w:t>普通股股利</w:t>
            </w:r>
          </w:p>
        </w:tc>
        <w:tc>
          <w:tcPr>
            <w:tcW w:w="1696" w:type="pct"/>
          </w:tcPr>
          <w:p w14:paraId="3FD4ABB6">
            <w:pPr>
              <w:ind w:right="73"/>
              <w:jc w:val="right"/>
            </w:pPr>
          </w:p>
        </w:tc>
        <w:tc>
          <w:tcPr>
            <w:tcW w:w="1697" w:type="pct"/>
          </w:tcPr>
          <w:p w14:paraId="5CCC32AB">
            <w:pPr>
              <w:ind w:right="73"/>
              <w:jc w:val="right"/>
            </w:pPr>
          </w:p>
        </w:tc>
      </w:tr>
      <w:tr w14:paraId="62B1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07" w:type="pct"/>
          </w:tcPr>
          <w:p w14:paraId="195C062C">
            <w:pPr>
              <w:ind w:right="105"/>
              <w:rPr>
                <w:color w:val="000000" w:themeColor="text1"/>
                <w14:textFill>
                  <w14:solidFill>
                    <w14:schemeClr w14:val="tx1"/>
                  </w14:solidFill>
                </w14:textFill>
              </w:rPr>
            </w:pPr>
            <w:r>
              <w:rPr>
                <w:rFonts w:hint="eastAsia"/>
                <w:color w:val="000000" w:themeColor="text1"/>
                <w14:textFill>
                  <w14:solidFill>
                    <w14:schemeClr w14:val="tx1"/>
                  </w14:solidFill>
                </w14:textFill>
              </w:rPr>
              <w:t>划分为权益工具的优先股\永续债股利</w:t>
            </w:r>
          </w:p>
        </w:tc>
        <w:tc>
          <w:tcPr>
            <w:tcW w:w="1696" w:type="pct"/>
          </w:tcPr>
          <w:p w14:paraId="7A657D21">
            <w:pPr>
              <w:ind w:right="73"/>
              <w:jc w:val="right"/>
            </w:pPr>
          </w:p>
        </w:tc>
        <w:tc>
          <w:tcPr>
            <w:tcW w:w="1697" w:type="pct"/>
          </w:tcPr>
          <w:p w14:paraId="227E4F34">
            <w:pPr>
              <w:ind w:right="73"/>
              <w:jc w:val="right"/>
            </w:pPr>
          </w:p>
        </w:tc>
      </w:tr>
      <w:tr w14:paraId="4A536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07" w:type="pct"/>
            <w:vAlign w:val="center"/>
          </w:tcPr>
          <w:p w14:paraId="46ED04B6">
            <w:pPr>
              <w:rPr>
                <w:color w:val="000000" w:themeColor="text1"/>
                <w14:textFill>
                  <w14:solidFill>
                    <w14:schemeClr w14:val="tx1"/>
                  </w14:solidFill>
                </w14:textFill>
              </w:rPr>
            </w:pPr>
            <w:r>
              <w:rPr>
                <w:rFonts w:hint="eastAsia" w:ascii="宋体" w:hAnsi="宋体"/>
              </w:rPr>
              <w:t>山形食品株式会社</w:t>
            </w:r>
          </w:p>
        </w:tc>
        <w:tc>
          <w:tcPr>
            <w:tcW w:w="1696" w:type="pct"/>
          </w:tcPr>
          <w:p w14:paraId="0DDA9502">
            <w:pPr>
              <w:ind w:right="73"/>
              <w:jc w:val="right"/>
            </w:pPr>
            <w:r>
              <w:t>1,669,101.04</w:t>
            </w:r>
          </w:p>
        </w:tc>
        <w:tc>
          <w:tcPr>
            <w:tcW w:w="1697" w:type="pct"/>
          </w:tcPr>
          <w:p w14:paraId="15932DDE">
            <w:pPr>
              <w:ind w:right="73"/>
              <w:jc w:val="right"/>
            </w:pPr>
            <w:r>
              <w:t>1,736,787.04</w:t>
            </w:r>
          </w:p>
        </w:tc>
      </w:tr>
      <w:tr w14:paraId="73D0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07" w:type="pct"/>
            <w:vAlign w:val="center"/>
          </w:tcPr>
          <w:p w14:paraId="7C24EA38">
            <w:pPr>
              <w:jc w:val="both"/>
            </w:pPr>
            <w:r>
              <w:rPr>
                <w:rFonts w:hint="eastAsia" w:ascii="宋体" w:hAnsi="宋体"/>
              </w:rPr>
              <w:t>好当家集团有限公司</w:t>
            </w:r>
          </w:p>
        </w:tc>
        <w:tc>
          <w:tcPr>
            <w:tcW w:w="1696" w:type="pct"/>
          </w:tcPr>
          <w:p w14:paraId="2F3A73E2">
            <w:pPr>
              <w:ind w:right="73"/>
              <w:jc w:val="right"/>
            </w:pPr>
            <w:r>
              <w:t>4,839,088.79</w:t>
            </w:r>
          </w:p>
        </w:tc>
        <w:tc>
          <w:tcPr>
            <w:tcW w:w="1697" w:type="pct"/>
          </w:tcPr>
          <w:p w14:paraId="707C8395">
            <w:pPr>
              <w:ind w:right="73"/>
              <w:jc w:val="right"/>
            </w:pPr>
            <w:r>
              <w:t>2,046,387.21</w:t>
            </w:r>
          </w:p>
        </w:tc>
      </w:tr>
      <w:tr w14:paraId="191A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07" w:type="pct"/>
            <w:vAlign w:val="center"/>
          </w:tcPr>
          <w:p w14:paraId="11AC6434">
            <w:pPr>
              <w:jc w:val="both"/>
              <w:rPr>
                <w:rFonts w:hint="eastAsia" w:ascii="宋体" w:hAnsi="宋体"/>
              </w:rPr>
            </w:pPr>
            <w:r>
              <w:rPr>
                <w:rFonts w:hint="eastAsia" w:ascii="宋体" w:hAnsi="宋体"/>
              </w:rPr>
              <w:t>社会流通股东</w:t>
            </w:r>
          </w:p>
        </w:tc>
        <w:tc>
          <w:tcPr>
            <w:tcW w:w="1696" w:type="pct"/>
          </w:tcPr>
          <w:p w14:paraId="1D8CE699">
            <w:pPr>
              <w:ind w:right="73"/>
              <w:jc w:val="right"/>
            </w:pPr>
            <w:r>
              <w:t>6,177,803.45</w:t>
            </w:r>
          </w:p>
        </w:tc>
        <w:tc>
          <w:tcPr>
            <w:tcW w:w="1697" w:type="pct"/>
          </w:tcPr>
          <w:p w14:paraId="41774EE7">
            <w:pPr>
              <w:ind w:right="73"/>
              <w:jc w:val="right"/>
            </w:pPr>
          </w:p>
        </w:tc>
      </w:tr>
      <w:tr w14:paraId="02B2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607" w:type="pct"/>
          </w:tcPr>
          <w:p w14:paraId="20A71790">
            <w:pPr>
              <w:ind w:right="10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96" w:type="pct"/>
          </w:tcPr>
          <w:p w14:paraId="453FAEC7">
            <w:pPr>
              <w:ind w:right="73"/>
              <w:jc w:val="right"/>
            </w:pPr>
            <w:r>
              <w:t>12,685,993.28</w:t>
            </w:r>
          </w:p>
        </w:tc>
        <w:tc>
          <w:tcPr>
            <w:tcW w:w="1697" w:type="pct"/>
          </w:tcPr>
          <w:p w14:paraId="3720DC5D">
            <w:pPr>
              <w:ind w:right="73"/>
              <w:jc w:val="right"/>
            </w:pPr>
            <w:r>
              <w:t>3,783,174.25</w:t>
            </w:r>
          </w:p>
        </w:tc>
      </w:tr>
    </w:tbl>
    <w:p w14:paraId="1BC959FE">
      <w:pPr>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其他说明，包括重要的超过</w:t>
      </w:r>
      <w:r>
        <w:rPr>
          <w:color w:val="000000" w:themeColor="text1"/>
          <w14:textFill>
            <w14:solidFill>
              <w14:schemeClr w14:val="tx1"/>
            </w14:solidFill>
          </w14:textFill>
        </w:rPr>
        <w:t>1年未支付的应付股利，应披露未支付原因：</w:t>
      </w:r>
    </w:p>
    <w:p w14:paraId="168E16A8">
      <w:sdt>
        <w:sdtPr>
          <w:rPr>
            <w:color w:val="000000" w:themeColor="text1"/>
            <w14:textFill>
              <w14:solidFill>
                <w14:schemeClr w14:val="tx1"/>
              </w14:solidFill>
            </w14:textFill>
          </w:rPr>
          <w:alias w:val="应付股利的说明"/>
          <w:tag w:val="_GBC_44da1c5f7ab647d2891e8b1c5f5bd521"/>
          <w:id w:val="-123467577"/>
          <w:placeholder>
            <w:docPart w:val="0894EF79B8CA4323BBB43A3CD5CFF5F3"/>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山形食品板式会社为子公司的少数股东。</w:t>
          </w:r>
        </w:sdtContent>
      </w:sdt>
    </w:p>
    <w:p w14:paraId="6A173A31">
      <w:pPr>
        <w:snapToGrid w:val="0"/>
        <w:rPr>
          <w:color w:val="000000" w:themeColor="text1"/>
          <w14:textFill>
            <w14:solidFill>
              <w14:schemeClr w14:val="tx1"/>
            </w14:solidFill>
          </w14:textFill>
        </w:rPr>
      </w:pPr>
    </w:p>
    <w:bookmarkEnd w:id="344"/>
    <w:p w14:paraId="18205AA5">
      <w:pPr>
        <w:rPr>
          <w:color w:val="000000" w:themeColor="text1"/>
          <w14:textFill>
            <w14:solidFill>
              <w14:schemeClr w14:val="tx1"/>
            </w14:solidFill>
          </w14:textFill>
        </w:rPr>
      </w:pPr>
    </w:p>
    <w:p w14:paraId="2C42348C">
      <w:pPr>
        <w:pStyle w:val="5"/>
        <w:numPr>
          <w:ilvl w:val="0"/>
          <w:numId w:val="82"/>
        </w:numPr>
        <w:ind w:left="425" w:hanging="425"/>
        <w:rPr>
          <w:rFonts w:hint="eastAsia" w:ascii="宋体" w:hAnsi="宋体" w:cs="宋体"/>
          <w:color w:val="000000" w:themeColor="text1"/>
          <w:kern w:val="0"/>
          <w:szCs w:val="24"/>
          <w14:textFill>
            <w14:solidFill>
              <w14:schemeClr w14:val="tx1"/>
            </w14:solidFill>
          </w14:textFill>
        </w:rPr>
      </w:pPr>
      <w:bookmarkStart w:id="345" w:name="_Hlk10536163"/>
      <w:r>
        <w:rPr>
          <w:rFonts w:hint="eastAsia" w:ascii="宋体" w:hAnsi="宋体" w:cs="宋体"/>
          <w:color w:val="000000" w:themeColor="text1"/>
          <w:kern w:val="0"/>
          <w:szCs w:val="24"/>
          <w14:textFill>
            <w14:solidFill>
              <w14:schemeClr w14:val="tx1"/>
            </w14:solidFill>
          </w14:textFill>
        </w:rPr>
        <w:t>其他应付款</w:t>
      </w:r>
    </w:p>
    <w:p w14:paraId="02E6B914">
      <w:pPr>
        <w:rPr>
          <w:color w:val="000000" w:themeColor="text1"/>
          <w14:textFill>
            <w14:solidFill>
              <w14:schemeClr w14:val="tx1"/>
            </w14:solidFill>
          </w14:textFill>
        </w:rPr>
      </w:pPr>
      <w:r>
        <w:rPr>
          <w:rFonts w:hint="eastAsia"/>
          <w:color w:val="000000" w:themeColor="text1"/>
          <w14:textFill>
            <w14:solidFill>
              <w14:schemeClr w14:val="tx1"/>
            </w14:solidFill>
          </w14:textFill>
        </w:rPr>
        <w:t>按款项性质列示其他应付款</w:t>
      </w:r>
    </w:p>
    <w:sdt>
      <w:sdtPr>
        <w:rPr>
          <w:color w:val="000000" w:themeColor="text1"/>
          <w14:textFill>
            <w14:solidFill>
              <w14:schemeClr w14:val="tx1"/>
            </w14:solidFill>
          </w14:textFill>
        </w:rPr>
        <w:alias w:val="是否适用：按款项性质列示其他应付款[双击切换]"/>
        <w:tag w:val="_GBC_a099ebd596de4984814ff6b49af92e86"/>
        <w:id w:val="-76760473"/>
        <w:placeholder>
          <w:docPart w:val="GBC22222222222222222222222222222"/>
        </w:placeholder>
      </w:sdtPr>
      <w:sdtEndPr>
        <w:rPr>
          <w:color w:val="000000" w:themeColor="text1"/>
          <w14:textFill>
            <w14:solidFill>
              <w14:schemeClr w14:val="tx1"/>
            </w14:solidFill>
          </w14:textFill>
        </w:rPr>
      </w:sdtEndPr>
      <w:sdtContent>
        <w:p w14:paraId="6856DC0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744C9DF">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其他应付款情况"/>
          <w:tag w:val="_GBC_781a05c0c742470b88557fa8878adf9c"/>
          <w:id w:val="15932034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其他应付款情况"/>
          <w:tag w:val="_GBC_19bba6af93f1445cbfdc13ddfb71a0ea"/>
          <w:id w:val="6353564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0"/>
        <w:gridCol w:w="2924"/>
        <w:gridCol w:w="3049"/>
      </w:tblGrid>
      <w:tr w14:paraId="5F57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3991c4118c8d4069811e5f758978143f"/>
            <w:id w:val="-854646272"/>
          </w:sdtPr>
          <w:sdtContent>
            <w:tc>
              <w:tcPr>
                <w:tcW w:w="1615" w:type="pct"/>
              </w:tcPr>
              <w:p w14:paraId="5501571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c1bcea3523f040f08da3a1bd0d135ad5"/>
            <w:id w:val="-1375917376"/>
          </w:sdtPr>
          <w:sdtContent>
            <w:tc>
              <w:tcPr>
                <w:tcW w:w="1657" w:type="pct"/>
              </w:tcPr>
              <w:p w14:paraId="2F77CAF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b89663858245498c995c58e2bab384aa"/>
            <w:id w:val="1776294006"/>
          </w:sdtPr>
          <w:sdtContent>
            <w:tc>
              <w:tcPr>
                <w:tcW w:w="1728" w:type="pct"/>
              </w:tcPr>
              <w:p w14:paraId="21B2B1B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75AC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5" w:type="pct"/>
          </w:tcPr>
          <w:p w14:paraId="388D37FD">
            <w:r>
              <w:rPr>
                <w:rFonts w:hint="eastAsia" w:ascii="宋体" w:hAnsi="宋体"/>
              </w:rPr>
              <w:t>单位往来款项</w:t>
            </w:r>
          </w:p>
        </w:tc>
        <w:tc>
          <w:tcPr>
            <w:tcW w:w="1657" w:type="pct"/>
          </w:tcPr>
          <w:p w14:paraId="1CA9AE44">
            <w:pPr>
              <w:jc w:val="right"/>
            </w:pPr>
            <w:r>
              <w:t>3,540,164.65</w:t>
            </w:r>
          </w:p>
        </w:tc>
        <w:tc>
          <w:tcPr>
            <w:tcW w:w="1728" w:type="pct"/>
          </w:tcPr>
          <w:p w14:paraId="348F39E0">
            <w:pPr>
              <w:jc w:val="right"/>
            </w:pPr>
            <w:r>
              <w:t>4,497,079.37</w:t>
            </w:r>
          </w:p>
        </w:tc>
      </w:tr>
      <w:tr w14:paraId="374D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5" w:type="pct"/>
          </w:tcPr>
          <w:p w14:paraId="652F08BD">
            <w:r>
              <w:rPr>
                <w:rFonts w:hint="eastAsia" w:ascii="宋体" w:hAnsi="宋体"/>
              </w:rPr>
              <w:t>个人往来款项</w:t>
            </w:r>
          </w:p>
        </w:tc>
        <w:tc>
          <w:tcPr>
            <w:tcW w:w="1657" w:type="pct"/>
          </w:tcPr>
          <w:p w14:paraId="586F3445">
            <w:pPr>
              <w:jc w:val="right"/>
            </w:pPr>
            <w:r>
              <w:t>5,712,764.15</w:t>
            </w:r>
          </w:p>
        </w:tc>
        <w:tc>
          <w:tcPr>
            <w:tcW w:w="1728" w:type="pct"/>
          </w:tcPr>
          <w:p w14:paraId="3D350D57">
            <w:pPr>
              <w:jc w:val="right"/>
            </w:pPr>
            <w:r>
              <w:t>5,698,099.25</w:t>
            </w:r>
          </w:p>
        </w:tc>
      </w:tr>
      <w:tr w14:paraId="186D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5" w:type="pct"/>
          </w:tcPr>
          <w:p w14:paraId="6CC8EE03">
            <w:r>
              <w:rPr>
                <w:rFonts w:hint="eastAsia" w:ascii="宋体" w:hAnsi="宋体"/>
              </w:rPr>
              <w:t>保证金、押金</w:t>
            </w:r>
          </w:p>
        </w:tc>
        <w:tc>
          <w:tcPr>
            <w:tcW w:w="1657" w:type="pct"/>
          </w:tcPr>
          <w:p w14:paraId="735FD79B">
            <w:pPr>
              <w:jc w:val="right"/>
            </w:pPr>
            <w:r>
              <w:t>10,477,095.89</w:t>
            </w:r>
          </w:p>
        </w:tc>
        <w:tc>
          <w:tcPr>
            <w:tcW w:w="1728" w:type="pct"/>
          </w:tcPr>
          <w:p w14:paraId="3EDF5284">
            <w:pPr>
              <w:jc w:val="right"/>
            </w:pPr>
            <w:r>
              <w:t>10,213,349.53</w:t>
            </w:r>
          </w:p>
        </w:tc>
      </w:tr>
      <w:tr w14:paraId="1A14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5" w:type="pct"/>
          </w:tcPr>
          <w:p w14:paraId="376B6147">
            <w:r>
              <w:rPr>
                <w:rFonts w:hint="eastAsia" w:ascii="宋体" w:hAnsi="宋体"/>
              </w:rPr>
              <w:t>其他</w:t>
            </w:r>
          </w:p>
        </w:tc>
        <w:tc>
          <w:tcPr>
            <w:tcW w:w="1657" w:type="pct"/>
          </w:tcPr>
          <w:p w14:paraId="2D7FA162">
            <w:pPr>
              <w:jc w:val="right"/>
            </w:pPr>
            <w:r>
              <w:t>3,385,391.94</w:t>
            </w:r>
          </w:p>
        </w:tc>
        <w:tc>
          <w:tcPr>
            <w:tcW w:w="1728" w:type="pct"/>
          </w:tcPr>
          <w:p w14:paraId="145EF61C">
            <w:pPr>
              <w:jc w:val="right"/>
            </w:pPr>
            <w:r>
              <w:t>4,422,158.31</w:t>
            </w:r>
          </w:p>
        </w:tc>
      </w:tr>
      <w:tr w14:paraId="1032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5" w:type="pct"/>
          </w:tcPr>
          <w:p w14:paraId="3441781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57" w:type="pct"/>
          </w:tcPr>
          <w:p w14:paraId="4EA83FA7">
            <w:pPr>
              <w:jc w:val="right"/>
            </w:pPr>
            <w:r>
              <w:t>23,115,416.63</w:t>
            </w:r>
          </w:p>
        </w:tc>
        <w:tc>
          <w:tcPr>
            <w:tcW w:w="1728" w:type="pct"/>
          </w:tcPr>
          <w:p w14:paraId="279EBFD6">
            <w:pPr>
              <w:jc w:val="right"/>
            </w:pPr>
            <w:r>
              <w:t>24,830,686.46</w:t>
            </w:r>
          </w:p>
        </w:tc>
      </w:tr>
    </w:tbl>
    <w:p w14:paraId="7456C34C">
      <w:pPr>
        <w:rPr>
          <w:color w:val="000000" w:themeColor="text1"/>
          <w14:textFill>
            <w14:solidFill>
              <w14:schemeClr w14:val="tx1"/>
            </w14:solidFill>
          </w14:textFill>
        </w:rPr>
      </w:pPr>
    </w:p>
    <w:p w14:paraId="3F8F4334">
      <w:pPr>
        <w:rPr>
          <w:color w:val="000000" w:themeColor="text1"/>
          <w14:textFill>
            <w14:solidFill>
              <w14:schemeClr w14:val="tx1"/>
            </w14:solidFill>
          </w14:textFill>
        </w:rPr>
      </w:pPr>
      <w:r>
        <w:rPr>
          <w:rFonts w:hint="eastAsia"/>
          <w:color w:val="000000" w:themeColor="text1"/>
          <w14:textFill>
            <w14:solidFill>
              <w14:schemeClr w14:val="tx1"/>
            </w14:solidFill>
          </w14:textFill>
        </w:rPr>
        <w:t>账龄超过</w:t>
      </w:r>
      <w:r>
        <w:rPr>
          <w:color w:val="000000" w:themeColor="text1"/>
          <w14:textFill>
            <w14:solidFill>
              <w14:schemeClr w14:val="tx1"/>
            </w14:solidFill>
          </w14:textFill>
        </w:rPr>
        <w:t>1年</w:t>
      </w:r>
      <w:r>
        <w:rPr>
          <w:rFonts w:hint="eastAsia"/>
          <w:color w:val="000000" w:themeColor="text1"/>
          <w14:textFill>
            <w14:solidFill>
              <w14:schemeClr w14:val="tx1"/>
            </w14:solidFill>
          </w14:textFill>
        </w:rPr>
        <w:t>或逾期</w:t>
      </w:r>
      <w:r>
        <w:rPr>
          <w:color w:val="000000" w:themeColor="text1"/>
          <w14:textFill>
            <w14:solidFill>
              <w14:schemeClr w14:val="tx1"/>
            </w14:solidFill>
          </w14:textFill>
        </w:rPr>
        <w:t>的重要其他应付款</w:t>
      </w:r>
    </w:p>
    <w:p w14:paraId="097E6155">
      <w:pPr>
        <w:rPr>
          <w:color w:val="000000" w:themeColor="text1"/>
          <w14:textFill>
            <w14:solidFill>
              <w14:schemeClr w14:val="tx1"/>
            </w14:solidFill>
          </w14:textFill>
        </w:rPr>
      </w:pPr>
      <w:sdt>
        <w:sdtPr>
          <w:rPr>
            <w:color w:val="000000" w:themeColor="text1"/>
            <w14:textFill>
              <w14:solidFill>
                <w14:schemeClr w14:val="tx1"/>
              </w14:solidFill>
            </w14:textFill>
          </w:rPr>
          <w:alias w:val="是否适用：账龄超过1年的重要其他应付款[双击切换]"/>
          <w:tag w:val="_GBC_484cd63ee8b54a41978c822ae4ec5689"/>
          <w:id w:val="-1320650848"/>
          <w:placeholder>
            <w:docPart w:val="GBC22222222222222222222222222222"/>
          </w:placeholder>
        </w:sdtPr>
        <w:sdtEndPr>
          <w:rPr>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p w14:paraId="52001AE7">
      <w:pPr>
        <w:rPr>
          <w:color w:val="000000" w:themeColor="text1"/>
          <w14:textFill>
            <w14:solidFill>
              <w14:schemeClr w14:val="tx1"/>
            </w14:solidFill>
          </w14:textFill>
        </w:rPr>
      </w:pPr>
    </w:p>
    <w:p w14:paraId="5068A8C9">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其他应付款的其他说明[双击切换]"/>
        <w:tag w:val="_GBC_c968ec386e144657884a6b5b483acbfd"/>
        <w:id w:val="-404458347"/>
        <w:placeholder>
          <w:docPart w:val="GBC22222222222222222222222222222"/>
        </w:placeholder>
      </w:sdtPr>
      <w:sdtEndPr>
        <w:rPr>
          <w:color w:val="000000" w:themeColor="text1"/>
          <w14:textFill>
            <w14:solidFill>
              <w14:schemeClr w14:val="tx1"/>
            </w14:solidFill>
          </w14:textFill>
        </w:rPr>
      </w:sdtEndPr>
      <w:sdtContent>
        <w:p w14:paraId="5A1FF59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sdt>
      <w:sdtPr>
        <w:rPr>
          <w:color w:val="000000" w:themeColor="text1"/>
          <w14:textFill>
            <w14:solidFill>
              <w14:schemeClr w14:val="tx1"/>
            </w14:solidFill>
          </w14:textFill>
        </w:rPr>
        <w:alias w:val="其他应付款的其他说明"/>
        <w:tag w:val="_GBC_873f35ab785048d7ad0b90c5775691ba"/>
        <w:id w:val="-800458199"/>
        <w:placeholder>
          <w:docPart w:val="GBC22222222222222222222222222222"/>
        </w:placeholder>
      </w:sdtPr>
      <w:sdtEndPr>
        <w:rPr>
          <w:color w:val="000000" w:themeColor="text1"/>
          <w14:textFill>
            <w14:solidFill>
              <w14:schemeClr w14:val="tx1"/>
            </w14:solidFill>
          </w14:textFill>
        </w:rPr>
      </w:sdtEndPr>
      <w:sdtContent>
        <w:p w14:paraId="171E9CFF">
          <w:pPr>
            <w:rPr>
              <w:color w:val="000000" w:themeColor="text1"/>
              <w14:textFill>
                <w14:solidFill>
                  <w14:schemeClr w14:val="tx1"/>
                </w14:solidFill>
              </w14:textFill>
            </w:rPr>
          </w:pPr>
          <w:r>
            <w:rPr>
              <w:rFonts w:hint="eastAsia"/>
              <w:color w:val="000000" w:themeColor="text1"/>
              <w14:textFill>
                <w14:solidFill>
                  <w14:schemeClr w14:val="tx1"/>
                </w14:solidFill>
              </w14:textFill>
            </w:rPr>
            <w:t>报告期期末无重要的账龄超过1年的其他应付款。</w:t>
          </w:r>
        </w:p>
      </w:sdtContent>
    </w:sdt>
    <w:bookmarkEnd w:id="345"/>
    <w:p w14:paraId="0C799A03">
      <w:pPr>
        <w:rPr>
          <w:color w:val="000000" w:themeColor="text1"/>
          <w14:textFill>
            <w14:solidFill>
              <w14:schemeClr w14:val="tx1"/>
            </w14:solidFill>
          </w14:textFill>
        </w:rPr>
      </w:pPr>
    </w:p>
    <w:p w14:paraId="3016217C">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持有待售负债</w:t>
      </w:r>
    </w:p>
    <w:sdt>
      <w:sdtPr>
        <w:rPr>
          <w:color w:val="000000" w:themeColor="text1"/>
          <w14:textFill>
            <w14:solidFill>
              <w14:schemeClr w14:val="tx1"/>
            </w14:solidFill>
          </w14:textFill>
        </w:rPr>
        <w:alias w:val="是否适用：划分为持有待售的负债[双击切换]"/>
        <w:tag w:val="_GBC_039b9e06b132407a89f578be468d6ec8"/>
        <w:id w:val="1694417057"/>
        <w:placeholder>
          <w:docPart w:val="GBC22222222222222222222222222222"/>
        </w:placeholder>
      </w:sdtPr>
      <w:sdtEndPr>
        <w:rPr>
          <w:color w:val="000000" w:themeColor="text1"/>
          <w14:textFill>
            <w14:solidFill>
              <w14:schemeClr w14:val="tx1"/>
            </w14:solidFill>
          </w14:textFill>
        </w:rPr>
      </w:sdtEndPr>
      <w:sdtContent>
        <w:p w14:paraId="5C0F54F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B1C4E3D">
      <w:pPr>
        <w:rPr>
          <w:color w:val="000000" w:themeColor="text1"/>
          <w14:textFill>
            <w14:solidFill>
              <w14:schemeClr w14:val="tx1"/>
            </w14:solidFill>
          </w14:textFill>
        </w:rPr>
      </w:pPr>
    </w:p>
    <w:p w14:paraId="57F22877">
      <w:pPr>
        <w:rPr>
          <w:color w:val="000000" w:themeColor="text1"/>
          <w14:textFill>
            <w14:solidFill>
              <w14:schemeClr w14:val="tx1"/>
            </w14:solidFill>
          </w14:textFill>
        </w:rPr>
      </w:pPr>
    </w:p>
    <w:p w14:paraId="000740D0">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一年内到期的非流动负债</w:t>
      </w:r>
    </w:p>
    <w:sdt>
      <w:sdtPr>
        <w:rPr>
          <w:color w:val="000000" w:themeColor="text1"/>
          <w14:textFill>
            <w14:solidFill>
              <w14:schemeClr w14:val="tx1"/>
            </w14:solidFill>
          </w14:textFill>
        </w:rPr>
        <w:alias w:val="是否适用：1年内到期的非流动负债[双击切换]"/>
        <w:tag w:val="_GBC_9b606bc3f0cf4f77be9b0f299d212c73"/>
        <w:id w:val="962159037"/>
        <w:placeholder>
          <w:docPart w:val="GBC22222222222222222222222222222"/>
        </w:placeholder>
      </w:sdtPr>
      <w:sdtEndPr>
        <w:rPr>
          <w:color w:val="000000" w:themeColor="text1"/>
          <w14:textFill>
            <w14:solidFill>
              <w14:schemeClr w14:val="tx1"/>
            </w14:solidFill>
          </w14:textFill>
        </w:rPr>
      </w:sdtEndPr>
      <w:sdtContent>
        <w:p w14:paraId="314E2E6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F56D9CC">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1年内到期的非流动负债情况"/>
          <w:tag w:val="_GBC_7bad01766fa0485ea9c16109704ff32e"/>
          <w:id w:val="-57466593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1年内到期的非流动负债情况"/>
          <w:tag w:val="_GBC_25aa805434d340a6ade79870522c9640"/>
          <w:id w:val="-95177293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6"/>
        <w:gridCol w:w="2961"/>
        <w:gridCol w:w="3026"/>
      </w:tblGrid>
      <w:tr w14:paraId="566A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bf2815b84ebe4a1e94909ee96ec31ac1"/>
            <w:id w:val="210009872"/>
          </w:sdtPr>
          <w:sdtContent>
            <w:tc>
              <w:tcPr>
                <w:tcW w:w="1607" w:type="pct"/>
              </w:tcPr>
              <w:p w14:paraId="61EE26F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db7abcf611bc4296ad7bd9c8177202e0"/>
            <w:id w:val="-263928858"/>
          </w:sdtPr>
          <w:sdtContent>
            <w:tc>
              <w:tcPr>
                <w:tcW w:w="1678" w:type="pct"/>
              </w:tcPr>
              <w:p w14:paraId="085908D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371959274ef4493ca1fe426c930e0bf2"/>
            <w:id w:val="-1122068152"/>
          </w:sdtPr>
          <w:sdtContent>
            <w:tc>
              <w:tcPr>
                <w:tcW w:w="1715" w:type="pct"/>
              </w:tcPr>
              <w:p w14:paraId="5AB46A9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0EC7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pct"/>
          </w:tcPr>
          <w:p w14:paraId="53D52D0B">
            <w:pPr>
              <w:rPr>
                <w:color w:val="000000" w:themeColor="text1"/>
                <w14:textFill>
                  <w14:solidFill>
                    <w14:schemeClr w14:val="tx1"/>
                  </w14:solidFill>
                </w14:textFill>
              </w:rPr>
            </w:pPr>
            <w:r>
              <w:rPr>
                <w:rFonts w:hint="eastAsia"/>
              </w:rPr>
              <w:t>1</w:t>
            </w:r>
            <w:r>
              <w:rPr>
                <w:rFonts w:hint="eastAsia" w:ascii="宋体" w:hAnsi="宋体"/>
              </w:rPr>
              <w:t>年内到期的长期借款</w:t>
            </w:r>
          </w:p>
        </w:tc>
        <w:tc>
          <w:tcPr>
            <w:tcW w:w="1678" w:type="pct"/>
          </w:tcPr>
          <w:p w14:paraId="342DD970">
            <w:pPr>
              <w:jc w:val="right"/>
            </w:pPr>
            <w:r>
              <w:t>26,948,489.90</w:t>
            </w:r>
          </w:p>
        </w:tc>
        <w:tc>
          <w:tcPr>
            <w:tcW w:w="1715" w:type="pct"/>
            <w:vAlign w:val="center"/>
          </w:tcPr>
          <w:p w14:paraId="5DFB5A61">
            <w:pPr>
              <w:jc w:val="right"/>
            </w:pPr>
            <w:r>
              <w:t>75,421,600.00</w:t>
            </w:r>
          </w:p>
        </w:tc>
      </w:tr>
      <w:tr w14:paraId="0C4F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pct"/>
          </w:tcPr>
          <w:p w14:paraId="073E2968">
            <w:pPr>
              <w:rPr>
                <w:color w:val="000000" w:themeColor="text1"/>
                <w14:textFill>
                  <w14:solidFill>
                    <w14:schemeClr w14:val="tx1"/>
                  </w14:solidFill>
                </w14:textFill>
              </w:rPr>
            </w:pPr>
            <w:r>
              <w:rPr>
                <w:rFonts w:hint="eastAsia"/>
              </w:rPr>
              <w:t>1</w:t>
            </w:r>
            <w:r>
              <w:rPr>
                <w:rFonts w:hint="eastAsia" w:ascii="宋体" w:hAnsi="宋体"/>
              </w:rPr>
              <w:t>年内到期的长期应付款</w:t>
            </w:r>
          </w:p>
        </w:tc>
        <w:tc>
          <w:tcPr>
            <w:tcW w:w="1678" w:type="pct"/>
          </w:tcPr>
          <w:p w14:paraId="76C72A5C">
            <w:pPr>
              <w:jc w:val="right"/>
            </w:pPr>
            <w:r>
              <w:t>42,042,577.33</w:t>
            </w:r>
          </w:p>
        </w:tc>
        <w:tc>
          <w:tcPr>
            <w:tcW w:w="1715" w:type="pct"/>
            <w:vAlign w:val="center"/>
          </w:tcPr>
          <w:p w14:paraId="51B0F25F">
            <w:pPr>
              <w:jc w:val="right"/>
            </w:pPr>
            <w:r>
              <w:t>98,448,649.09</w:t>
            </w:r>
          </w:p>
        </w:tc>
      </w:tr>
      <w:tr w14:paraId="4830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pct"/>
          </w:tcPr>
          <w:p w14:paraId="51202816">
            <w:pPr>
              <w:rPr>
                <w:color w:val="000000" w:themeColor="text1"/>
                <w14:textFill>
                  <w14:solidFill>
                    <w14:schemeClr w14:val="tx1"/>
                  </w14:solidFill>
                </w14:textFill>
              </w:rPr>
            </w:pPr>
            <w:r>
              <w:rPr>
                <w:rFonts w:hint="eastAsia"/>
              </w:rPr>
              <w:t>1</w:t>
            </w:r>
            <w:r>
              <w:rPr>
                <w:rFonts w:hint="eastAsia" w:ascii="宋体" w:hAnsi="宋体"/>
              </w:rPr>
              <w:t>年内到期的长期负债利息</w:t>
            </w:r>
          </w:p>
        </w:tc>
        <w:tc>
          <w:tcPr>
            <w:tcW w:w="1678" w:type="pct"/>
          </w:tcPr>
          <w:p w14:paraId="59AEB52C">
            <w:pPr>
              <w:jc w:val="right"/>
            </w:pPr>
            <w:r>
              <w:t>1,248.62</w:t>
            </w:r>
          </w:p>
        </w:tc>
        <w:tc>
          <w:tcPr>
            <w:tcW w:w="1715" w:type="pct"/>
            <w:vAlign w:val="center"/>
          </w:tcPr>
          <w:p w14:paraId="1E694961">
            <w:pPr>
              <w:jc w:val="right"/>
            </w:pPr>
            <w:r>
              <w:t>1,297,632.65</w:t>
            </w:r>
          </w:p>
        </w:tc>
      </w:tr>
      <w:tr w14:paraId="04B9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pct"/>
          </w:tcPr>
          <w:p w14:paraId="142ABCA2">
            <w:pPr>
              <w:rPr>
                <w:color w:val="000000" w:themeColor="text1"/>
                <w14:textFill>
                  <w14:solidFill>
                    <w14:schemeClr w14:val="tx1"/>
                  </w14:solidFill>
                </w14:textFill>
              </w:rPr>
            </w:pPr>
            <w:r>
              <w:rPr>
                <w:rFonts w:hint="eastAsia"/>
              </w:rPr>
              <w:t>1</w:t>
            </w:r>
            <w:r>
              <w:rPr>
                <w:rFonts w:hint="eastAsia" w:ascii="宋体" w:hAnsi="宋体"/>
              </w:rPr>
              <w:t>年内到期的应付债券</w:t>
            </w:r>
          </w:p>
        </w:tc>
        <w:tc>
          <w:tcPr>
            <w:tcW w:w="1678" w:type="pct"/>
          </w:tcPr>
          <w:p w14:paraId="46935EC1">
            <w:pPr>
              <w:jc w:val="right"/>
            </w:pPr>
          </w:p>
        </w:tc>
        <w:tc>
          <w:tcPr>
            <w:tcW w:w="1715" w:type="pct"/>
            <w:vAlign w:val="center"/>
          </w:tcPr>
          <w:p w14:paraId="1EA6EC08">
            <w:pPr>
              <w:jc w:val="right"/>
            </w:pPr>
          </w:p>
        </w:tc>
      </w:tr>
      <w:tr w14:paraId="6F69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pct"/>
          </w:tcPr>
          <w:p w14:paraId="60695D57">
            <w:r>
              <w:rPr>
                <w:rFonts w:hint="eastAsia"/>
              </w:rPr>
              <w:t>1</w:t>
            </w:r>
            <w:r>
              <w:rPr>
                <w:rFonts w:hint="eastAsia" w:ascii="宋体" w:hAnsi="宋体"/>
              </w:rPr>
              <w:t>年内到期的租赁负债</w:t>
            </w:r>
          </w:p>
        </w:tc>
        <w:tc>
          <w:tcPr>
            <w:tcW w:w="1678" w:type="pct"/>
          </w:tcPr>
          <w:p w14:paraId="452EC792">
            <w:pPr>
              <w:jc w:val="right"/>
            </w:pPr>
            <w:r>
              <w:t>665,697.49</w:t>
            </w:r>
          </w:p>
        </w:tc>
        <w:tc>
          <w:tcPr>
            <w:tcW w:w="1715" w:type="pct"/>
            <w:vAlign w:val="center"/>
          </w:tcPr>
          <w:p w14:paraId="2EAAF445">
            <w:pPr>
              <w:jc w:val="right"/>
            </w:pPr>
            <w:r>
              <w:t>881,891.33</w:t>
            </w:r>
          </w:p>
        </w:tc>
      </w:tr>
      <w:tr w14:paraId="50ED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pct"/>
          </w:tcPr>
          <w:p w14:paraId="13BEA75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78" w:type="pct"/>
          </w:tcPr>
          <w:p w14:paraId="142609AD">
            <w:pPr>
              <w:jc w:val="right"/>
            </w:pPr>
            <w:r>
              <w:t>69,658,013.34</w:t>
            </w:r>
          </w:p>
        </w:tc>
        <w:tc>
          <w:tcPr>
            <w:tcW w:w="1715" w:type="pct"/>
            <w:vAlign w:val="center"/>
          </w:tcPr>
          <w:p w14:paraId="124DE241">
            <w:pPr>
              <w:jc w:val="right"/>
            </w:pPr>
            <w:r>
              <w:t>176,049,773.07</w:t>
            </w:r>
          </w:p>
        </w:tc>
      </w:tr>
    </w:tbl>
    <w:p w14:paraId="45F1EC86">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1年内到期的非流动负债说明"/>
        <w:tag w:val="_GBC_ae2cc1bff1994660ac9e57279493bfe6"/>
        <w:id w:val="-1132944306"/>
        <w:placeholder>
          <w:docPart w:val="GBC22222222222222222222222222222"/>
        </w:placeholder>
      </w:sdtPr>
      <w:sdtEndPr>
        <w:rPr>
          <w:color w:val="000000" w:themeColor="text1"/>
          <w14:textFill>
            <w14:solidFill>
              <w14:schemeClr w14:val="tx1"/>
            </w14:solidFill>
          </w14:textFill>
        </w:rPr>
      </w:sdtEndPr>
      <w:sdtContent>
        <w:p w14:paraId="6D0BB5E8">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754E6E54">
      <w:pPr>
        <w:rPr>
          <w:color w:val="000000" w:themeColor="text1"/>
          <w14:textFill>
            <w14:solidFill>
              <w14:schemeClr w14:val="tx1"/>
            </w14:solidFill>
          </w14:textFill>
        </w:rPr>
      </w:pPr>
    </w:p>
    <w:p w14:paraId="5CEB7FD4">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其他流动负债</w:t>
      </w:r>
      <w:bookmarkStart w:id="346" w:name="_Hlk10536328"/>
    </w:p>
    <w:sdt>
      <w:sdtPr>
        <w:rPr>
          <w:rFonts w:hint="eastAsia"/>
          <w:color w:val="000000" w:themeColor="text1"/>
          <w14:textFill>
            <w14:solidFill>
              <w14:schemeClr w14:val="tx1"/>
            </w14:solidFill>
          </w14:textFill>
        </w:rPr>
        <w:alias w:val="是否适用：其他流动负债情况 [双击切换]"/>
        <w:tag w:val="_GBC_80907e3e53c44260b850f42646eb3d63"/>
        <w:id w:val="-1309170891"/>
        <w:lock w:val="contentLocked"/>
        <w:placeholder>
          <w:docPart w:val="GBC22222222222222222222222222222"/>
        </w:placeholder>
      </w:sdtPr>
      <w:sdtEndPr>
        <w:rPr>
          <w:rFonts w:hint="eastAsia"/>
          <w:color w:val="000000" w:themeColor="text1"/>
          <w14:textFill>
            <w14:solidFill>
              <w14:schemeClr w14:val="tx1"/>
            </w14:solidFill>
          </w14:textFill>
        </w:rPr>
      </w:sdtEndPr>
      <w:sdtContent>
        <w:p w14:paraId="5193D6D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FA59C05">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其他流动负债"/>
          <w:tag w:val="_GBC_6d31349460124941a4929421727aab0e"/>
          <w:id w:val="-211627343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其他流动负债"/>
          <w:tag w:val="_GBC_7d8c93066ac541859a45d371953d3cdc"/>
          <w:id w:val="8513026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2"/>
        <w:gridCol w:w="3040"/>
        <w:gridCol w:w="3051"/>
      </w:tblGrid>
      <w:tr w14:paraId="7336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sdt>
          <w:sdtPr>
            <w:tag w:val="_PLD_8fb682e3d6ad4a60b648ec38137fbf9d"/>
            <w:id w:val="-289670291"/>
          </w:sdtPr>
          <w:sdtContent>
            <w:tc>
              <w:tcPr>
                <w:tcW w:w="1548" w:type="pct"/>
                <w:tcBorders>
                  <w:top w:val="single" w:color="auto" w:sz="4" w:space="0"/>
                  <w:left w:val="single" w:color="auto" w:sz="4" w:space="0"/>
                  <w:bottom w:val="single" w:color="auto" w:sz="4" w:space="0"/>
                  <w:right w:val="single" w:color="auto" w:sz="4" w:space="0"/>
                </w:tcBorders>
                <w:vAlign w:val="bottom"/>
              </w:tcPr>
              <w:p w14:paraId="7F5F4235">
                <w:pPr>
                  <w:tabs>
                    <w:tab w:val="right" w:pos="3690"/>
                    <w:tab w:val="right" w:pos="5130"/>
                    <w:tab w:val="right" w:pos="6030"/>
                    <w:tab w:val="right" w:pos="7650"/>
                    <w:tab w:val="right" w:pos="9270"/>
                  </w:tabs>
                  <w:snapToGrid w:val="0"/>
                  <w:ind w:left="-109" w:leftChars="-52"/>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0c0b762dc58f486f9f736b7ace21e9a0"/>
            <w:id w:val="-511300261"/>
          </w:sdtPr>
          <w:sdtContent>
            <w:tc>
              <w:tcPr>
                <w:tcW w:w="1723" w:type="pct"/>
                <w:tcBorders>
                  <w:top w:val="single" w:color="auto" w:sz="4" w:space="0"/>
                  <w:left w:val="single" w:color="auto" w:sz="4" w:space="0"/>
                  <w:bottom w:val="single" w:color="auto" w:sz="4" w:space="0"/>
                  <w:right w:val="single" w:color="auto" w:sz="4" w:space="0"/>
                </w:tcBorders>
              </w:tcPr>
              <w:p w14:paraId="047BD5A8">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942d693f41424f82b813e282a8210643"/>
            <w:id w:val="1078634862"/>
          </w:sdtPr>
          <w:sdtContent>
            <w:tc>
              <w:tcPr>
                <w:tcW w:w="1729" w:type="pct"/>
                <w:tcBorders>
                  <w:top w:val="single" w:color="auto" w:sz="4" w:space="0"/>
                  <w:left w:val="single" w:color="auto" w:sz="4" w:space="0"/>
                  <w:bottom w:val="single" w:color="auto" w:sz="4" w:space="0"/>
                  <w:right w:val="single" w:color="auto" w:sz="4" w:space="0"/>
                </w:tcBorders>
              </w:tcPr>
              <w:p w14:paraId="1DC03ED0">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60B5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pct"/>
            <w:tcBorders>
              <w:top w:val="single" w:color="auto" w:sz="4" w:space="0"/>
              <w:left w:val="single" w:color="auto" w:sz="4" w:space="0"/>
              <w:bottom w:val="single" w:color="auto" w:sz="4" w:space="0"/>
              <w:right w:val="single" w:color="auto" w:sz="4" w:space="0"/>
            </w:tcBorders>
          </w:tcPr>
          <w:p w14:paraId="0A3C11E2">
            <w:pPr>
              <w:rPr>
                <w:color w:val="000000" w:themeColor="text1"/>
                <w14:textFill>
                  <w14:solidFill>
                    <w14:schemeClr w14:val="tx1"/>
                  </w14:solidFill>
                </w14:textFill>
              </w:rPr>
            </w:pPr>
            <w:r>
              <w:rPr>
                <w:rFonts w:hint="eastAsia"/>
                <w:color w:val="000000" w:themeColor="text1"/>
                <w14:textFill>
                  <w14:solidFill>
                    <w14:schemeClr w14:val="tx1"/>
                  </w14:solidFill>
                </w14:textFill>
              </w:rPr>
              <w:t>待转销项税</w:t>
            </w:r>
          </w:p>
        </w:tc>
        <w:tc>
          <w:tcPr>
            <w:tcW w:w="1723" w:type="pct"/>
            <w:tcBorders>
              <w:top w:val="single" w:color="auto" w:sz="4" w:space="0"/>
              <w:left w:val="single" w:color="auto" w:sz="4" w:space="0"/>
              <w:bottom w:val="single" w:color="auto" w:sz="4" w:space="0"/>
              <w:right w:val="single" w:color="auto" w:sz="4" w:space="0"/>
            </w:tcBorders>
          </w:tcPr>
          <w:p w14:paraId="3D86CBEA">
            <w:pPr>
              <w:jc w:val="right"/>
            </w:pPr>
            <w:r>
              <w:t>4,311,745.07</w:t>
            </w:r>
          </w:p>
        </w:tc>
        <w:tc>
          <w:tcPr>
            <w:tcW w:w="1729" w:type="pct"/>
            <w:tcBorders>
              <w:top w:val="single" w:color="auto" w:sz="4" w:space="0"/>
              <w:left w:val="single" w:color="auto" w:sz="4" w:space="0"/>
              <w:bottom w:val="single" w:color="auto" w:sz="4" w:space="0"/>
              <w:right w:val="single" w:color="auto" w:sz="4" w:space="0"/>
            </w:tcBorders>
          </w:tcPr>
          <w:p w14:paraId="7749AE6A">
            <w:pPr>
              <w:jc w:val="right"/>
            </w:pPr>
            <w:r>
              <w:t>5,089,321.16</w:t>
            </w:r>
          </w:p>
        </w:tc>
      </w:tr>
      <w:tr w14:paraId="6253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pct"/>
            <w:tcBorders>
              <w:top w:val="single" w:color="auto" w:sz="4" w:space="0"/>
              <w:left w:val="single" w:color="auto" w:sz="4" w:space="0"/>
              <w:bottom w:val="single" w:color="auto" w:sz="4" w:space="0"/>
              <w:right w:val="single" w:color="auto" w:sz="4" w:space="0"/>
            </w:tcBorders>
          </w:tcPr>
          <w:p w14:paraId="095F04B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723" w:type="pct"/>
            <w:tcBorders>
              <w:top w:val="single" w:color="auto" w:sz="4" w:space="0"/>
              <w:left w:val="single" w:color="auto" w:sz="4" w:space="0"/>
              <w:bottom w:val="single" w:color="auto" w:sz="4" w:space="0"/>
              <w:right w:val="single" w:color="auto" w:sz="4" w:space="0"/>
            </w:tcBorders>
          </w:tcPr>
          <w:p w14:paraId="1D442A29">
            <w:pPr>
              <w:jc w:val="right"/>
            </w:pPr>
            <w:r>
              <w:rPr>
                <w:rFonts w:hint="eastAsia"/>
              </w:rPr>
              <w:t>4</w:t>
            </w:r>
            <w:r>
              <w:t>,311,745.07</w:t>
            </w:r>
          </w:p>
        </w:tc>
        <w:tc>
          <w:tcPr>
            <w:tcW w:w="1729" w:type="pct"/>
            <w:tcBorders>
              <w:top w:val="single" w:color="auto" w:sz="4" w:space="0"/>
              <w:left w:val="single" w:color="auto" w:sz="4" w:space="0"/>
              <w:bottom w:val="single" w:color="auto" w:sz="4" w:space="0"/>
              <w:right w:val="single" w:color="auto" w:sz="4" w:space="0"/>
            </w:tcBorders>
          </w:tcPr>
          <w:p w14:paraId="5B122648">
            <w:pPr>
              <w:jc w:val="right"/>
            </w:pPr>
            <w:r>
              <w:t>5,089,321.16</w:t>
            </w:r>
          </w:p>
        </w:tc>
      </w:tr>
    </w:tbl>
    <w:p w14:paraId="3A202914">
      <w:pPr>
        <w:rPr>
          <w:color w:val="000000" w:themeColor="text1"/>
          <w14:textFill>
            <w14:solidFill>
              <w14:schemeClr w14:val="tx1"/>
            </w14:solidFill>
          </w14:textFill>
        </w:rPr>
      </w:pPr>
    </w:p>
    <w:bookmarkEnd w:id="346"/>
    <w:p w14:paraId="7ED4C7B1">
      <w:pPr>
        <w:rPr>
          <w:color w:val="000000" w:themeColor="text1"/>
          <w14:textFill>
            <w14:solidFill>
              <w14:schemeClr w14:val="tx1"/>
            </w14:solidFill>
          </w14:textFill>
        </w:rPr>
      </w:pPr>
      <w:bookmarkStart w:id="347" w:name="_Hlk167968687"/>
      <w:r>
        <w:rPr>
          <w:rFonts w:hint="eastAsia"/>
          <w:color w:val="000000" w:themeColor="text1"/>
          <w14:textFill>
            <w14:solidFill>
              <w14:schemeClr w14:val="tx1"/>
            </w14:solidFill>
          </w14:textFill>
        </w:rPr>
        <w:t>短期</w:t>
      </w:r>
      <w:r>
        <w:rPr>
          <w:color w:val="000000" w:themeColor="text1"/>
          <w14:textFill>
            <w14:solidFill>
              <w14:schemeClr w14:val="tx1"/>
            </w14:solidFill>
          </w14:textFill>
        </w:rPr>
        <w:t>应付债券的增减变动</w:t>
      </w:r>
      <w:r>
        <w:rPr>
          <w:rFonts w:hint="eastAsia"/>
          <w:color w:val="000000" w:themeColor="text1"/>
          <w14:textFill>
            <w14:solidFill>
              <w14:schemeClr w14:val="tx1"/>
            </w14:solidFill>
          </w14:textFill>
        </w:rPr>
        <w:t>：</w:t>
      </w:r>
    </w:p>
    <w:sdt>
      <w:sdtPr>
        <w:rPr>
          <w:color w:val="000000" w:themeColor="text1"/>
          <w14:textFill>
            <w14:solidFill>
              <w14:schemeClr w14:val="tx1"/>
            </w14:solidFill>
          </w14:textFill>
        </w:rPr>
        <w:alias w:val="是否适用：短期应付债券的增减变动[双击切换]"/>
        <w:tag w:val="_GBC_564144f89f7f4019bdcd86b0e624bfee"/>
        <w:id w:val="1365640503"/>
        <w:placeholder>
          <w:docPart w:val="GBC22222222222222222222222222222"/>
        </w:placeholder>
      </w:sdtPr>
      <w:sdtEndPr>
        <w:rPr>
          <w:color w:val="000000" w:themeColor="text1"/>
          <w14:textFill>
            <w14:solidFill>
              <w14:schemeClr w14:val="tx1"/>
            </w14:solidFill>
          </w14:textFill>
        </w:rPr>
      </w:sdtEndPr>
      <w:sdtContent>
        <w:p w14:paraId="0E1AC2B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D4AECB3">
      <w:pPr>
        <w:rPr>
          <w:rFonts w:cstheme="minorBidi"/>
          <w:color w:val="000000" w:themeColor="text1"/>
          <w:kern w:val="2"/>
          <w14:textFill>
            <w14:solidFill>
              <w14:schemeClr w14:val="tx1"/>
            </w14:solidFill>
          </w14:textFill>
        </w:rPr>
      </w:pPr>
    </w:p>
    <w:bookmarkEnd w:id="347"/>
    <w:p w14:paraId="33ACFB10">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其他流动负债说明[双击切换]"/>
        <w:tag w:val="_GBC_6ebc9e220fb04ea584ed56f756d92d59"/>
        <w:id w:val="1624735254"/>
        <w:placeholder>
          <w:docPart w:val="GBC22222222222222222222222222222"/>
        </w:placeholder>
      </w:sdtPr>
      <w:sdtEndPr>
        <w:rPr>
          <w:color w:val="000000" w:themeColor="text1"/>
          <w14:textFill>
            <w14:solidFill>
              <w14:schemeClr w14:val="tx1"/>
            </w14:solidFill>
          </w14:textFill>
        </w:rPr>
      </w:sdtEndPr>
      <w:sdtContent>
        <w:p w14:paraId="41466189">
          <w:pPr>
            <w:spacing w:before="60" w:after="6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418AC2C">
      <w:pPr>
        <w:rPr>
          <w:color w:val="000000" w:themeColor="text1"/>
          <w14:textFill>
            <w14:solidFill>
              <w14:schemeClr w14:val="tx1"/>
            </w14:solidFill>
          </w14:textFill>
        </w:rPr>
      </w:pPr>
    </w:p>
    <w:p w14:paraId="0191E0F1">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长期借款</w:t>
      </w:r>
    </w:p>
    <w:p w14:paraId="546F1F91">
      <w:pPr>
        <w:pStyle w:val="5"/>
        <w:numPr>
          <w:ilvl w:val="0"/>
          <w:numId w:val="83"/>
        </w:numPr>
        <w:tabs>
          <w:tab w:val="left" w:pos="630"/>
        </w:tabs>
        <w:ind w:left="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长期借款分类</w:t>
      </w:r>
    </w:p>
    <w:sdt>
      <w:sdtPr>
        <w:rPr>
          <w:color w:val="000000" w:themeColor="text1"/>
          <w14:textFill>
            <w14:solidFill>
              <w14:schemeClr w14:val="tx1"/>
            </w14:solidFill>
          </w14:textFill>
        </w:rPr>
        <w:alias w:val="是否适用：长期借款分类[双击切换]"/>
        <w:tag w:val="_GBC_6ef43a5268e7491db189883a31952469"/>
        <w:id w:val="1897474788"/>
        <w:placeholder>
          <w:docPart w:val="GBC22222222222222222222222222222"/>
        </w:placeholder>
      </w:sdtPr>
      <w:sdtEndPr>
        <w:rPr>
          <w:color w:val="000000" w:themeColor="text1"/>
          <w14:textFill>
            <w14:solidFill>
              <w14:schemeClr w14:val="tx1"/>
            </w14:solidFill>
          </w14:textFill>
        </w:rPr>
      </w:sdtEndPr>
      <w:sdtContent>
        <w:p w14:paraId="461AE95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176E150">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长期借款分类"/>
          <w:tag w:val="_GBC_146f044f7fd14a45bf9247f0af389a14"/>
          <w:id w:val="-111559441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长期借款分类"/>
          <w:tag w:val="_GBC_7570ad6f1fd04c3d939be649ce4cfc30"/>
          <w:id w:val="-20494495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2975"/>
        <w:gridCol w:w="2975"/>
        <w:gridCol w:w="2873"/>
      </w:tblGrid>
      <w:tr w14:paraId="3F65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sdt>
          <w:sdtPr>
            <w:tag w:val="_PLD_3ee60507a6384334b819485e73faa1f4"/>
            <w:id w:val="-1130787627"/>
          </w:sdtPr>
          <w:sdtContent>
            <w:tc>
              <w:tcPr>
                <w:tcW w:w="1686" w:type="pct"/>
              </w:tcPr>
              <w:p w14:paraId="18AE75B5">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d2a4fabfb296457384b1523a60233642"/>
            <w:id w:val="838890172"/>
          </w:sdtPr>
          <w:sdtContent>
            <w:tc>
              <w:tcPr>
                <w:tcW w:w="1686" w:type="pct"/>
              </w:tcPr>
              <w:p w14:paraId="77E66AB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aab598d4b37f4953a2ee9b7475cb43e6"/>
            <w:id w:val="-460107668"/>
          </w:sdtPr>
          <w:sdtContent>
            <w:tc>
              <w:tcPr>
                <w:tcW w:w="1628" w:type="pct"/>
              </w:tcPr>
              <w:p w14:paraId="5D98864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15FB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686" w:type="pct"/>
          </w:tcPr>
          <w:p w14:paraId="2D8FB553">
            <w:pPr>
              <w:autoSpaceDE w:val="0"/>
              <w:autoSpaceDN w:val="0"/>
              <w:adjustRightInd w:val="0"/>
              <w:snapToGrid w:val="0"/>
              <w:jc w:val="both"/>
              <w:rPr>
                <w:color w:val="000000" w:themeColor="text1"/>
                <w14:textFill>
                  <w14:solidFill>
                    <w14:schemeClr w14:val="tx1"/>
                  </w14:solidFill>
                </w14:textFill>
              </w:rPr>
            </w:pPr>
            <w:r>
              <w:rPr>
                <w:rFonts w:hint="eastAsia" w:ascii="宋体" w:hAnsi="宋体"/>
              </w:rPr>
              <w:t>保证借款</w:t>
            </w:r>
          </w:p>
        </w:tc>
        <w:tc>
          <w:tcPr>
            <w:tcW w:w="1686" w:type="pct"/>
          </w:tcPr>
          <w:p w14:paraId="7D2C0658">
            <w:pPr>
              <w:autoSpaceDE w:val="0"/>
              <w:autoSpaceDN w:val="0"/>
              <w:adjustRightInd w:val="0"/>
              <w:snapToGrid w:val="0"/>
              <w:ind w:right="180"/>
              <w:jc w:val="right"/>
            </w:pPr>
            <w:r>
              <w:t>269,678,366.82</w:t>
            </w:r>
          </w:p>
        </w:tc>
        <w:tc>
          <w:tcPr>
            <w:tcW w:w="1628" w:type="pct"/>
            <w:vAlign w:val="center"/>
          </w:tcPr>
          <w:p w14:paraId="1CFC4BF7">
            <w:pPr>
              <w:jc w:val="right"/>
            </w:pPr>
            <w:r>
              <w:t>245,178,366.82</w:t>
            </w:r>
          </w:p>
        </w:tc>
      </w:tr>
      <w:tr w14:paraId="7CFD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686" w:type="pct"/>
          </w:tcPr>
          <w:p w14:paraId="5B7E75FD">
            <w:pPr>
              <w:autoSpaceDE w:val="0"/>
              <w:autoSpaceDN w:val="0"/>
              <w:adjustRightInd w:val="0"/>
              <w:snapToGrid w:val="0"/>
              <w:jc w:val="both"/>
              <w:rPr>
                <w:color w:val="000000" w:themeColor="text1"/>
                <w14:textFill>
                  <w14:solidFill>
                    <w14:schemeClr w14:val="tx1"/>
                  </w14:solidFill>
                </w14:textFill>
              </w:rPr>
            </w:pPr>
            <w:r>
              <w:rPr>
                <w:rFonts w:hint="eastAsia" w:ascii="宋体" w:hAnsi="宋体"/>
              </w:rPr>
              <w:t>保证及抵押借款</w:t>
            </w:r>
          </w:p>
        </w:tc>
        <w:tc>
          <w:tcPr>
            <w:tcW w:w="1686" w:type="pct"/>
          </w:tcPr>
          <w:p w14:paraId="1D815131">
            <w:pPr>
              <w:autoSpaceDE w:val="0"/>
              <w:autoSpaceDN w:val="0"/>
              <w:adjustRightInd w:val="0"/>
              <w:snapToGrid w:val="0"/>
              <w:ind w:right="180"/>
              <w:jc w:val="right"/>
            </w:pPr>
            <w:r>
              <w:t>580,000.00</w:t>
            </w:r>
          </w:p>
        </w:tc>
        <w:tc>
          <w:tcPr>
            <w:tcW w:w="1628" w:type="pct"/>
            <w:vAlign w:val="center"/>
          </w:tcPr>
          <w:p w14:paraId="051475F5">
            <w:pPr>
              <w:jc w:val="right"/>
            </w:pPr>
            <w:r>
              <w:t>580,000.00</w:t>
            </w:r>
          </w:p>
        </w:tc>
      </w:tr>
      <w:tr w14:paraId="79102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686" w:type="pct"/>
          </w:tcPr>
          <w:p w14:paraId="35259503">
            <w:pPr>
              <w:autoSpaceDE w:val="0"/>
              <w:autoSpaceDN w:val="0"/>
              <w:adjustRightInd w:val="0"/>
              <w:snapToGrid w:val="0"/>
              <w:jc w:val="both"/>
              <w:rPr>
                <w:color w:val="000000" w:themeColor="text1"/>
                <w14:textFill>
                  <w14:solidFill>
                    <w14:schemeClr w14:val="tx1"/>
                  </w14:solidFill>
                </w14:textFill>
              </w:rPr>
            </w:pPr>
            <w:r>
              <w:rPr>
                <w:rFonts w:hint="eastAsia" w:ascii="宋体" w:hAnsi="宋体"/>
              </w:rPr>
              <w:t>质押借款</w:t>
            </w:r>
          </w:p>
        </w:tc>
        <w:tc>
          <w:tcPr>
            <w:tcW w:w="1686" w:type="pct"/>
          </w:tcPr>
          <w:p w14:paraId="7DD256D9">
            <w:pPr>
              <w:autoSpaceDE w:val="0"/>
              <w:autoSpaceDN w:val="0"/>
              <w:adjustRightInd w:val="0"/>
              <w:snapToGrid w:val="0"/>
              <w:ind w:right="180"/>
              <w:jc w:val="right"/>
            </w:pPr>
            <w:r>
              <w:t>57,090,000.00</w:t>
            </w:r>
          </w:p>
        </w:tc>
        <w:tc>
          <w:tcPr>
            <w:tcW w:w="1628" w:type="pct"/>
            <w:vAlign w:val="center"/>
          </w:tcPr>
          <w:p w14:paraId="095ABCF8">
            <w:pPr>
              <w:jc w:val="right"/>
            </w:pPr>
            <w:r>
              <w:t>57,090,000.00</w:t>
            </w:r>
          </w:p>
        </w:tc>
      </w:tr>
      <w:tr w14:paraId="6A80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1686" w:type="pct"/>
            <w:vAlign w:val="center"/>
          </w:tcPr>
          <w:p w14:paraId="6E4FA566">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86" w:type="pct"/>
          </w:tcPr>
          <w:p w14:paraId="0089388A">
            <w:pPr>
              <w:autoSpaceDE w:val="0"/>
              <w:autoSpaceDN w:val="0"/>
              <w:adjustRightInd w:val="0"/>
              <w:snapToGrid w:val="0"/>
              <w:ind w:right="180"/>
              <w:jc w:val="right"/>
            </w:pPr>
            <w:r>
              <w:t>327,348,366.82</w:t>
            </w:r>
          </w:p>
        </w:tc>
        <w:tc>
          <w:tcPr>
            <w:tcW w:w="1628" w:type="pct"/>
            <w:vAlign w:val="center"/>
          </w:tcPr>
          <w:p w14:paraId="2B4AAAA0">
            <w:pPr>
              <w:jc w:val="right"/>
            </w:pPr>
            <w:r>
              <w:t>302,848,366.82</w:t>
            </w:r>
          </w:p>
        </w:tc>
      </w:tr>
    </w:tbl>
    <w:p w14:paraId="5EE9C5BA">
      <w:pPr>
        <w:snapToGrid w:val="0"/>
        <w:spacing w:before="60" w:after="60"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长期借款分类的说明：</w:t>
      </w:r>
    </w:p>
    <w:sdt>
      <w:sdtPr>
        <w:rPr>
          <w:color w:val="000000" w:themeColor="text1"/>
          <w14:textFill>
            <w14:solidFill>
              <w14:schemeClr w14:val="tx1"/>
            </w14:solidFill>
          </w14:textFill>
        </w:rPr>
        <w:alias w:val="长期借款分类的说明"/>
        <w:tag w:val="_GBC_c93626a5eade42f48eca926da85f3afb"/>
        <w:id w:val="-1708635244"/>
        <w:placeholder>
          <w:docPart w:val="GBC22222222222222222222222222222"/>
        </w:placeholder>
      </w:sdtPr>
      <w:sdtEndPr>
        <w:rPr>
          <w:color w:val="000000" w:themeColor="text1"/>
          <w14:textFill>
            <w14:solidFill>
              <w14:schemeClr w14:val="tx1"/>
            </w14:solidFill>
          </w14:textFill>
        </w:rPr>
      </w:sdtEndPr>
      <w:sdtContent>
        <w:p w14:paraId="5CC72F19">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本公司通过质押650万元存单（本行普通存单(非电子式)0014070），2024年5月28日从青岛银行荣成支行取得借款600万元；</w:t>
          </w:r>
        </w:p>
        <w:p w14:paraId="6066BA28">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本公司由好当家集团有限公司保证，2025年3月26日从兴业银行威海荣成支行取得借款4,900万元；</w:t>
          </w:r>
        </w:p>
        <w:p w14:paraId="600075D5">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本公司由好当家集团有限公司保证，2025年4月8日从兴业银行威海荣成支行取得借款2,100万元；</w:t>
          </w:r>
        </w:p>
        <w:p w14:paraId="0CB55C66">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本公司通过质押1000万存单（编号3707066085200634565存单300万、编号3707066085200634557存单300万、编号3707066085200634540存单400万），2025年2月7日从中国建设银行荣成支行取得借款950万元；</w:t>
          </w:r>
        </w:p>
        <w:p w14:paraId="24A67DBD">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本公司子公司山东参源育苗有限公司由本公司、唐传勤、田锦霞担保，2024年2月6日从中国工商银行荣成石岛支行取得借款4,000万；</w:t>
          </w:r>
        </w:p>
        <w:p w14:paraId="2232767B">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本公司子公司山东参源育苗有限公司由本公司、唐传勤、田锦霞担保，2024年6月29日从中国工商银行荣成石岛支行取得借款2,000万；</w:t>
          </w:r>
        </w:p>
        <w:p w14:paraId="04F816B7">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本公司子公司山东参源育苗有限公司由本公司、唐传勤、田锦霞担保，2025年1月24日从中国工商银行荣成石岛支行取得借款4,450万；</w:t>
          </w:r>
        </w:p>
        <w:p w14:paraId="3C8C2FA4">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本公司子公司山东参源育苗有限公司由本公司、唐传勤、田锦霞担保，2024年1月24日从中国建设银行荣成支行取得借款4,000万；</w:t>
          </w:r>
        </w:p>
        <w:p w14:paraId="690C7327">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本公司子公司山东参源育苗有限公司由本公司、唐传勤、田锦霞担保，2024年6月28日从中国建设银行荣成支行取得借款2,000万；</w:t>
          </w:r>
        </w:p>
        <w:p w14:paraId="1DAA9170">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本公司子公司山东参源育苗有限公司由本公司、唐传勤、田锦霞担保，2025年1月21日从中国建设银行荣成支行取得借款4,450万；</w:t>
          </w:r>
        </w:p>
        <w:p w14:paraId="339A293D">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本公司子公司山东好当家海洋捕捞有限公司由荣成市海洋渔业有限公司、张永仁担保，2024年5月28日从山东威海农村商业银行取得借款2,800万元；</w:t>
          </w:r>
        </w:p>
        <w:p w14:paraId="3C2CE1CD">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本公司子公司山东好当家海洋捕捞有限公司通过质押4060万元存单（本行普通存单(非电子式)0014057），2024年1月29日从青岛银行威海荣成支行取得借款4,000万元；</w:t>
          </w:r>
        </w:p>
        <w:p w14:paraId="20DF4ABE">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好当家乳山荣佳食品有限公司由好当家集团有限公司、唐传勤、张军伟担保，以销售公司不动产（X京房权证朝字第1251317号、X京房权证东字第081318号）、海普盾土地使用权（荣国用(2015)第22243号）抵押，2026年6月26日从农商行乳山支行取得借款2,500万；</w:t>
          </w:r>
        </w:p>
        <w:p w14:paraId="78A0A75A">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本公司子公司荣成荣东食品有限公司通过质押60万元存单（本行普通存单(非电子式)0014064），2024年3月8日从青岛银行荣成支行取得借款58万元；</w:t>
          </w:r>
        </w:p>
        <w:p w14:paraId="46412BCB">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本公司子公司荣成荣山食品有限公司通过质押60万元存单（本行普通存单(非电子式)0014061），2024年3月8日从青岛银行荣成支行取得借款58万元；</w:t>
          </w:r>
        </w:p>
        <w:p w14:paraId="4D39ED93">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本公司子公司荣成市荣顺塑料管业有限公司通过质押60万元存单（本行普通存单(非电子式)0014063），2024年3月12日从青岛银行荣成支行取得借款58万元；</w:t>
          </w:r>
        </w:p>
        <w:p w14:paraId="49534F48">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本公司子公司荣成荣广食品有限公司通过质押60万元存单（本行普通存单(非电子式)0014060），2024年3月12日从青岛银行荣成支行取得借款58万元。</w:t>
          </w:r>
        </w:p>
      </w:sdtContent>
    </w:sdt>
    <w:p w14:paraId="1C15476A">
      <w:pPr>
        <w:snapToGrid w:val="0"/>
        <w:rPr>
          <w:rFonts w:cstheme="minorBidi"/>
          <w:color w:val="000000" w:themeColor="text1"/>
          <w:kern w:val="2"/>
          <w14:textFill>
            <w14:solidFill>
              <w14:schemeClr w14:val="tx1"/>
            </w14:solidFill>
          </w14:textFill>
        </w:rPr>
      </w:pPr>
    </w:p>
    <w:p w14:paraId="77616135">
      <w:pPr>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r>
        <w:rPr>
          <w:color w:val="000000" w:themeColor="text1"/>
          <w14:textFill>
            <w14:solidFill>
              <w14:schemeClr w14:val="tx1"/>
            </w14:solidFill>
          </w14:textFill>
        </w:rPr>
        <w:t xml:space="preserve"> </w:t>
      </w:r>
    </w:p>
    <w:sdt>
      <w:sdtPr>
        <w:rPr>
          <w:color w:val="000000" w:themeColor="text1"/>
          <w14:textFill>
            <w14:solidFill>
              <w14:schemeClr w14:val="tx1"/>
            </w14:solidFill>
          </w14:textFill>
        </w:rPr>
        <w:alias w:val="是否适用：长期借款的说明[双击切换]"/>
        <w:tag w:val="_GBC_1dc67be6516c4de3956a80023674c75a"/>
        <w:id w:val="-1349092655"/>
        <w:placeholder>
          <w:docPart w:val="GBC22222222222222222222222222222"/>
        </w:placeholder>
      </w:sdtPr>
      <w:sdtEndPr>
        <w:rPr>
          <w:color w:val="000000" w:themeColor="text1"/>
          <w14:textFill>
            <w14:solidFill>
              <w14:schemeClr w14:val="tx1"/>
            </w14:solidFill>
          </w14:textFill>
        </w:rPr>
      </w:sdtEndPr>
      <w:sdtContent>
        <w:p w14:paraId="6DDB14D4">
          <w:pPr>
            <w:snapToGrid w:val="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8BAFC7C">
      <w:pPr>
        <w:snapToGrid w:val="0"/>
        <w:rPr>
          <w:color w:val="000000" w:themeColor="text1"/>
          <w14:textFill>
            <w14:solidFill>
              <w14:schemeClr w14:val="tx1"/>
            </w14:solidFill>
          </w14:textFill>
        </w:rPr>
      </w:pPr>
      <w:sdt>
        <w:sdtPr>
          <w:rPr>
            <w:color w:val="000000" w:themeColor="text1"/>
            <w14:textFill>
              <w14:solidFill>
                <w14:schemeClr w14:val="tx1"/>
              </w14:solidFill>
            </w14:textFill>
          </w:rPr>
          <w:alias w:val="长期借款的说明"/>
          <w:tag w:val="_GBC_05c1a5b23bdb44ee812f7f625a395fd0"/>
          <w:id w:val="264195774"/>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本公司报告期末无已到期未偿还的长期借款。</w:t>
          </w:r>
        </w:sdtContent>
      </w:sdt>
    </w:p>
    <w:p w14:paraId="0874D114">
      <w:pPr>
        <w:rPr>
          <w:color w:val="000000" w:themeColor="text1"/>
          <w14:textFill>
            <w14:solidFill>
              <w14:schemeClr w14:val="tx1"/>
            </w14:solidFill>
          </w14:textFill>
        </w:rPr>
      </w:pPr>
    </w:p>
    <w:p w14:paraId="0485B04E">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应付债券</w:t>
      </w:r>
    </w:p>
    <w:p w14:paraId="17C9511E">
      <w:pPr>
        <w:pStyle w:val="5"/>
        <w:numPr>
          <w:ilvl w:val="0"/>
          <w:numId w:val="84"/>
        </w:numPr>
        <w:tabs>
          <w:tab w:val="left" w:pos="672"/>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应付</w:t>
      </w:r>
      <w:r>
        <w:rPr>
          <w:rFonts w:hint="eastAsia" w:ascii="宋体" w:hAnsi="宋体"/>
          <w:color w:val="000000" w:themeColor="text1"/>
          <w:szCs w:val="21"/>
          <w14:textFill>
            <w14:solidFill>
              <w14:schemeClr w14:val="tx1"/>
            </w14:solidFill>
          </w14:textFill>
        </w:rPr>
        <w:t>债券</w:t>
      </w:r>
    </w:p>
    <w:sdt>
      <w:sdtPr>
        <w:rPr>
          <w:rFonts w:hint="eastAsia"/>
          <w:color w:val="000000" w:themeColor="text1"/>
          <w14:textFill>
            <w14:solidFill>
              <w14:schemeClr w14:val="tx1"/>
            </w14:solidFill>
          </w14:textFill>
        </w:rPr>
        <w:alias w:val="是否适用：应付债券[双击切换]"/>
        <w:tag w:val="_GBC_b07c291c892844efaca56bc1d52b1566"/>
        <w:id w:val="766111561"/>
        <w:placeholder>
          <w:docPart w:val="GBC22222222222222222222222222222"/>
        </w:placeholder>
      </w:sdtPr>
      <w:sdtEndPr>
        <w:rPr>
          <w:rFonts w:hint="eastAsia"/>
          <w:color w:val="000000" w:themeColor="text1"/>
          <w14:textFill>
            <w14:solidFill>
              <w14:schemeClr w14:val="tx1"/>
            </w14:solidFill>
          </w14:textFill>
        </w:rPr>
      </w:sdtEndPr>
      <w:sdtContent>
        <w:p w14:paraId="021BC09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BD033E9">
      <w:pPr>
        <w:rPr>
          <w:color w:val="000000" w:themeColor="text1"/>
          <w14:textFill>
            <w14:solidFill>
              <w14:schemeClr w14:val="tx1"/>
            </w14:solidFill>
          </w14:textFill>
        </w:rPr>
      </w:pPr>
    </w:p>
    <w:p w14:paraId="7DB8F350">
      <w:pPr>
        <w:pStyle w:val="5"/>
        <w:numPr>
          <w:ilvl w:val="0"/>
          <w:numId w:val="84"/>
        </w:numPr>
        <w:ind w:left="426" w:hanging="426"/>
        <w:rPr>
          <w:color w:val="000000" w:themeColor="text1"/>
          <w14:textFill>
            <w14:solidFill>
              <w14:schemeClr w14:val="tx1"/>
            </w14:solidFill>
          </w14:textFill>
        </w:rPr>
      </w:pPr>
      <w:bookmarkStart w:id="348" w:name="_Hlk167968813"/>
      <w:bookmarkStart w:id="349" w:name="OLE_LINK16"/>
      <w:bookmarkStart w:id="350" w:name="OLE_LINK18"/>
      <w:r>
        <w:rPr>
          <w:color w:val="000000" w:themeColor="text1"/>
          <w14:textFill>
            <w14:solidFill>
              <w14:schemeClr w14:val="tx1"/>
            </w14:solidFill>
          </w14:textFill>
        </w:rPr>
        <w:t>应付债券的具体情况</w:t>
      </w:r>
      <w:r>
        <w:rPr>
          <w:rFonts w:hint="eastAsia"/>
          <w:color w:val="000000" w:themeColor="text1"/>
          <w14:textFill>
            <w14:solidFill>
              <w14:schemeClr w14:val="tx1"/>
            </w14:solidFill>
          </w14:textFill>
        </w:rPr>
        <w:t>：（不包括划分为金融负债的优先股、永续债等其他金融工具）</w:t>
      </w:r>
    </w:p>
    <w:sdt>
      <w:sdtPr>
        <w:rPr>
          <w:color w:val="000000" w:themeColor="text1"/>
          <w14:textFill>
            <w14:solidFill>
              <w14:schemeClr w14:val="tx1"/>
            </w14:solidFill>
          </w14:textFill>
        </w:rPr>
        <w:alias w:val="是否适用：应付债券的增减变动[双击切换]"/>
        <w:tag w:val="_GBC_6610dc08d094426e9d4fdad85eee6da2"/>
        <w:id w:val="-280267571"/>
        <w:placeholder>
          <w:docPart w:val="GBC22222222222222222222222222222"/>
        </w:placeholder>
      </w:sdtPr>
      <w:sdtEndPr>
        <w:rPr>
          <w:color w:val="000000" w:themeColor="text1"/>
          <w14:textFill>
            <w14:solidFill>
              <w14:schemeClr w14:val="tx1"/>
            </w14:solidFill>
          </w14:textFill>
        </w:rPr>
      </w:sdtEndPr>
      <w:sdtContent>
        <w:p w14:paraId="3CAA2E6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E0F29CE">
      <w:pPr>
        <w:rPr>
          <w:rFonts w:cstheme="minorBidi"/>
          <w:color w:val="000000" w:themeColor="text1"/>
          <w14:textFill>
            <w14:solidFill>
              <w14:schemeClr w14:val="tx1"/>
            </w14:solidFill>
          </w14:textFill>
        </w:rPr>
      </w:pPr>
    </w:p>
    <w:p w14:paraId="67C3301C">
      <w:pPr>
        <w:pStyle w:val="5"/>
        <w:numPr>
          <w:ilvl w:val="0"/>
          <w:numId w:val="84"/>
        </w:numPr>
        <w:ind w:left="426" w:hanging="426"/>
        <w:rPr>
          <w:color w:val="000000" w:themeColor="text1"/>
          <w14:textFill>
            <w14:solidFill>
              <w14:schemeClr w14:val="tx1"/>
            </w14:solidFill>
          </w14:textFill>
        </w:rPr>
      </w:pPr>
      <w:r>
        <w:rPr>
          <w:rFonts w:hint="eastAsia"/>
          <w:color w:val="000000" w:themeColor="text1"/>
          <w14:textFill>
            <w14:solidFill>
              <w14:schemeClr w14:val="tx1"/>
            </w14:solidFill>
          </w14:textFill>
        </w:rPr>
        <w:t>可转换公司债券的说明</w:t>
      </w:r>
    </w:p>
    <w:sdt>
      <w:sdtPr>
        <w:rPr>
          <w:rFonts w:hint="eastAsia"/>
          <w:color w:val="000000" w:themeColor="text1"/>
          <w14:textFill>
            <w14:solidFill>
              <w14:schemeClr w14:val="tx1"/>
            </w14:solidFill>
          </w14:textFill>
        </w:rPr>
        <w:alias w:val="是否适用：可转换公司债券的转股条件、转股时间说明[双击切换]"/>
        <w:tag w:val="_GBC_ef63fc1297374c8b97a48c0c89422e8a"/>
        <w:id w:val="-2012437882"/>
        <w:placeholder>
          <w:docPart w:val="GBC22222222222222222222222222222"/>
        </w:placeholder>
      </w:sdtPr>
      <w:sdtEndPr>
        <w:rPr>
          <w:rFonts w:hint="eastAsia"/>
          <w:color w:val="000000" w:themeColor="text1"/>
          <w14:textFill>
            <w14:solidFill>
              <w14:schemeClr w14:val="tx1"/>
            </w14:solidFill>
          </w14:textFill>
        </w:rPr>
      </w:sdtEndPr>
      <w:sdtContent>
        <w:p w14:paraId="420A7E8A">
          <w:pPr>
            <w:spacing w:before="60" w:after="6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B017D29">
      <w:pPr>
        <w:spacing w:before="60" w:after="60"/>
        <w:rPr>
          <w:color w:val="000000" w:themeColor="text1"/>
          <w14:textFill>
            <w14:solidFill>
              <w14:schemeClr w14:val="tx1"/>
            </w14:solidFill>
          </w14:textFill>
        </w:rPr>
      </w:pPr>
    </w:p>
    <w:p w14:paraId="27A54D4D">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转股权会计处理及判断依据</w:t>
      </w:r>
    </w:p>
    <w:sdt>
      <w:sdtPr>
        <w:rPr>
          <w:color w:val="000000" w:themeColor="text1"/>
          <w14:textFill>
            <w14:solidFill>
              <w14:schemeClr w14:val="tx1"/>
            </w14:solidFill>
          </w14:textFill>
        </w:rPr>
        <w:alias w:val="是否适用：转股权会计处理及判断依据[双击切换]"/>
        <w:tag w:val="_GBC_d91e0305ad39444cb4fea2f3671f7083"/>
        <w:id w:val="1694341794"/>
        <w:placeholder>
          <w:docPart w:val="GBC22222222222222222222222222222"/>
        </w:placeholder>
      </w:sdtPr>
      <w:sdtEndPr>
        <w:rPr>
          <w:color w:val="000000" w:themeColor="text1"/>
          <w14:textFill>
            <w14:solidFill>
              <w14:schemeClr w14:val="tx1"/>
            </w14:solidFill>
          </w14:textFill>
        </w:rPr>
      </w:sdtEndPr>
      <w:sdtContent>
        <w:p w14:paraId="2A7CE15D">
          <w:pPr>
            <w:spacing w:before="60" w:after="6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3DE77A4">
      <w:pPr>
        <w:rPr>
          <w:color w:val="000000" w:themeColor="text1"/>
          <w14:textFill>
            <w14:solidFill>
              <w14:schemeClr w14:val="tx1"/>
            </w14:solidFill>
          </w14:textFill>
        </w:rPr>
      </w:pPr>
    </w:p>
    <w:bookmarkEnd w:id="348"/>
    <w:p w14:paraId="58A093A9">
      <w:pPr>
        <w:pStyle w:val="5"/>
        <w:numPr>
          <w:ilvl w:val="0"/>
          <w:numId w:val="84"/>
        </w:numPr>
        <w:tabs>
          <w:tab w:val="left" w:pos="672"/>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划分为金融负债的其他金融工具说明</w:t>
      </w:r>
    </w:p>
    <w:p w14:paraId="234DA65E">
      <w:pPr>
        <w:rPr>
          <w:color w:val="000000" w:themeColor="text1"/>
          <w14:textFill>
            <w14:solidFill>
              <w14:schemeClr w14:val="tx1"/>
            </w14:solidFill>
          </w14:textFill>
        </w:rPr>
      </w:pPr>
      <w:r>
        <w:rPr>
          <w:rFonts w:hint="eastAsia"/>
          <w:color w:val="000000" w:themeColor="text1"/>
          <w14:textFill>
            <w14:solidFill>
              <w14:schemeClr w14:val="tx1"/>
            </w14:solidFill>
          </w14:textFill>
        </w:rPr>
        <w:t>期末发行在外的优先股、永续债等其他金融工具基本情况</w:t>
      </w:r>
    </w:p>
    <w:sdt>
      <w:sdtPr>
        <w:rPr>
          <w:color w:val="000000" w:themeColor="text1"/>
          <w14:textFill>
            <w14:solidFill>
              <w14:schemeClr w14:val="tx1"/>
            </w14:solidFill>
          </w14:textFill>
        </w:rPr>
        <w:alias w:val="是否适用：划分为金融负债的其他金融工具说明[双击切换]"/>
        <w:tag w:val="_GBC_61542231aba54618ab4bd6d781bfab05"/>
        <w:id w:val="-1022932961"/>
        <w:placeholder>
          <w:docPart w:val="GBC22222222222222222222222222222"/>
        </w:placeholder>
      </w:sdtPr>
      <w:sdtEndPr>
        <w:rPr>
          <w:color w:val="000000" w:themeColor="text1"/>
          <w14:textFill>
            <w14:solidFill>
              <w14:schemeClr w14:val="tx1"/>
            </w14:solidFill>
          </w14:textFill>
        </w:rPr>
      </w:sdtEndPr>
      <w:sdtContent>
        <w:p w14:paraId="5782558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E17D1EB">
      <w:pPr>
        <w:rPr>
          <w:color w:val="000000" w:themeColor="text1"/>
          <w14:textFill>
            <w14:solidFill>
              <w14:schemeClr w14:val="tx1"/>
            </w14:solidFill>
          </w14:textFill>
        </w:rPr>
      </w:pPr>
    </w:p>
    <w:p w14:paraId="32DCEEDA">
      <w:pPr>
        <w:rPr>
          <w:color w:val="000000" w:themeColor="text1"/>
          <w14:textFill>
            <w14:solidFill>
              <w14:schemeClr w14:val="tx1"/>
            </w14:solidFill>
          </w14:textFill>
        </w:rPr>
      </w:pPr>
      <w:r>
        <w:rPr>
          <w:rFonts w:hint="eastAsia"/>
          <w:color w:val="000000" w:themeColor="text1"/>
          <w14:textFill>
            <w14:solidFill>
              <w14:schemeClr w14:val="tx1"/>
            </w14:solidFill>
          </w14:textFill>
        </w:rPr>
        <w:t>期末发行在外的优先股、永续债等金融工具变动情况表</w:t>
      </w:r>
    </w:p>
    <w:sdt>
      <w:sdtPr>
        <w:rPr>
          <w:color w:val="000000" w:themeColor="text1"/>
          <w14:textFill>
            <w14:solidFill>
              <w14:schemeClr w14:val="tx1"/>
            </w14:solidFill>
          </w14:textFill>
        </w:rPr>
        <w:alias w:val="是否适用：期末发行在外的优先股、永续债等金融工具变动情况表_应付债券[双击切换]"/>
        <w:tag w:val="_GBC_4cf6ed9dc37d42fc946f2268e90eee97"/>
        <w:id w:val="162977488"/>
        <w:placeholder>
          <w:docPart w:val="GBC22222222222222222222222222222"/>
        </w:placeholder>
      </w:sdtPr>
      <w:sdtEndPr>
        <w:rPr>
          <w:color w:val="000000" w:themeColor="text1"/>
          <w14:textFill>
            <w14:solidFill>
              <w14:schemeClr w14:val="tx1"/>
            </w14:solidFill>
          </w14:textFill>
        </w:rPr>
      </w:sdtEndPr>
      <w:sdtContent>
        <w:p w14:paraId="5AFC5F8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349"/>
    <w:bookmarkEnd w:id="350"/>
    <w:p w14:paraId="4B25CC1C">
      <w:pPr>
        <w:rPr>
          <w:color w:val="000000" w:themeColor="text1"/>
          <w14:textFill>
            <w14:solidFill>
              <w14:schemeClr w14:val="tx1"/>
            </w14:solidFill>
          </w14:textFill>
        </w:rPr>
      </w:pPr>
    </w:p>
    <w:p w14:paraId="1EE8AD0F">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其他金融工具划分为金融负债的依据说明</w:t>
      </w:r>
    </w:p>
    <w:sdt>
      <w:sdtPr>
        <w:rPr>
          <w:color w:val="000000" w:themeColor="text1"/>
          <w14:textFill>
            <w14:solidFill>
              <w14:schemeClr w14:val="tx1"/>
            </w14:solidFill>
          </w14:textFill>
        </w:rPr>
        <w:alias w:val="是否适用：其他金融工具划分为金融负债的依据说明[双击切换]"/>
        <w:tag w:val="_GBC_aec0ba7f99624a559a5f92bcd8e57e4f"/>
        <w:id w:val="1343899385"/>
        <w:placeholder>
          <w:docPart w:val="GBC22222222222222222222222222222"/>
        </w:placeholder>
      </w:sdtPr>
      <w:sdtEndPr>
        <w:rPr>
          <w:color w:val="000000" w:themeColor="text1"/>
          <w14:textFill>
            <w14:solidFill>
              <w14:schemeClr w14:val="tx1"/>
            </w14:solidFill>
          </w14:textFill>
        </w:rPr>
      </w:sdtEndPr>
      <w:sdtContent>
        <w:p w14:paraId="49F851FB">
          <w:pPr>
            <w:spacing w:before="60" w:after="6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66DE78B">
      <w:pPr>
        <w:rPr>
          <w:color w:val="000000" w:themeColor="text1"/>
          <w14:textFill>
            <w14:solidFill>
              <w14:schemeClr w14:val="tx1"/>
            </w14:solidFill>
          </w14:textFill>
        </w:rPr>
      </w:pPr>
    </w:p>
    <w:p w14:paraId="5158A5C6">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应付债券的其他说明[双击切换]"/>
        <w:tag w:val="_GBC_34ea80305b6a4fafaf2943f684877d08"/>
        <w:id w:val="824866259"/>
        <w:placeholder>
          <w:docPart w:val="GBC22222222222222222222222222222"/>
        </w:placeholder>
      </w:sdtPr>
      <w:sdtEndPr>
        <w:rPr>
          <w:color w:val="000000" w:themeColor="text1"/>
          <w14:textFill>
            <w14:solidFill>
              <w14:schemeClr w14:val="tx1"/>
            </w14:solidFill>
          </w14:textFill>
        </w:rPr>
      </w:sdtEndPr>
      <w:sdtContent>
        <w:p w14:paraId="346C1940">
          <w:pPr>
            <w:spacing w:before="60" w:after="6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2116BF1">
      <w:pPr>
        <w:rPr>
          <w:color w:val="000000" w:themeColor="text1"/>
          <w14:textFill>
            <w14:solidFill>
              <w14:schemeClr w14:val="tx1"/>
            </w14:solidFill>
          </w14:textFill>
        </w:rPr>
      </w:pPr>
    </w:p>
    <w:p w14:paraId="6166BF29">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租赁负债</w:t>
      </w:r>
    </w:p>
    <w:sdt>
      <w:sdtPr>
        <w:rPr>
          <w:color w:val="000000" w:themeColor="text1"/>
          <w14:textFill>
            <w14:solidFill>
              <w14:schemeClr w14:val="tx1"/>
            </w14:solidFill>
          </w14:textFill>
        </w:rPr>
        <w:alias w:val="是否适用：租赁负债[双击切换]"/>
        <w:tag w:val="_GBC_cec9aedf0aa8427d9bd5dbf17e698298"/>
        <w:id w:val="-692154562"/>
        <w:placeholder>
          <w:docPart w:val="GBC22222222222222222222222222222"/>
        </w:placeholder>
      </w:sdtPr>
      <w:sdtEndPr>
        <w:rPr>
          <w:color w:val="000000" w:themeColor="text1"/>
          <w14:textFill>
            <w14:solidFill>
              <w14:schemeClr w14:val="tx1"/>
            </w14:solidFill>
          </w14:textFill>
        </w:rPr>
      </w:sdtEndPr>
      <w:sdtContent>
        <w:p w14:paraId="3DC0741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B327B49">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租赁负债"/>
          <w:tag w:val="_GBC_3f1d18295bfb4156905ee3935811bc9f"/>
          <w:id w:val="-181000367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租赁负债"/>
          <w:tag w:val="_GBC_1ce63c76adb74c2f8d53dbdb5d73a87c"/>
          <w:id w:val="128954310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3125"/>
        <w:gridCol w:w="2848"/>
        <w:gridCol w:w="2850"/>
      </w:tblGrid>
      <w:tr w14:paraId="43E5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07" w:hRule="atLeast"/>
        </w:trPr>
        <w:sdt>
          <w:sdtPr>
            <w:tag w:val="_PLD_27afd78cc4b04fa19a7adaa593b83cc4"/>
            <w:id w:val="-384331037"/>
          </w:sdtPr>
          <w:sdtContent>
            <w:tc>
              <w:tcPr>
                <w:tcW w:w="1771" w:type="pct"/>
                <w:vAlign w:val="center"/>
              </w:tcPr>
              <w:p w14:paraId="7AB06CB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473fbb207ad34f58a8a0f0451332e555"/>
            <w:id w:val="1877268440"/>
          </w:sdtPr>
          <w:sdtContent>
            <w:tc>
              <w:tcPr>
                <w:tcW w:w="1614" w:type="pct"/>
                <w:vAlign w:val="center"/>
              </w:tcPr>
              <w:p w14:paraId="5D46C5F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81cf17ce1aff4bad8deb2792f3b6570d"/>
            <w:id w:val="-644198327"/>
          </w:sdtPr>
          <w:sdtContent>
            <w:tc>
              <w:tcPr>
                <w:tcW w:w="1615" w:type="pct"/>
                <w:vAlign w:val="center"/>
              </w:tcPr>
              <w:p w14:paraId="7F24DAA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04EA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86" w:hRule="atLeast"/>
        </w:trPr>
        <w:tc>
          <w:tcPr>
            <w:tcW w:w="1771" w:type="pct"/>
            <w:vAlign w:val="center"/>
          </w:tcPr>
          <w:p w14:paraId="52D3A356">
            <w:r>
              <w:rPr>
                <w:rFonts w:hint="eastAsia" w:ascii="宋体" w:hAnsi="宋体"/>
              </w:rPr>
              <w:t>租赁负债-租赁付款余额</w:t>
            </w:r>
          </w:p>
        </w:tc>
        <w:tc>
          <w:tcPr>
            <w:tcW w:w="1614" w:type="pct"/>
          </w:tcPr>
          <w:p w14:paraId="1C2E0431">
            <w:pPr>
              <w:jc w:val="right"/>
            </w:pPr>
            <w:r>
              <w:t>2,345,875.67</w:t>
            </w:r>
          </w:p>
        </w:tc>
        <w:tc>
          <w:tcPr>
            <w:tcW w:w="1615" w:type="pct"/>
          </w:tcPr>
          <w:p w14:paraId="2C639F7F">
            <w:pPr>
              <w:jc w:val="right"/>
            </w:pPr>
            <w:r>
              <w:t>3,243,012.16</w:t>
            </w:r>
          </w:p>
        </w:tc>
      </w:tr>
      <w:tr w14:paraId="2BF7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86" w:hRule="atLeast"/>
        </w:trPr>
        <w:tc>
          <w:tcPr>
            <w:tcW w:w="1771" w:type="pct"/>
            <w:vAlign w:val="center"/>
          </w:tcPr>
          <w:p w14:paraId="3829C39B">
            <w:r>
              <w:rPr>
                <w:rFonts w:hint="eastAsia" w:ascii="宋体" w:hAnsi="宋体"/>
              </w:rPr>
              <w:t>减：租赁负债-未确认融资费用</w:t>
            </w:r>
          </w:p>
        </w:tc>
        <w:tc>
          <w:tcPr>
            <w:tcW w:w="1614" w:type="pct"/>
          </w:tcPr>
          <w:p w14:paraId="3541E72D">
            <w:pPr>
              <w:jc w:val="right"/>
            </w:pPr>
          </w:p>
        </w:tc>
        <w:tc>
          <w:tcPr>
            <w:tcW w:w="1615" w:type="pct"/>
          </w:tcPr>
          <w:p w14:paraId="3C4E8955">
            <w:pPr>
              <w:jc w:val="right"/>
            </w:pPr>
            <w:r>
              <w:t>246,420.67</w:t>
            </w:r>
          </w:p>
        </w:tc>
      </w:tr>
      <w:tr w14:paraId="7A9A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86" w:hRule="atLeast"/>
        </w:trPr>
        <w:tc>
          <w:tcPr>
            <w:tcW w:w="1771" w:type="pct"/>
            <w:vAlign w:val="center"/>
          </w:tcPr>
          <w:p w14:paraId="73F2038E">
            <w:r>
              <w:rPr>
                <w:rFonts w:hint="eastAsia" w:ascii="宋体" w:hAnsi="宋体"/>
              </w:rPr>
              <w:t>减：一年内到期的非流动负债</w:t>
            </w:r>
          </w:p>
        </w:tc>
        <w:tc>
          <w:tcPr>
            <w:tcW w:w="1614" w:type="pct"/>
          </w:tcPr>
          <w:p w14:paraId="267F6143">
            <w:pPr>
              <w:jc w:val="right"/>
            </w:pPr>
            <w:r>
              <w:t>665,697.49</w:t>
            </w:r>
          </w:p>
        </w:tc>
        <w:tc>
          <w:tcPr>
            <w:tcW w:w="1615" w:type="pct"/>
          </w:tcPr>
          <w:p w14:paraId="7FC318C9">
            <w:pPr>
              <w:jc w:val="right"/>
            </w:pPr>
            <w:r>
              <w:t>881,891.33</w:t>
            </w:r>
          </w:p>
        </w:tc>
      </w:tr>
      <w:tr w14:paraId="65C41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86" w:hRule="atLeast"/>
        </w:trPr>
        <w:tc>
          <w:tcPr>
            <w:tcW w:w="1771" w:type="pct"/>
          </w:tcPr>
          <w:p w14:paraId="49B1E89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14" w:type="pct"/>
          </w:tcPr>
          <w:p w14:paraId="4934FC2A">
            <w:pPr>
              <w:jc w:val="right"/>
            </w:pPr>
            <w:r>
              <w:t>1,680,178.1</w:t>
            </w:r>
            <w:r>
              <w:rPr>
                <w:rFonts w:hint="eastAsia"/>
              </w:rPr>
              <w:t>8</w:t>
            </w:r>
          </w:p>
        </w:tc>
        <w:tc>
          <w:tcPr>
            <w:tcW w:w="1615" w:type="pct"/>
          </w:tcPr>
          <w:p w14:paraId="10BAB525">
            <w:pPr>
              <w:jc w:val="right"/>
            </w:pPr>
            <w:r>
              <w:t>2,114,700.16</w:t>
            </w:r>
          </w:p>
        </w:tc>
      </w:tr>
    </w:tbl>
    <w:p w14:paraId="2EAA649A">
      <w:pPr>
        <w:snapToGrid w:val="0"/>
        <w:spacing w:before="60" w:after="60"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租赁负债其他说明"/>
        <w:tag w:val="_GBC_cbaaaf9b0adf45f6a0dd93d6de03a6ea"/>
        <w:id w:val="1753926472"/>
        <w:placeholder>
          <w:docPart w:val="GBC22222222222222222222222222222"/>
        </w:placeholder>
      </w:sdtPr>
      <w:sdtEndPr>
        <w:rPr>
          <w:color w:val="000000" w:themeColor="text1"/>
          <w14:textFill>
            <w14:solidFill>
              <w14:schemeClr w14:val="tx1"/>
            </w14:solidFill>
          </w14:textFill>
        </w:rPr>
      </w:sdtEndPr>
      <w:sdtContent>
        <w:p w14:paraId="59E22409">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538D6108">
      <w:pPr>
        <w:rPr>
          <w:color w:val="000000" w:themeColor="text1"/>
          <w14:textFill>
            <w14:solidFill>
              <w14:schemeClr w14:val="tx1"/>
            </w14:solidFill>
          </w14:textFill>
        </w:rPr>
      </w:pPr>
    </w:p>
    <w:p w14:paraId="71D06218">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长期应付款</w:t>
      </w:r>
    </w:p>
    <w:p w14:paraId="62502C07">
      <w:pPr>
        <w:pStyle w:val="5"/>
        <w:rPr>
          <w:rFonts w:hint="eastAsia" w:ascii="宋体" w:hAnsi="宋体"/>
          <w:color w:val="000000" w:themeColor="text1"/>
          <w14:textFill>
            <w14:solidFill>
              <w14:schemeClr w14:val="tx1"/>
            </w14:solidFill>
          </w14:textFill>
        </w:rPr>
      </w:pPr>
      <w:bookmarkStart w:id="351" w:name="_Hlk10536746"/>
      <w:r>
        <w:rPr>
          <w:rFonts w:hint="eastAsia" w:ascii="宋体" w:hAnsi="宋体"/>
          <w:color w:val="000000" w:themeColor="text1"/>
          <w14:textFill>
            <w14:solidFill>
              <w14:schemeClr w14:val="tx1"/>
            </w14:solidFill>
          </w14:textFill>
        </w:rPr>
        <w:t>项目列示</w:t>
      </w:r>
    </w:p>
    <w:sdt>
      <w:sdtPr>
        <w:rPr>
          <w:color w:val="000000" w:themeColor="text1"/>
          <w14:textFill>
            <w14:solidFill>
              <w14:schemeClr w14:val="tx1"/>
            </w14:solidFill>
          </w14:textFill>
        </w:rPr>
        <w:alias w:val="是否适用：长期应付款分类列示[双击切换]"/>
        <w:tag w:val="_GBC_dc1496c33e4a4cabb259020dbf46be93"/>
        <w:id w:val="-227236064"/>
        <w:placeholder>
          <w:docPart w:val="GBC22222222222222222222222222222"/>
        </w:placeholder>
      </w:sdtPr>
      <w:sdtEndPr>
        <w:rPr>
          <w:color w:val="000000" w:themeColor="text1"/>
          <w14:textFill>
            <w14:solidFill>
              <w14:schemeClr w14:val="tx1"/>
            </w14:solidFill>
          </w14:textFill>
        </w:rPr>
      </w:sdtEndPr>
      <w:sdtContent>
        <w:p w14:paraId="38B5E56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52D961A">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长期应付款分类列示"/>
          <w:tag w:val="_GBC_ebfc605e57a44e54b3e33ac2adbd49b3"/>
          <w:id w:val="-64305007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长期应付款分类列示"/>
          <w:tag w:val="_GBC_3e0811a7722a450c98b76253621cc253"/>
          <w:id w:val="18365661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5"/>
        <w:gridCol w:w="2792"/>
        <w:gridCol w:w="2806"/>
      </w:tblGrid>
      <w:tr w14:paraId="0094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c3a93bba75a94d61a6bb41116821520d"/>
            <w:id w:val="-740636459"/>
          </w:sdtPr>
          <w:sdtContent>
            <w:tc>
              <w:tcPr>
                <w:tcW w:w="1828" w:type="pct"/>
                <w:vAlign w:val="center"/>
              </w:tcPr>
              <w:p w14:paraId="30E43172">
                <w:pPr>
                  <w:tabs>
                    <w:tab w:val="right" w:pos="3690"/>
                    <w:tab w:val="right" w:pos="5130"/>
                    <w:tab w:val="right" w:pos="6030"/>
                    <w:tab w:val="right" w:pos="7650"/>
                    <w:tab w:val="right" w:pos="9270"/>
                  </w:tabs>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4cef3b6e993d4efeab53c68db46274b8"/>
            <w:id w:val="-61182094"/>
          </w:sdtPr>
          <w:sdtContent>
            <w:tc>
              <w:tcPr>
                <w:tcW w:w="1582" w:type="pct"/>
                <w:vAlign w:val="center"/>
              </w:tcPr>
              <w:p w14:paraId="3D49BFA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d7980fd6d7084f6bb108abf1cc53570a"/>
            <w:id w:val="-895505171"/>
          </w:sdtPr>
          <w:sdtContent>
            <w:tc>
              <w:tcPr>
                <w:tcW w:w="1590" w:type="pct"/>
                <w:vAlign w:val="center"/>
              </w:tcPr>
              <w:p w14:paraId="5149357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4F20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pct"/>
          </w:tcPr>
          <w:p w14:paraId="6DADC9FE">
            <w:pPr>
              <w:tabs>
                <w:tab w:val="right" w:pos="3690"/>
                <w:tab w:val="right" w:pos="5130"/>
                <w:tab w:val="right" w:pos="6030"/>
                <w:tab w:val="right" w:pos="7650"/>
                <w:tab w:val="right" w:pos="9270"/>
              </w:tabs>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长期应付款</w:t>
            </w:r>
          </w:p>
        </w:tc>
        <w:tc>
          <w:tcPr>
            <w:tcW w:w="1582" w:type="pct"/>
          </w:tcPr>
          <w:p w14:paraId="3F2B025F">
            <w:pPr>
              <w:tabs>
                <w:tab w:val="right" w:pos="3690"/>
                <w:tab w:val="right" w:pos="5130"/>
                <w:tab w:val="right" w:pos="6030"/>
                <w:tab w:val="right" w:pos="7650"/>
                <w:tab w:val="right" w:pos="9270"/>
              </w:tabs>
              <w:adjustRightInd w:val="0"/>
              <w:snapToGrid w:val="0"/>
              <w:jc w:val="right"/>
            </w:pPr>
            <w:r>
              <w:t>51,928,716.39</w:t>
            </w:r>
          </w:p>
        </w:tc>
        <w:tc>
          <w:tcPr>
            <w:tcW w:w="1590" w:type="pct"/>
          </w:tcPr>
          <w:p w14:paraId="7006C782">
            <w:pPr>
              <w:tabs>
                <w:tab w:val="right" w:pos="3690"/>
                <w:tab w:val="right" w:pos="5130"/>
                <w:tab w:val="right" w:pos="6030"/>
                <w:tab w:val="right" w:pos="7650"/>
                <w:tab w:val="right" w:pos="9270"/>
              </w:tabs>
              <w:adjustRightInd w:val="0"/>
              <w:snapToGrid w:val="0"/>
              <w:jc w:val="right"/>
            </w:pPr>
            <w:r>
              <w:t>21,462,317.06</w:t>
            </w:r>
          </w:p>
        </w:tc>
      </w:tr>
      <w:tr w14:paraId="2CB6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pct"/>
          </w:tcPr>
          <w:p w14:paraId="33B1C671">
            <w:pPr>
              <w:tabs>
                <w:tab w:val="right" w:pos="3690"/>
                <w:tab w:val="right" w:pos="5130"/>
                <w:tab w:val="right" w:pos="6030"/>
                <w:tab w:val="right" w:pos="7650"/>
                <w:tab w:val="right" w:pos="9270"/>
              </w:tabs>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专项应付款</w:t>
            </w:r>
          </w:p>
        </w:tc>
        <w:tc>
          <w:tcPr>
            <w:tcW w:w="1582" w:type="pct"/>
          </w:tcPr>
          <w:p w14:paraId="4616A56E">
            <w:pPr>
              <w:tabs>
                <w:tab w:val="right" w:pos="3690"/>
                <w:tab w:val="right" w:pos="5130"/>
                <w:tab w:val="right" w:pos="6030"/>
                <w:tab w:val="right" w:pos="7650"/>
                <w:tab w:val="right" w:pos="9270"/>
              </w:tabs>
              <w:adjustRightInd w:val="0"/>
              <w:snapToGrid w:val="0"/>
              <w:jc w:val="right"/>
            </w:pPr>
          </w:p>
        </w:tc>
        <w:tc>
          <w:tcPr>
            <w:tcW w:w="1590" w:type="pct"/>
          </w:tcPr>
          <w:p w14:paraId="6DD558A1">
            <w:pPr>
              <w:tabs>
                <w:tab w:val="right" w:pos="3690"/>
                <w:tab w:val="right" w:pos="5130"/>
                <w:tab w:val="right" w:pos="6030"/>
                <w:tab w:val="right" w:pos="7650"/>
                <w:tab w:val="right" w:pos="9270"/>
              </w:tabs>
              <w:adjustRightInd w:val="0"/>
              <w:snapToGrid w:val="0"/>
              <w:jc w:val="right"/>
            </w:pPr>
          </w:p>
        </w:tc>
      </w:tr>
      <w:tr w14:paraId="2735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pct"/>
          </w:tcPr>
          <w:p w14:paraId="60F7EECF">
            <w:pPr>
              <w:tabs>
                <w:tab w:val="right" w:pos="3690"/>
                <w:tab w:val="right" w:pos="5130"/>
                <w:tab w:val="right" w:pos="6030"/>
                <w:tab w:val="right" w:pos="7650"/>
                <w:tab w:val="right" w:pos="9270"/>
              </w:tabs>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582" w:type="pct"/>
          </w:tcPr>
          <w:p w14:paraId="229155DD">
            <w:pPr>
              <w:tabs>
                <w:tab w:val="right" w:pos="3690"/>
                <w:tab w:val="right" w:pos="5130"/>
                <w:tab w:val="right" w:pos="6030"/>
                <w:tab w:val="right" w:pos="7650"/>
                <w:tab w:val="right" w:pos="9270"/>
              </w:tabs>
              <w:adjustRightInd w:val="0"/>
              <w:snapToGrid w:val="0"/>
              <w:jc w:val="right"/>
            </w:pPr>
            <w:r>
              <w:t>51,928,716.39</w:t>
            </w:r>
          </w:p>
        </w:tc>
        <w:tc>
          <w:tcPr>
            <w:tcW w:w="1590" w:type="pct"/>
          </w:tcPr>
          <w:p w14:paraId="3C97D0E2">
            <w:pPr>
              <w:tabs>
                <w:tab w:val="right" w:pos="3690"/>
                <w:tab w:val="right" w:pos="5130"/>
                <w:tab w:val="right" w:pos="6030"/>
                <w:tab w:val="right" w:pos="7650"/>
                <w:tab w:val="right" w:pos="9270"/>
              </w:tabs>
              <w:adjustRightInd w:val="0"/>
              <w:snapToGrid w:val="0"/>
              <w:jc w:val="right"/>
            </w:pPr>
            <w:r>
              <w:t>21,462,317.06</w:t>
            </w:r>
          </w:p>
        </w:tc>
      </w:tr>
    </w:tbl>
    <w:p w14:paraId="40F92707">
      <w:pPr>
        <w:rPr>
          <w:color w:val="000000" w:themeColor="text1"/>
          <w14:textFill>
            <w14:solidFill>
              <w14:schemeClr w14:val="tx1"/>
            </w14:solidFill>
          </w14:textFill>
        </w:rPr>
      </w:pPr>
      <w:bookmarkStart w:id="352" w:name="_Hlk532911057"/>
      <w:r>
        <w:rPr>
          <w:rFonts w:hint="eastAsia"/>
          <w:color w:val="000000" w:themeColor="text1"/>
          <w14:textFill>
            <w14:solidFill>
              <w14:schemeClr w14:val="tx1"/>
            </w14:solidFill>
          </w14:textFill>
        </w:rPr>
        <w:t>其他说明：</w:t>
      </w:r>
    </w:p>
    <w:sdt>
      <w:sdtPr>
        <w:rPr>
          <w:rFonts w:hint="eastAsia"/>
          <w:color w:val="000000" w:themeColor="text1"/>
          <w14:textFill>
            <w14:solidFill>
              <w14:schemeClr w14:val="tx1"/>
            </w14:solidFill>
          </w14:textFill>
        </w:rPr>
        <w:alias w:val="长期应付款分类列示其他说明"/>
        <w:tag w:val="_GBC_431a8b84aeeb4e0fa07aef9d9af1a46d"/>
        <w:id w:val="1607840964"/>
        <w:placeholder>
          <w:docPart w:val="GBC22222222222222222222222222222"/>
        </w:placeholder>
      </w:sdtPr>
      <w:sdtEndPr>
        <w:rPr>
          <w:rFonts w:hint="eastAsia"/>
          <w:color w:val="000000" w:themeColor="text1"/>
          <w14:textFill>
            <w14:solidFill>
              <w14:schemeClr w14:val="tx1"/>
            </w14:solidFill>
          </w14:textFill>
        </w:rPr>
      </w:sdtEndPr>
      <w:sdtContent>
        <w:p w14:paraId="315B02E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公司2023年从青岛青银金融租赁有限公司取得借款8,000.00万元，期限为3年；2024年从青岛华通融资租赁有限责任公司取得借款4,000.00万元，期限为3年；2024年从海通恒信国际融资租赁股份有限公司取得借款5,000.00万元，期限为2年；2025年从海通恒信国际融资租赁股份有限公司取得借款3,200.00万元，期限为2年； 2025年从国健融资租赁有限公司取得借款3,000.00万元，期限为2年。2026年从华商汇通融资租赁有限公司借款2650万元，期限为3年；2026年从永赢金融租赁有限公司借款520万元，期限5年；至报告期末，上述长期应付款扣除将于一年内到期的金额和已偿还金额外，剩余金额为51,928,716.39元。</w:t>
          </w:r>
        </w:p>
      </w:sdtContent>
    </w:sdt>
    <w:p w14:paraId="0B8BE73D">
      <w:pPr>
        <w:rPr>
          <w:color w:val="000000" w:themeColor="text1"/>
          <w14:textFill>
            <w14:solidFill>
              <w14:schemeClr w14:val="tx1"/>
            </w14:solidFill>
          </w14:textFill>
        </w:rPr>
      </w:pPr>
    </w:p>
    <w:bookmarkEnd w:id="351"/>
    <w:bookmarkEnd w:id="352"/>
    <w:p w14:paraId="1132B7ED">
      <w:pPr>
        <w:pStyle w:val="5"/>
        <w:ind w:left="360" w:hanging="360"/>
        <w:rPr>
          <w:rFonts w:hint="eastAsia" w:ascii="宋体" w:hAnsi="宋体"/>
          <w:color w:val="000000" w:themeColor="text1"/>
          <w14:textFill>
            <w14:solidFill>
              <w14:schemeClr w14:val="tx1"/>
            </w14:solidFill>
          </w14:textFill>
        </w:rPr>
      </w:pPr>
      <w:bookmarkStart w:id="353" w:name="_Hlk10536806"/>
      <w:bookmarkStart w:id="354" w:name="_Hlk10536877"/>
      <w:r>
        <w:rPr>
          <w:rFonts w:hint="eastAsia" w:ascii="宋体" w:hAnsi="宋体"/>
          <w:color w:val="000000" w:themeColor="text1"/>
          <w14:textFill>
            <w14:solidFill>
              <w14:schemeClr w14:val="tx1"/>
            </w14:solidFill>
          </w14:textFill>
        </w:rPr>
        <w:t>长期应付款</w:t>
      </w:r>
      <w:bookmarkEnd w:id="353"/>
    </w:p>
    <w:sdt>
      <w:sdtPr>
        <w:rPr>
          <w:color w:val="000000" w:themeColor="text1"/>
          <w14:textFill>
            <w14:solidFill>
              <w14:schemeClr w14:val="tx1"/>
            </w14:solidFill>
          </w14:textFill>
        </w:rPr>
        <w:alias w:val="是否适用：按款项性质列示长期应付款[双击切换]"/>
        <w:tag w:val="_GBC_a9fa9a5286484f4bb853b1eff824e621"/>
        <w:id w:val="746771351"/>
        <w:placeholder>
          <w:docPart w:val="GBC22222222222222222222222222222"/>
        </w:placeholder>
      </w:sdtPr>
      <w:sdtEndPr>
        <w:rPr>
          <w:color w:val="000000" w:themeColor="text1"/>
          <w14:textFill>
            <w14:solidFill>
              <w14:schemeClr w14:val="tx1"/>
            </w14:solidFill>
          </w14:textFill>
        </w:rPr>
      </w:sdtEndPr>
      <w:sdtContent>
        <w:p w14:paraId="61C6AB6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B6AA4FD">
      <w:pPr>
        <w:snapToGrid w:val="0"/>
        <w:spacing w:line="240" w:lineRule="atLeast"/>
        <w:rPr>
          <w:color w:val="000000" w:themeColor="text1"/>
          <w14:textFill>
            <w14:solidFill>
              <w14:schemeClr w14:val="tx1"/>
            </w14:solidFill>
          </w14:textFill>
        </w:rPr>
      </w:pPr>
    </w:p>
    <w:p w14:paraId="35483A14">
      <w:pPr>
        <w:rPr>
          <w:color w:val="000000" w:themeColor="text1"/>
          <w14:textFill>
            <w14:solidFill>
              <w14:schemeClr w14:val="tx1"/>
            </w14:solidFill>
          </w14:textFill>
        </w:rPr>
      </w:pPr>
    </w:p>
    <w:bookmarkEnd w:id="354"/>
    <w:p w14:paraId="2EE8E5A3">
      <w:pPr>
        <w:pStyle w:val="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专项应付款</w:t>
      </w:r>
    </w:p>
    <w:sdt>
      <w:sdtPr>
        <w:rPr>
          <w:color w:val="000000" w:themeColor="text1"/>
          <w14:textFill>
            <w14:solidFill>
              <w14:schemeClr w14:val="tx1"/>
            </w14:solidFill>
          </w14:textFill>
        </w:rPr>
        <w:alias w:val="是否适用：专项应付款[双击切换]"/>
        <w:tag w:val="_GBC_f70a824e87784429a75fa648d7634cf8"/>
        <w:id w:val="-616525249"/>
        <w:placeholder>
          <w:docPart w:val="GBC22222222222222222222222222222"/>
        </w:placeholder>
      </w:sdtPr>
      <w:sdtEndPr>
        <w:rPr>
          <w:color w:val="000000" w:themeColor="text1"/>
          <w14:textFill>
            <w14:solidFill>
              <w14:schemeClr w14:val="tx1"/>
            </w14:solidFill>
          </w14:textFill>
        </w:rPr>
      </w:sdtEndPr>
      <w:sdtContent>
        <w:p w14:paraId="37BE65E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49575FD">
      <w:pPr>
        <w:snapToGrid w:val="0"/>
        <w:rPr>
          <w:color w:val="000000" w:themeColor="text1"/>
          <w14:textFill>
            <w14:solidFill>
              <w14:schemeClr w14:val="tx1"/>
            </w14:solidFill>
          </w14:textFill>
        </w:rPr>
      </w:pPr>
    </w:p>
    <w:p w14:paraId="34DC49FF">
      <w:pPr>
        <w:rPr>
          <w:color w:val="000000" w:themeColor="text1"/>
          <w14:textFill>
            <w14:solidFill>
              <w14:schemeClr w14:val="tx1"/>
            </w14:solidFill>
          </w14:textFill>
        </w:rPr>
      </w:pPr>
    </w:p>
    <w:p w14:paraId="020F8260">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长期应付职工薪酬</w:t>
      </w:r>
    </w:p>
    <w:sdt>
      <w:sdtPr>
        <w:rPr>
          <w:color w:val="000000" w:themeColor="text1"/>
          <w14:textFill>
            <w14:solidFill>
              <w14:schemeClr w14:val="tx1"/>
            </w14:solidFill>
          </w14:textFill>
        </w:rPr>
        <w:alias w:val="是否适用：长期应付职工薪酬[双击切换]"/>
        <w:tag w:val="_GBC_077559b601814bb38f16734f98e8c045"/>
        <w:id w:val="602070490"/>
        <w:placeholder>
          <w:docPart w:val="GBC22222222222222222222222222222"/>
        </w:placeholder>
      </w:sdtPr>
      <w:sdtEndPr>
        <w:rPr>
          <w:color w:val="000000" w:themeColor="text1"/>
          <w14:textFill>
            <w14:solidFill>
              <w14:schemeClr w14:val="tx1"/>
            </w14:solidFill>
          </w14:textFill>
        </w:rPr>
      </w:sdtEndPr>
      <w:sdtContent>
        <w:p w14:paraId="28093BF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97B8BBF">
      <w:pPr>
        <w:rPr>
          <w:color w:val="000000" w:themeColor="text1"/>
          <w14:textFill>
            <w14:solidFill>
              <w14:schemeClr w14:val="tx1"/>
            </w14:solidFill>
          </w14:textFill>
        </w:rPr>
      </w:pPr>
    </w:p>
    <w:p w14:paraId="13AD1D78">
      <w:pPr>
        <w:rPr>
          <w:color w:val="000000" w:themeColor="text1"/>
          <w14:textFill>
            <w14:solidFill>
              <w14:schemeClr w14:val="tx1"/>
            </w14:solidFill>
          </w14:textFill>
        </w:rPr>
      </w:pPr>
    </w:p>
    <w:p w14:paraId="73503A77">
      <w:pPr>
        <w:pStyle w:val="4"/>
        <w:numPr>
          <w:ilvl w:val="0"/>
          <w:numId w:val="53"/>
        </w:numPr>
        <w:tabs>
          <w:tab w:val="left" w:pos="504"/>
        </w:tabs>
        <w:rPr>
          <w:rFonts w:hint="eastAsia" w:ascii="宋体" w:hAnsi="宋体"/>
          <w:color w:val="000000" w:themeColor="text1"/>
          <w:szCs w:val="21"/>
          <w14:textFill>
            <w14:solidFill>
              <w14:schemeClr w14:val="tx1"/>
            </w14:solidFill>
          </w14:textFill>
        </w:rPr>
      </w:pPr>
      <w:bookmarkStart w:id="355" w:name="_Hlk10537141"/>
      <w:r>
        <w:rPr>
          <w:rFonts w:hint="eastAsia" w:ascii="宋体" w:hAnsi="宋体"/>
          <w:color w:val="000000" w:themeColor="text1"/>
          <w:szCs w:val="21"/>
          <w14:textFill>
            <w14:solidFill>
              <w14:schemeClr w14:val="tx1"/>
            </w14:solidFill>
          </w14:textFill>
        </w:rPr>
        <w:t>预计负债</w:t>
      </w:r>
    </w:p>
    <w:sdt>
      <w:sdtPr>
        <w:rPr>
          <w:color w:val="000000" w:themeColor="text1"/>
          <w14:textFill>
            <w14:solidFill>
              <w14:schemeClr w14:val="tx1"/>
            </w14:solidFill>
          </w14:textFill>
        </w:rPr>
        <w:alias w:val="是否适用：预计负债[双击切换]"/>
        <w:tag w:val="_GBC_1687da235caf410f866f00240cee7fdb"/>
        <w:id w:val="-1359039923"/>
        <w:placeholder>
          <w:docPart w:val="GBC22222222222222222222222222222"/>
        </w:placeholder>
      </w:sdtPr>
      <w:sdtEndPr>
        <w:rPr>
          <w:color w:val="000000" w:themeColor="text1"/>
          <w14:textFill>
            <w14:solidFill>
              <w14:schemeClr w14:val="tx1"/>
            </w14:solidFill>
          </w14:textFill>
        </w:rPr>
      </w:sdtEndPr>
      <w:sdtContent>
        <w:p w14:paraId="67DFD81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19452B1">
      <w:pPr>
        <w:autoSpaceDE w:val="0"/>
        <w:autoSpaceDN w:val="0"/>
        <w:adjustRightInd w:val="0"/>
        <w:rPr>
          <w:color w:val="000000" w:themeColor="text1"/>
          <w14:textFill>
            <w14:solidFill>
              <w14:schemeClr w14:val="tx1"/>
            </w14:solidFill>
          </w14:textFill>
        </w:rPr>
      </w:pPr>
    </w:p>
    <w:p w14:paraId="0234FBEA">
      <w:pPr>
        <w:autoSpaceDE w:val="0"/>
        <w:autoSpaceDN w:val="0"/>
        <w:adjustRightInd w:val="0"/>
        <w:rPr>
          <w:color w:val="000000" w:themeColor="text1"/>
          <w14:textFill>
            <w14:solidFill>
              <w14:schemeClr w14:val="tx1"/>
            </w14:solidFill>
          </w14:textFill>
        </w:rPr>
      </w:pPr>
    </w:p>
    <w:bookmarkEnd w:id="355"/>
    <w:p w14:paraId="45B0F40C">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递延收益</w:t>
      </w:r>
    </w:p>
    <w:p w14:paraId="308F3CC1">
      <w:pPr>
        <w:pStyle w:val="55"/>
        <w:ind w:firstLine="0" w:firstLineChars="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递延收益情况</w:t>
      </w:r>
    </w:p>
    <w:sdt>
      <w:sdtPr>
        <w:rPr>
          <w:rFonts w:ascii="宋体" w:hAnsi="宋体" w:cs="宋体"/>
          <w:color w:val="000000" w:themeColor="text1"/>
          <w:kern w:val="0"/>
          <w:szCs w:val="21"/>
          <w14:textFill>
            <w14:solidFill>
              <w14:schemeClr w14:val="tx1"/>
            </w14:solidFill>
          </w14:textFill>
        </w:rPr>
        <w:alias w:val="是否适用：递延收益情况 [双击切换]"/>
        <w:tag w:val="_GBC_2c1393684e764245824b2390014e92f1"/>
        <w:id w:val="-492560807"/>
        <w:placeholder>
          <w:docPart w:val="GBC22222222222222222222222222222"/>
        </w:placeholder>
      </w:sdtPr>
      <w:sdtEndPr>
        <w:rPr>
          <w:rFonts w:ascii="宋体" w:hAnsi="宋体" w:cs="宋体"/>
          <w:color w:val="000000" w:themeColor="text1"/>
          <w:kern w:val="0"/>
          <w:szCs w:val="21"/>
          <w14:textFill>
            <w14:solidFill>
              <w14:schemeClr w14:val="tx1"/>
            </w14:solidFill>
          </w14:textFill>
        </w:rPr>
      </w:sdtEndPr>
      <w:sdtContent>
        <w:p w14:paraId="021A7662">
          <w:pPr>
            <w:pStyle w:val="55"/>
            <w:ind w:firstLine="0" w:firstLineChars="0"/>
            <w:jc w:val="left"/>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fldChar w:fldCharType="begin"/>
          </w:r>
          <w:r>
            <w:rPr>
              <w:rFonts w:ascii="宋体" w:hAnsi="宋体" w:cs="宋体"/>
              <w:color w:val="000000" w:themeColor="text1"/>
              <w:kern w:val="0"/>
              <w:szCs w:val="21"/>
              <w14:textFill>
                <w14:solidFill>
                  <w14:schemeClr w14:val="tx1"/>
                </w14:solidFill>
              </w14:textFill>
            </w:rPr>
            <w:instrText xml:space="preserve"> MACROBUTTON  SnrToggleCheckbox √适用 </w:instrText>
          </w:r>
          <w:r>
            <w:rPr>
              <w:rFonts w:ascii="宋体" w:hAnsi="宋体" w:cs="宋体"/>
              <w:color w:val="000000" w:themeColor="text1"/>
              <w:kern w:val="0"/>
              <w:szCs w:val="21"/>
              <w14:textFill>
                <w14:solidFill>
                  <w14:schemeClr w14:val="tx1"/>
                </w14:solidFill>
              </w14:textFill>
            </w:rPr>
            <w:fldChar w:fldCharType="end"/>
          </w:r>
          <w:r>
            <w:rPr>
              <w:rFonts w:ascii="宋体" w:hAnsi="宋体" w:cs="宋体"/>
              <w:color w:val="000000" w:themeColor="text1"/>
              <w:kern w:val="0"/>
              <w:szCs w:val="21"/>
              <w14:textFill>
                <w14:solidFill>
                  <w14:schemeClr w14:val="tx1"/>
                </w14:solidFill>
              </w14:textFill>
            </w:rPr>
            <w:fldChar w:fldCharType="begin"/>
          </w:r>
          <w:r>
            <w:rPr>
              <w:rFonts w:ascii="宋体" w:hAnsi="宋体" w:cs="宋体"/>
              <w:color w:val="000000" w:themeColor="text1"/>
              <w:kern w:val="0"/>
              <w:szCs w:val="21"/>
              <w14:textFill>
                <w14:solidFill>
                  <w14:schemeClr w14:val="tx1"/>
                </w14:solidFill>
              </w14:textFill>
            </w:rPr>
            <w:instrText xml:space="preserve"> MACROBUTTON  SnrToggleCheckbox □不适用 </w:instrText>
          </w:r>
          <w:r>
            <w:rPr>
              <w:rFonts w:ascii="宋体" w:hAnsi="宋体" w:cs="宋体"/>
              <w:color w:val="000000" w:themeColor="text1"/>
              <w:kern w:val="0"/>
              <w:szCs w:val="21"/>
              <w14:textFill>
                <w14:solidFill>
                  <w14:schemeClr w14:val="tx1"/>
                </w14:solidFill>
              </w14:textFill>
            </w:rPr>
            <w:fldChar w:fldCharType="end"/>
          </w:r>
        </w:p>
      </w:sdtContent>
    </w:sdt>
    <w:p w14:paraId="4C3C3EE7">
      <w:pPr>
        <w:pStyle w:val="55"/>
        <w:ind w:firstLine="0" w:firstLineChars="0"/>
        <w:jc w:val="righ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w:t>
      </w:r>
      <w:sdt>
        <w:sdtPr>
          <w:rPr>
            <w:rFonts w:hint="eastAsia" w:ascii="宋体" w:hAnsi="宋体"/>
            <w:color w:val="000000" w:themeColor="text1"/>
            <w:szCs w:val="21"/>
            <w14:textFill>
              <w14:solidFill>
                <w14:schemeClr w14:val="tx1"/>
              </w14:solidFill>
            </w14:textFill>
          </w:rPr>
          <w:alias w:val="单位：财务附注：递延收益"/>
          <w:tag w:val="_GBC_cf9505178ef64cd8b1a42757a7aaf77d"/>
          <w:id w:val="-209091634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元</w:t>
          </w:r>
        </w:sdtContent>
      </w:sdt>
      <w:r>
        <w:rPr>
          <w:rFonts w:hint="eastAsia" w:ascii="宋体" w:hAnsi="宋体"/>
          <w:color w:val="000000" w:themeColor="text1"/>
          <w:szCs w:val="21"/>
          <w14:textFill>
            <w14:solidFill>
              <w14:schemeClr w14:val="tx1"/>
            </w14:solidFill>
          </w14:textFill>
        </w:rPr>
        <w:t xml:space="preserve">  币种：</w:t>
      </w:r>
      <w:sdt>
        <w:sdtPr>
          <w:rPr>
            <w:rFonts w:hint="eastAsia" w:ascii="宋体" w:hAnsi="宋体"/>
            <w:color w:val="000000" w:themeColor="text1"/>
            <w:szCs w:val="21"/>
            <w14:textFill>
              <w14:solidFill>
                <w14:schemeClr w14:val="tx1"/>
              </w14:solidFill>
            </w14:textFill>
          </w:rPr>
          <w:alias w:val="币种：财务附注：递延收益"/>
          <w:tag w:val="_GBC_b7ba9c3d835b413e83140a438bc5c413"/>
          <w:id w:val="-3438705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9"/>
        <w:gridCol w:w="1431"/>
        <w:gridCol w:w="1445"/>
        <w:gridCol w:w="1429"/>
        <w:gridCol w:w="1473"/>
        <w:gridCol w:w="1556"/>
      </w:tblGrid>
      <w:tr w14:paraId="42D2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 w:hRule="atLeast"/>
        </w:trPr>
        <w:sdt>
          <w:sdtPr>
            <w:tag w:val="_PLD_eeb45564af314089916105a5217e0ff6"/>
            <w:id w:val="-792055962"/>
          </w:sdtPr>
          <w:sdtContent>
            <w:tc>
              <w:tcPr>
                <w:tcW w:w="844" w:type="pct"/>
                <w:vAlign w:val="center"/>
              </w:tcPr>
              <w:p w14:paraId="3E4611B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e0613743f99d4af58a75406a4e2ba5a1"/>
            <w:id w:val="-1722748298"/>
          </w:sdtPr>
          <w:sdtContent>
            <w:tc>
              <w:tcPr>
                <w:tcW w:w="811" w:type="pct"/>
                <w:vAlign w:val="center"/>
              </w:tcPr>
              <w:p w14:paraId="212181C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sdt>
          <w:sdtPr>
            <w:tag w:val="_PLD_a27f928ad4574fe594e5f995d7a37059"/>
            <w:id w:val="174399535"/>
          </w:sdtPr>
          <w:sdtContent>
            <w:tc>
              <w:tcPr>
                <w:tcW w:w="819" w:type="pct"/>
                <w:vAlign w:val="center"/>
              </w:tcPr>
              <w:p w14:paraId="1D7B836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本期增加</w:t>
                </w:r>
              </w:p>
            </w:tc>
          </w:sdtContent>
        </w:sdt>
        <w:sdt>
          <w:sdtPr>
            <w:tag w:val="_PLD_ed95bef3663d40fb90dd15d113f7f2c1"/>
            <w:id w:val="-49533343"/>
          </w:sdtPr>
          <w:sdtContent>
            <w:tc>
              <w:tcPr>
                <w:tcW w:w="810" w:type="pct"/>
                <w:vAlign w:val="center"/>
              </w:tcPr>
              <w:p w14:paraId="266D12C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本期减少</w:t>
                </w:r>
              </w:p>
            </w:tc>
          </w:sdtContent>
        </w:sdt>
        <w:sdt>
          <w:sdtPr>
            <w:tag w:val="_PLD_367cd0591009413e93857494eaf8170a"/>
            <w:id w:val="-2011981850"/>
          </w:sdtPr>
          <w:sdtContent>
            <w:tc>
              <w:tcPr>
                <w:tcW w:w="835" w:type="pct"/>
                <w:vAlign w:val="center"/>
              </w:tcPr>
              <w:p w14:paraId="41757E7C">
                <w:pPr>
                  <w:jc w:val="center"/>
                  <w:rPr>
                    <w:color w:val="000000" w:themeColor="text1"/>
                    <w14:textFill>
                      <w14:solidFill>
                        <w14:schemeClr w14:val="tx1"/>
                      </w14:solidFill>
                    </w14:textFill>
                  </w:rPr>
                </w:pPr>
                <w:bookmarkStart w:id="356" w:name="OLE_LINK66"/>
                <w:bookmarkStart w:id="357" w:name="OLE_LINK67"/>
                <w:r>
                  <w:rPr>
                    <w:rFonts w:hint="eastAsia"/>
                    <w:color w:val="000000" w:themeColor="text1"/>
                    <w14:textFill>
                      <w14:solidFill>
                        <w14:schemeClr w14:val="tx1"/>
                      </w14:solidFill>
                    </w14:textFill>
                  </w:rPr>
                  <w:t>期末余额</w:t>
                </w:r>
              </w:p>
              <w:bookmarkEnd w:id="356"/>
              <w:bookmarkEnd w:id="357"/>
            </w:tc>
          </w:sdtContent>
        </w:sdt>
        <w:sdt>
          <w:sdtPr>
            <w:tag w:val="_PLD_d61ffc61194047d79611cccd8488aece"/>
            <w:id w:val="-1119216541"/>
          </w:sdtPr>
          <w:sdtContent>
            <w:tc>
              <w:tcPr>
                <w:tcW w:w="881" w:type="pct"/>
                <w:vAlign w:val="center"/>
              </w:tcPr>
              <w:p w14:paraId="5382250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形成原因</w:t>
                </w:r>
              </w:p>
            </w:tc>
          </w:sdtContent>
        </w:sdt>
      </w:tr>
      <w:tr w14:paraId="028D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44" w:type="pct"/>
            <w:vAlign w:val="center"/>
          </w:tcPr>
          <w:p w14:paraId="1A28F949">
            <w:pPr>
              <w:rPr>
                <w:color w:val="000000" w:themeColor="text1"/>
                <w14:textFill>
                  <w14:solidFill>
                    <w14:schemeClr w14:val="tx1"/>
                  </w14:solidFill>
                </w14:textFill>
              </w:rPr>
            </w:pPr>
            <w:r>
              <w:rPr>
                <w:rFonts w:hint="eastAsia"/>
                <w:color w:val="000000" w:themeColor="text1"/>
                <w14:textFill>
                  <w14:solidFill>
                    <w14:schemeClr w14:val="tx1"/>
                  </w14:solidFill>
                </w14:textFill>
              </w:rPr>
              <w:t>与资产相关的政府补助</w:t>
            </w:r>
          </w:p>
        </w:tc>
        <w:tc>
          <w:tcPr>
            <w:tcW w:w="811" w:type="pct"/>
          </w:tcPr>
          <w:p w14:paraId="30F0310C">
            <w:pPr>
              <w:jc w:val="right"/>
            </w:pPr>
            <w:r>
              <w:t>94,135,366.21</w:t>
            </w:r>
          </w:p>
        </w:tc>
        <w:tc>
          <w:tcPr>
            <w:tcW w:w="819" w:type="pct"/>
          </w:tcPr>
          <w:p w14:paraId="099676CC">
            <w:pPr>
              <w:jc w:val="right"/>
            </w:pPr>
            <w:r>
              <w:t>3,000,000.00</w:t>
            </w:r>
          </w:p>
        </w:tc>
        <w:tc>
          <w:tcPr>
            <w:tcW w:w="810" w:type="pct"/>
          </w:tcPr>
          <w:p w14:paraId="6C5836FD">
            <w:pPr>
              <w:jc w:val="right"/>
            </w:pPr>
            <w:r>
              <w:t>4,766,037.02</w:t>
            </w:r>
          </w:p>
        </w:tc>
        <w:tc>
          <w:tcPr>
            <w:tcW w:w="835" w:type="pct"/>
          </w:tcPr>
          <w:p w14:paraId="0F4281AC">
            <w:pPr>
              <w:jc w:val="right"/>
            </w:pPr>
            <w:r>
              <w:t>92,369,329.19</w:t>
            </w:r>
          </w:p>
        </w:tc>
        <w:tc>
          <w:tcPr>
            <w:tcW w:w="881" w:type="pct"/>
          </w:tcPr>
          <w:p w14:paraId="05755D68"/>
        </w:tc>
      </w:tr>
      <w:tr w14:paraId="5173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44" w:type="pct"/>
            <w:vAlign w:val="center"/>
          </w:tcPr>
          <w:p w14:paraId="4F26C4D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811" w:type="pct"/>
          </w:tcPr>
          <w:p w14:paraId="1D5B8883">
            <w:pPr>
              <w:jc w:val="right"/>
            </w:pPr>
            <w:r>
              <w:t>94,135,366.21</w:t>
            </w:r>
          </w:p>
        </w:tc>
        <w:tc>
          <w:tcPr>
            <w:tcW w:w="819" w:type="pct"/>
          </w:tcPr>
          <w:p w14:paraId="5B90D9D6">
            <w:pPr>
              <w:jc w:val="right"/>
            </w:pPr>
            <w:r>
              <w:t>3,000,000.00</w:t>
            </w:r>
          </w:p>
        </w:tc>
        <w:tc>
          <w:tcPr>
            <w:tcW w:w="810" w:type="pct"/>
          </w:tcPr>
          <w:p w14:paraId="5F01D52F">
            <w:pPr>
              <w:jc w:val="right"/>
            </w:pPr>
            <w:r>
              <w:t>4,766,037.02</w:t>
            </w:r>
          </w:p>
        </w:tc>
        <w:tc>
          <w:tcPr>
            <w:tcW w:w="835" w:type="pct"/>
          </w:tcPr>
          <w:p w14:paraId="645C623C">
            <w:pPr>
              <w:jc w:val="right"/>
            </w:pPr>
            <w:r>
              <w:t>92,369,329.19</w:t>
            </w:r>
          </w:p>
        </w:tc>
        <w:tc>
          <w:tcPr>
            <w:tcW w:w="881" w:type="pct"/>
          </w:tcPr>
          <w:p w14:paraId="473182C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bl>
    <w:p w14:paraId="5925D5D1">
      <w:pPr>
        <w:rPr>
          <w:color w:val="000000" w:themeColor="text1"/>
          <w14:textFill>
            <w14:solidFill>
              <w14:schemeClr w14:val="tx1"/>
            </w14:solidFill>
          </w14:textFill>
        </w:rPr>
      </w:pPr>
    </w:p>
    <w:p w14:paraId="1B888A38">
      <w:pPr>
        <w:spacing w:before="60" w:after="60"/>
        <w:rPr>
          <w:color w:val="000000" w:themeColor="text1"/>
          <w14:textFill>
            <w14:solidFill>
              <w14:schemeClr w14:val="tx1"/>
            </w14:solidFill>
          </w14:textFill>
        </w:rPr>
      </w:pPr>
      <w:bookmarkStart w:id="358" w:name="_Hlk10537331"/>
      <w:bookmarkEnd w:id="358"/>
      <w:bookmarkStart w:id="359" w:name="OLE_LINK84"/>
      <w:bookmarkStart w:id="360" w:name="OLE_LINK85"/>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递延收益的其他说明[双击切换]"/>
        <w:tag w:val="_GBC_da5e8f76ba934c9e8efb4ab4d41c9f8c"/>
        <w:id w:val="1221942062"/>
        <w:placeholder>
          <w:docPart w:val="GBC22222222222222222222222222222"/>
        </w:placeholder>
      </w:sdtPr>
      <w:sdtEndPr>
        <w:rPr>
          <w:color w:val="000000" w:themeColor="text1"/>
          <w14:textFill>
            <w14:solidFill>
              <w14:schemeClr w14:val="tx1"/>
            </w14:solidFill>
          </w14:textFill>
        </w:rPr>
      </w:sdtEndPr>
      <w:sdtContent>
        <w:p w14:paraId="78D9B67B">
          <w:pPr>
            <w:spacing w:before="60" w:after="6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359"/>
    <w:bookmarkEnd w:id="360"/>
    <w:p w14:paraId="533A7489">
      <w:pPr>
        <w:snapToGrid w:val="0"/>
        <w:spacing w:line="240" w:lineRule="atLeast"/>
        <w:rPr>
          <w:color w:val="000000" w:themeColor="text1"/>
          <w14:textFill>
            <w14:solidFill>
              <w14:schemeClr w14:val="tx1"/>
            </w14:solidFill>
          </w14:textFill>
        </w:rPr>
      </w:pPr>
    </w:p>
    <w:p w14:paraId="04957C52">
      <w:pPr>
        <w:pStyle w:val="4"/>
        <w:numPr>
          <w:ilvl w:val="0"/>
          <w:numId w:val="53"/>
        </w:numPr>
        <w:tabs>
          <w:tab w:val="left" w:pos="504"/>
        </w:tabs>
        <w:rPr>
          <w:rFonts w:hint="eastAsia" w:ascii="宋体" w:hAnsi="宋体"/>
          <w:color w:val="000000" w:themeColor="text1"/>
          <w:szCs w:val="21"/>
          <w14:textFill>
            <w14:solidFill>
              <w14:schemeClr w14:val="tx1"/>
            </w14:solidFill>
          </w14:textFill>
        </w:rPr>
      </w:pPr>
      <w:bookmarkStart w:id="361" w:name="_Hlk10537430"/>
      <w:r>
        <w:rPr>
          <w:rFonts w:hint="eastAsia" w:ascii="宋体" w:hAnsi="宋体"/>
          <w:color w:val="000000" w:themeColor="text1"/>
          <w:szCs w:val="21"/>
          <w14:textFill>
            <w14:solidFill>
              <w14:schemeClr w14:val="tx1"/>
            </w14:solidFill>
          </w14:textFill>
        </w:rPr>
        <w:t>其他非流动负债</w:t>
      </w:r>
    </w:p>
    <w:sdt>
      <w:sdtPr>
        <w:rPr>
          <w:color w:val="000000" w:themeColor="text1"/>
          <w14:textFill>
            <w14:solidFill>
              <w14:schemeClr w14:val="tx1"/>
            </w14:solidFill>
          </w14:textFill>
        </w:rPr>
        <w:alias w:val="是否适用：其他非流动负债[双击切换]"/>
        <w:tag w:val="_GBC_bb8a5c7236564ec0823cbced5ea78e62"/>
        <w:id w:val="1449356981"/>
        <w:placeholder>
          <w:docPart w:val="GBC22222222222222222222222222222"/>
        </w:placeholder>
      </w:sdtPr>
      <w:sdtEndPr>
        <w:rPr>
          <w:color w:val="000000" w:themeColor="text1"/>
          <w14:textFill>
            <w14:solidFill>
              <w14:schemeClr w14:val="tx1"/>
            </w14:solidFill>
          </w14:textFill>
        </w:rPr>
      </w:sdtEndPr>
      <w:sdtContent>
        <w:p w14:paraId="75CF136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630337F">
      <w:pPr>
        <w:rPr>
          <w:color w:val="000000" w:themeColor="text1"/>
          <w14:textFill>
            <w14:solidFill>
              <w14:schemeClr w14:val="tx1"/>
            </w14:solidFill>
          </w14:textFill>
        </w:rPr>
      </w:pPr>
    </w:p>
    <w:bookmarkEnd w:id="361"/>
    <w:p w14:paraId="42345798">
      <w:pPr>
        <w:rPr>
          <w:color w:val="000000" w:themeColor="text1"/>
          <w14:textFill>
            <w14:solidFill>
              <w14:schemeClr w14:val="tx1"/>
            </w14:solidFill>
          </w14:textFill>
        </w:rPr>
      </w:pPr>
    </w:p>
    <w:p w14:paraId="6D112E7E">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股本</w:t>
      </w:r>
    </w:p>
    <w:sdt>
      <w:sdtPr>
        <w:rPr>
          <w:color w:val="000000" w:themeColor="text1"/>
          <w14:textFill>
            <w14:solidFill>
              <w14:schemeClr w14:val="tx1"/>
            </w14:solidFill>
          </w14:textFill>
        </w:rPr>
        <w:alias w:val="是否适用：股本[双击切换]"/>
        <w:tag w:val="_GBC_a88b08589cbb4302b29839808faa8a3b"/>
        <w:id w:val="-860348396"/>
        <w:placeholder>
          <w:docPart w:val="GBC22222222222222222222222222222"/>
        </w:placeholder>
      </w:sdtPr>
      <w:sdtEndPr>
        <w:rPr>
          <w:color w:val="000000" w:themeColor="text1"/>
          <w14:textFill>
            <w14:solidFill>
              <w14:schemeClr w14:val="tx1"/>
            </w14:solidFill>
          </w14:textFill>
        </w:rPr>
      </w:sdtEndPr>
      <w:sdtContent>
        <w:p w14:paraId="4731948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41BE984">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股本"/>
          <w:tag w:val="_GBC_cf915ea45a234de2a2455824dedc3c82"/>
          <w:id w:val="-2091093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股本"/>
          <w:tag w:val="_GBC_2dcc7ff328cf480296bdddce64b88cf1"/>
          <w:id w:val="164854374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83" w:type="pct"/>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1686"/>
        <w:gridCol w:w="848"/>
        <w:gridCol w:w="848"/>
        <w:gridCol w:w="917"/>
        <w:gridCol w:w="933"/>
        <w:gridCol w:w="904"/>
        <w:gridCol w:w="1686"/>
      </w:tblGrid>
      <w:tr w14:paraId="42B3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640" w:type="pct"/>
            <w:vMerge w:val="restart"/>
          </w:tcPr>
          <w:p w14:paraId="4DDA4B10">
            <w:pPr>
              <w:jc w:val="center"/>
              <w:rPr>
                <w:color w:val="000000" w:themeColor="text1"/>
                <w14:textFill>
                  <w14:solidFill>
                    <w14:schemeClr w14:val="tx1"/>
                  </w14:solidFill>
                </w14:textFill>
              </w:rPr>
            </w:pPr>
          </w:p>
        </w:tc>
        <w:sdt>
          <w:sdtPr>
            <w:tag w:val="_PLD_7ad9a0911e364e48bc565dc3ed809692"/>
            <w:id w:val="-1453706044"/>
          </w:sdtPr>
          <w:sdtContent>
            <w:tc>
              <w:tcPr>
                <w:tcW w:w="940" w:type="pct"/>
                <w:vMerge w:val="restart"/>
                <w:vAlign w:val="center"/>
              </w:tcPr>
              <w:p w14:paraId="4A7E840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sdt>
          <w:sdtPr>
            <w:tag w:val="_PLD_33945fdb28e344edaa7d118a9aa07d7d"/>
            <w:id w:val="-1980449917"/>
          </w:sdtPr>
          <w:sdtContent>
            <w:tc>
              <w:tcPr>
                <w:tcW w:w="2480" w:type="pct"/>
                <w:gridSpan w:val="5"/>
                <w:vAlign w:val="center"/>
              </w:tcPr>
              <w:p w14:paraId="729C950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本次变动增减（+、一）</w:t>
                </w:r>
              </w:p>
            </w:tc>
          </w:sdtContent>
        </w:sdt>
        <w:sdt>
          <w:sdtPr>
            <w:tag w:val="_PLD_a0390714e323429ab6e793f9a610df70"/>
            <w:id w:val="-392345506"/>
          </w:sdtPr>
          <w:sdtContent>
            <w:tc>
              <w:tcPr>
                <w:tcW w:w="940" w:type="pct"/>
                <w:vMerge w:val="restart"/>
                <w:vAlign w:val="center"/>
              </w:tcPr>
              <w:p w14:paraId="7C0E111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tr>
      <w:tr w14:paraId="5EF9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640" w:type="pct"/>
            <w:vMerge w:val="continue"/>
          </w:tcPr>
          <w:p w14:paraId="042E588E">
            <w:pPr>
              <w:rPr>
                <w:color w:val="000000" w:themeColor="text1"/>
                <w14:textFill>
                  <w14:solidFill>
                    <w14:schemeClr w14:val="tx1"/>
                  </w14:solidFill>
                </w14:textFill>
              </w:rPr>
            </w:pPr>
          </w:p>
        </w:tc>
        <w:tc>
          <w:tcPr>
            <w:tcW w:w="940" w:type="pct"/>
            <w:vMerge w:val="continue"/>
          </w:tcPr>
          <w:p w14:paraId="0107F4A4">
            <w:pPr>
              <w:ind w:left="-250" w:leftChars="-119" w:firstLine="249" w:firstLineChars="119"/>
              <w:rPr>
                <w:color w:val="000000" w:themeColor="text1"/>
                <w14:textFill>
                  <w14:solidFill>
                    <w14:schemeClr w14:val="tx1"/>
                  </w14:solidFill>
                </w14:textFill>
              </w:rPr>
            </w:pPr>
          </w:p>
        </w:tc>
        <w:sdt>
          <w:sdtPr>
            <w:tag w:val="_PLD_fe0b182c33854e5bb51d2d2a3cd1dd7f"/>
            <w:id w:val="-1599635907"/>
          </w:sdtPr>
          <w:sdtContent>
            <w:tc>
              <w:tcPr>
                <w:tcW w:w="473" w:type="pct"/>
                <w:vAlign w:val="center"/>
              </w:tcPr>
              <w:p w14:paraId="2940DBC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发行新股</w:t>
                </w:r>
              </w:p>
            </w:tc>
          </w:sdtContent>
        </w:sdt>
        <w:sdt>
          <w:sdtPr>
            <w:tag w:val="_PLD_80e7c94a1831488d89d22be722443897"/>
            <w:id w:val="1397933956"/>
          </w:sdtPr>
          <w:sdtContent>
            <w:tc>
              <w:tcPr>
                <w:tcW w:w="473" w:type="pct"/>
                <w:vAlign w:val="center"/>
              </w:tcPr>
              <w:p w14:paraId="383BE42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送股</w:t>
                </w:r>
              </w:p>
            </w:tc>
          </w:sdtContent>
        </w:sdt>
        <w:sdt>
          <w:sdtPr>
            <w:tag w:val="_PLD_c1d7f04883eb4aaa9c52067f145ec081"/>
            <w:id w:val="-1928328516"/>
          </w:sdtPr>
          <w:sdtContent>
            <w:tc>
              <w:tcPr>
                <w:tcW w:w="511" w:type="pct"/>
                <w:vAlign w:val="center"/>
              </w:tcPr>
              <w:p w14:paraId="6CAC1AA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公积金转股</w:t>
                </w:r>
              </w:p>
            </w:tc>
          </w:sdtContent>
        </w:sdt>
        <w:sdt>
          <w:sdtPr>
            <w:tag w:val="_PLD_6e44c9cf090243e19b20f1e88e8231ef"/>
            <w:id w:val="219177288"/>
          </w:sdtPr>
          <w:sdtContent>
            <w:tc>
              <w:tcPr>
                <w:tcW w:w="520" w:type="pct"/>
                <w:vAlign w:val="center"/>
              </w:tcPr>
              <w:p w14:paraId="218815B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sdtContent>
        </w:sdt>
        <w:sdt>
          <w:sdtPr>
            <w:tag w:val="_PLD_0cee72421f954c94ba296c709c84ef52"/>
            <w:id w:val="1614473661"/>
          </w:sdtPr>
          <w:sdtContent>
            <w:tc>
              <w:tcPr>
                <w:tcW w:w="504" w:type="pct"/>
                <w:vAlign w:val="center"/>
              </w:tcPr>
              <w:p w14:paraId="7CB5260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sdtContent>
        </w:sdt>
        <w:tc>
          <w:tcPr>
            <w:tcW w:w="940" w:type="pct"/>
            <w:vMerge w:val="continue"/>
          </w:tcPr>
          <w:p w14:paraId="4C7FD41F">
            <w:pPr>
              <w:rPr>
                <w:color w:val="000000" w:themeColor="text1"/>
                <w14:textFill>
                  <w14:solidFill>
                    <w14:schemeClr w14:val="tx1"/>
                  </w14:solidFill>
                </w14:textFill>
              </w:rPr>
            </w:pPr>
          </w:p>
        </w:tc>
      </w:tr>
      <w:tr w14:paraId="093A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0" w:type="pct"/>
          </w:tcPr>
          <w:p w14:paraId="25F644C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股份总数</w:t>
            </w:r>
          </w:p>
        </w:tc>
        <w:tc>
          <w:tcPr>
            <w:tcW w:w="940" w:type="pct"/>
            <w:vAlign w:val="center"/>
          </w:tcPr>
          <w:p w14:paraId="73BA766A">
            <w:pPr>
              <w:jc w:val="right"/>
            </w:pPr>
            <w:r>
              <w:t>1,460,994,304.00</w:t>
            </w:r>
          </w:p>
        </w:tc>
        <w:tc>
          <w:tcPr>
            <w:tcW w:w="473" w:type="pct"/>
            <w:vAlign w:val="center"/>
          </w:tcPr>
          <w:p w14:paraId="535DA9B5">
            <w:pPr>
              <w:jc w:val="right"/>
            </w:pPr>
          </w:p>
        </w:tc>
        <w:tc>
          <w:tcPr>
            <w:tcW w:w="473" w:type="pct"/>
            <w:vAlign w:val="center"/>
          </w:tcPr>
          <w:p w14:paraId="4B445F7E">
            <w:pPr>
              <w:jc w:val="right"/>
            </w:pPr>
          </w:p>
        </w:tc>
        <w:tc>
          <w:tcPr>
            <w:tcW w:w="511" w:type="pct"/>
            <w:vAlign w:val="center"/>
          </w:tcPr>
          <w:p w14:paraId="19103D57">
            <w:pPr>
              <w:jc w:val="right"/>
            </w:pPr>
          </w:p>
        </w:tc>
        <w:tc>
          <w:tcPr>
            <w:tcW w:w="520" w:type="pct"/>
            <w:vAlign w:val="center"/>
          </w:tcPr>
          <w:p w14:paraId="1F0E00E8">
            <w:pPr>
              <w:jc w:val="right"/>
            </w:pPr>
          </w:p>
        </w:tc>
        <w:tc>
          <w:tcPr>
            <w:tcW w:w="504" w:type="pct"/>
            <w:vAlign w:val="center"/>
          </w:tcPr>
          <w:p w14:paraId="77459700">
            <w:pPr>
              <w:jc w:val="right"/>
            </w:pPr>
          </w:p>
        </w:tc>
        <w:tc>
          <w:tcPr>
            <w:tcW w:w="940" w:type="pct"/>
            <w:vAlign w:val="center"/>
          </w:tcPr>
          <w:p w14:paraId="43BEC938">
            <w:pPr>
              <w:jc w:val="right"/>
            </w:pPr>
            <w:r>
              <w:t>1,460,994,304.00</w:t>
            </w:r>
          </w:p>
        </w:tc>
      </w:tr>
    </w:tbl>
    <w:p w14:paraId="1C4FA6D1">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股本变动情况说明"/>
        <w:tag w:val="_GBC_752687f835754470ad7a125ef32391e4"/>
        <w:id w:val="1771968965"/>
        <w:placeholder>
          <w:docPart w:val="GBC22222222222222222222222222222"/>
        </w:placeholder>
      </w:sdtPr>
      <w:sdtEndPr>
        <w:rPr>
          <w:color w:val="000000" w:themeColor="text1"/>
          <w14:textFill>
            <w14:solidFill>
              <w14:schemeClr w14:val="tx1"/>
            </w14:solidFill>
          </w14:textFill>
        </w:rPr>
      </w:sdtEndPr>
      <w:sdtContent>
        <w:p w14:paraId="36BF5CD8">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665997CB">
      <w:pPr>
        <w:rPr>
          <w:color w:val="000000" w:themeColor="text1"/>
          <w14:textFill>
            <w14:solidFill>
              <w14:schemeClr w14:val="tx1"/>
            </w14:solidFill>
          </w14:textFill>
        </w:rPr>
      </w:pPr>
    </w:p>
    <w:p w14:paraId="162131F9">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其</w:t>
      </w:r>
      <w:r>
        <w:rPr>
          <w:rFonts w:hint="eastAsia" w:ascii="宋体" w:hAnsi="宋体"/>
          <w:color w:val="000000" w:themeColor="text1"/>
          <w:szCs w:val="21"/>
          <w14:textFill>
            <w14:solidFill>
              <w14:schemeClr w14:val="tx1"/>
            </w14:solidFill>
          </w14:textFill>
        </w:rPr>
        <w:t>他权益工具</w:t>
      </w:r>
    </w:p>
    <w:p w14:paraId="1286CE2A">
      <w:pPr>
        <w:pStyle w:val="5"/>
        <w:numPr>
          <w:ilvl w:val="0"/>
          <w:numId w:val="85"/>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期末发行在外的优先股、永续债等其他金融工具基本情况</w:t>
      </w:r>
    </w:p>
    <w:sdt>
      <w:sdtPr>
        <w:rPr>
          <w:color w:val="000000" w:themeColor="text1"/>
          <w14:textFill>
            <w14:solidFill>
              <w14:schemeClr w14:val="tx1"/>
            </w14:solidFill>
          </w14:textFill>
        </w:rPr>
        <w:alias w:val="是否适用：期末发行在外的优先股、永续债等其他金融工具基本情况[双击切换]"/>
        <w:tag w:val="_GBC_54d54ac45fe745e1aad9be61a846261f"/>
        <w:id w:val="-457490950"/>
        <w:placeholder>
          <w:docPart w:val="GBC22222222222222222222222222222"/>
        </w:placeholder>
      </w:sdtPr>
      <w:sdtEndPr>
        <w:rPr>
          <w:color w:val="000000" w:themeColor="text1"/>
          <w14:textFill>
            <w14:solidFill>
              <w14:schemeClr w14:val="tx1"/>
            </w14:solidFill>
          </w14:textFill>
        </w:rPr>
      </w:sdtEndPr>
      <w:sdtContent>
        <w:p w14:paraId="0712BD9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4FF70C3">
      <w:pPr>
        <w:rPr>
          <w:color w:val="000000" w:themeColor="text1"/>
          <w14:textFill>
            <w14:solidFill>
              <w14:schemeClr w14:val="tx1"/>
            </w14:solidFill>
          </w14:textFill>
        </w:rPr>
      </w:pPr>
    </w:p>
    <w:p w14:paraId="0695EA2B">
      <w:pPr>
        <w:pStyle w:val="5"/>
        <w:numPr>
          <w:ilvl w:val="0"/>
          <w:numId w:val="85"/>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期末</w:t>
      </w:r>
      <w:r>
        <w:rPr>
          <w:rFonts w:hint="eastAsia" w:ascii="宋体" w:hAnsi="宋体"/>
          <w:color w:val="000000" w:themeColor="text1"/>
          <w14:textFill>
            <w14:solidFill>
              <w14:schemeClr w14:val="tx1"/>
            </w14:solidFill>
          </w14:textFill>
        </w:rPr>
        <w:t>发行</w:t>
      </w:r>
      <w:r>
        <w:rPr>
          <w:rFonts w:hint="eastAsia" w:ascii="宋体" w:hAnsi="宋体"/>
          <w:color w:val="000000" w:themeColor="text1"/>
          <w:szCs w:val="21"/>
          <w14:textFill>
            <w14:solidFill>
              <w14:schemeClr w14:val="tx1"/>
            </w14:solidFill>
          </w14:textFill>
        </w:rPr>
        <w:t>在外的优先股、永续债等金融工具变动情况表</w:t>
      </w:r>
    </w:p>
    <w:sdt>
      <w:sdtPr>
        <w:rPr>
          <w:color w:val="000000" w:themeColor="text1"/>
          <w14:textFill>
            <w14:solidFill>
              <w14:schemeClr w14:val="tx1"/>
            </w14:solidFill>
          </w14:textFill>
        </w:rPr>
        <w:alias w:val="是否适用：期末发行在外的优先股、永续债等金融工具变动情况表_其他权益工具[双击切换]"/>
        <w:tag w:val="_GBC_e8c53693e19e485cba80f7cd2a15ab4c"/>
        <w:id w:val="-1811858642"/>
        <w:placeholder>
          <w:docPart w:val="GBC22222222222222222222222222222"/>
        </w:placeholder>
      </w:sdtPr>
      <w:sdtEndPr>
        <w:rPr>
          <w:color w:val="000000" w:themeColor="text1"/>
          <w14:textFill>
            <w14:solidFill>
              <w14:schemeClr w14:val="tx1"/>
            </w14:solidFill>
          </w14:textFill>
        </w:rPr>
      </w:sdtEndPr>
      <w:sdtContent>
        <w:p w14:paraId="4E799E1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471379E">
      <w:pPr>
        <w:rPr>
          <w:color w:val="000000" w:themeColor="text1"/>
          <w14:textFill>
            <w14:solidFill>
              <w14:schemeClr w14:val="tx1"/>
            </w14:solidFill>
          </w14:textFill>
        </w:rPr>
      </w:pPr>
    </w:p>
    <w:p w14:paraId="2AB23AC3">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其他权益工具本期增减变动情况、变动原因说明，以及相关会计处理的依据：</w:t>
      </w:r>
    </w:p>
    <w:sdt>
      <w:sdtPr>
        <w:rPr>
          <w:color w:val="000000" w:themeColor="text1"/>
          <w14:textFill>
            <w14:solidFill>
              <w14:schemeClr w14:val="tx1"/>
            </w14:solidFill>
          </w14:textFill>
        </w:rPr>
        <w:alias w:val="是否适用：其他权益工具本期增减变动情况、变动原因说明，以及相关会计处理的依据[双击切换]"/>
        <w:tag w:val="_GBC_6229f0070f0a4c838e1e39f678f8a7bb"/>
        <w:id w:val="-1371595957"/>
        <w:placeholder>
          <w:docPart w:val="GBC22222222222222222222222222222"/>
        </w:placeholder>
      </w:sdtPr>
      <w:sdtEndPr>
        <w:rPr>
          <w:color w:val="000000" w:themeColor="text1"/>
          <w14:textFill>
            <w14:solidFill>
              <w14:schemeClr w14:val="tx1"/>
            </w14:solidFill>
          </w14:textFill>
        </w:rPr>
      </w:sdtEndPr>
      <w:sdtContent>
        <w:p w14:paraId="14900A6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4EC635D">
      <w:pPr>
        <w:rPr>
          <w:color w:val="000000" w:themeColor="text1"/>
          <w14:textFill>
            <w14:solidFill>
              <w14:schemeClr w14:val="tx1"/>
            </w14:solidFill>
          </w14:textFill>
        </w:rPr>
      </w:pPr>
    </w:p>
    <w:p w14:paraId="2BACE557">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其他权益工具的其他说明[双击切换]"/>
        <w:tag w:val="_GBC_297d299126b041159b18d012f9a18c2e"/>
        <w:id w:val="2090720587"/>
        <w:placeholder>
          <w:docPart w:val="GBC22222222222222222222222222222"/>
        </w:placeholder>
      </w:sdtPr>
      <w:sdtEndPr>
        <w:rPr>
          <w:color w:val="000000" w:themeColor="text1"/>
          <w14:textFill>
            <w14:solidFill>
              <w14:schemeClr w14:val="tx1"/>
            </w14:solidFill>
          </w14:textFill>
        </w:rPr>
      </w:sdtEndPr>
      <w:sdtContent>
        <w:p w14:paraId="14D778C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941EBF9">
      <w:pPr>
        <w:rPr>
          <w:color w:val="000000" w:themeColor="text1"/>
          <w14:textFill>
            <w14:solidFill>
              <w14:schemeClr w14:val="tx1"/>
            </w14:solidFill>
          </w14:textFill>
        </w:rPr>
      </w:pPr>
    </w:p>
    <w:p w14:paraId="61067C55">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资本公积</w:t>
      </w:r>
    </w:p>
    <w:sdt>
      <w:sdtPr>
        <w:rPr>
          <w:color w:val="000000" w:themeColor="text1"/>
          <w14:textFill>
            <w14:solidFill>
              <w14:schemeClr w14:val="tx1"/>
            </w14:solidFill>
          </w14:textFill>
        </w:rPr>
        <w:alias w:val="是否适用：资本公积[双击切换]"/>
        <w:tag w:val="_GBC_70f32b67ce344a03adfc93d4ed72949a"/>
        <w:id w:val="-1298753960"/>
        <w:placeholder>
          <w:docPart w:val="GBC22222222222222222222222222222"/>
        </w:placeholder>
      </w:sdtPr>
      <w:sdtEndPr>
        <w:rPr>
          <w:color w:val="000000" w:themeColor="text1"/>
          <w14:textFill>
            <w14:solidFill>
              <w14:schemeClr w14:val="tx1"/>
            </w14:solidFill>
          </w14:textFill>
        </w:rPr>
      </w:sdtEndPr>
      <w:sdtContent>
        <w:p w14:paraId="50DCB0A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D71E676">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资本公积"/>
          <w:tag w:val="_GBC_88633009fdc64f4e8238c38541b33615"/>
          <w:id w:val="370982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资本公积"/>
          <w:tag w:val="_GBC_636aa96d47cb426abc64fc00b61c9353"/>
          <w:id w:val="-974848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2"/>
        <w:gridCol w:w="1773"/>
        <w:gridCol w:w="1807"/>
        <w:gridCol w:w="1791"/>
        <w:gridCol w:w="1790"/>
      </w:tblGrid>
      <w:tr w14:paraId="5DEA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177c011500e64862903c4c16dbb2f31f"/>
            <w:id w:val="2047103859"/>
          </w:sdtPr>
          <w:sdtContent>
            <w:tc>
              <w:tcPr>
                <w:tcW w:w="942" w:type="pct"/>
                <w:vAlign w:val="center"/>
              </w:tcPr>
              <w:p w14:paraId="55A31701">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1519f0add67f49df9173f37c00215eef"/>
            <w:id w:val="-1253347289"/>
          </w:sdtPr>
          <w:sdtContent>
            <w:tc>
              <w:tcPr>
                <w:tcW w:w="1005" w:type="pct"/>
                <w:vAlign w:val="center"/>
              </w:tcPr>
              <w:p w14:paraId="6CB66EE8">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sdt>
          <w:sdtPr>
            <w:tag w:val="_PLD_dcbf1fd9bcaa41fc8ff4def2d0e55143"/>
            <w:id w:val="-687605530"/>
          </w:sdtPr>
          <w:sdtContent>
            <w:tc>
              <w:tcPr>
                <w:tcW w:w="1024" w:type="pct"/>
                <w:vAlign w:val="center"/>
              </w:tcPr>
              <w:p w14:paraId="2DC9A98D">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本期增加</w:t>
                </w:r>
              </w:p>
            </w:tc>
          </w:sdtContent>
        </w:sdt>
        <w:sdt>
          <w:sdtPr>
            <w:tag w:val="_PLD_9d88d0ce99474d389c660c414306497d"/>
            <w:id w:val="243921962"/>
          </w:sdtPr>
          <w:sdtContent>
            <w:tc>
              <w:tcPr>
                <w:tcW w:w="1015" w:type="pct"/>
                <w:vAlign w:val="center"/>
              </w:tcPr>
              <w:p w14:paraId="2C7A5606">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本期减少</w:t>
                </w:r>
              </w:p>
            </w:tc>
          </w:sdtContent>
        </w:sdt>
        <w:sdt>
          <w:sdtPr>
            <w:tag w:val="_PLD_4c3f2255a4a24c1cae63eb0cc7781f12"/>
            <w:id w:val="1835805596"/>
          </w:sdtPr>
          <w:sdtContent>
            <w:tc>
              <w:tcPr>
                <w:tcW w:w="1014" w:type="pct"/>
                <w:vAlign w:val="center"/>
              </w:tcPr>
              <w:p w14:paraId="6C42E8D0">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tr>
      <w:tr w14:paraId="43D5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pct"/>
          </w:tcPr>
          <w:p w14:paraId="02DBA0D2">
            <w:pPr>
              <w:autoSpaceDE w:val="0"/>
              <w:autoSpaceDN w:val="0"/>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资本溢价（股本溢价）</w:t>
            </w:r>
          </w:p>
        </w:tc>
        <w:tc>
          <w:tcPr>
            <w:tcW w:w="1005" w:type="pct"/>
          </w:tcPr>
          <w:p w14:paraId="3EB55030">
            <w:pPr>
              <w:autoSpaceDE w:val="0"/>
              <w:autoSpaceDN w:val="0"/>
              <w:adjustRightInd w:val="0"/>
              <w:snapToGrid w:val="0"/>
              <w:jc w:val="right"/>
            </w:pPr>
            <w:r>
              <w:t>278,121,637.58</w:t>
            </w:r>
          </w:p>
        </w:tc>
        <w:tc>
          <w:tcPr>
            <w:tcW w:w="1024" w:type="pct"/>
          </w:tcPr>
          <w:p w14:paraId="4CD2083F">
            <w:pPr>
              <w:autoSpaceDE w:val="0"/>
              <w:autoSpaceDN w:val="0"/>
              <w:adjustRightInd w:val="0"/>
              <w:snapToGrid w:val="0"/>
              <w:jc w:val="right"/>
            </w:pPr>
          </w:p>
        </w:tc>
        <w:tc>
          <w:tcPr>
            <w:tcW w:w="1015" w:type="pct"/>
          </w:tcPr>
          <w:p w14:paraId="30933C51">
            <w:pPr>
              <w:autoSpaceDE w:val="0"/>
              <w:autoSpaceDN w:val="0"/>
              <w:adjustRightInd w:val="0"/>
              <w:snapToGrid w:val="0"/>
              <w:jc w:val="right"/>
            </w:pPr>
          </w:p>
        </w:tc>
        <w:tc>
          <w:tcPr>
            <w:tcW w:w="1014" w:type="pct"/>
          </w:tcPr>
          <w:p w14:paraId="1B7DCAB1">
            <w:pPr>
              <w:autoSpaceDE w:val="0"/>
              <w:autoSpaceDN w:val="0"/>
              <w:adjustRightInd w:val="0"/>
              <w:snapToGrid w:val="0"/>
              <w:jc w:val="right"/>
            </w:pPr>
            <w:r>
              <w:t>278,121,637.58</w:t>
            </w:r>
          </w:p>
        </w:tc>
      </w:tr>
      <w:tr w14:paraId="761A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pct"/>
          </w:tcPr>
          <w:p w14:paraId="7624A32F">
            <w:pPr>
              <w:autoSpaceDE w:val="0"/>
              <w:autoSpaceDN w:val="0"/>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其他资本公积</w:t>
            </w:r>
          </w:p>
        </w:tc>
        <w:tc>
          <w:tcPr>
            <w:tcW w:w="1005" w:type="pct"/>
          </w:tcPr>
          <w:p w14:paraId="76953DC7">
            <w:pPr>
              <w:autoSpaceDE w:val="0"/>
              <w:autoSpaceDN w:val="0"/>
              <w:adjustRightInd w:val="0"/>
              <w:snapToGrid w:val="0"/>
              <w:jc w:val="right"/>
            </w:pPr>
            <w:r>
              <w:t>116,817,148.21</w:t>
            </w:r>
          </w:p>
        </w:tc>
        <w:tc>
          <w:tcPr>
            <w:tcW w:w="1024" w:type="pct"/>
          </w:tcPr>
          <w:p w14:paraId="566FF74C">
            <w:pPr>
              <w:autoSpaceDE w:val="0"/>
              <w:autoSpaceDN w:val="0"/>
              <w:adjustRightInd w:val="0"/>
              <w:snapToGrid w:val="0"/>
              <w:jc w:val="right"/>
            </w:pPr>
          </w:p>
        </w:tc>
        <w:tc>
          <w:tcPr>
            <w:tcW w:w="1015" w:type="pct"/>
          </w:tcPr>
          <w:p w14:paraId="206F1021">
            <w:pPr>
              <w:autoSpaceDE w:val="0"/>
              <w:autoSpaceDN w:val="0"/>
              <w:adjustRightInd w:val="0"/>
              <w:snapToGrid w:val="0"/>
              <w:jc w:val="right"/>
            </w:pPr>
          </w:p>
        </w:tc>
        <w:tc>
          <w:tcPr>
            <w:tcW w:w="1014" w:type="pct"/>
          </w:tcPr>
          <w:p w14:paraId="5FCA7C95">
            <w:pPr>
              <w:autoSpaceDE w:val="0"/>
              <w:autoSpaceDN w:val="0"/>
              <w:adjustRightInd w:val="0"/>
              <w:snapToGrid w:val="0"/>
              <w:jc w:val="right"/>
            </w:pPr>
            <w:r>
              <w:t>116,817,148.21</w:t>
            </w:r>
          </w:p>
        </w:tc>
      </w:tr>
      <w:tr w14:paraId="4D8A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pct"/>
            <w:vAlign w:val="center"/>
          </w:tcPr>
          <w:p w14:paraId="0759CDA3">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005" w:type="pct"/>
          </w:tcPr>
          <w:p w14:paraId="1B32925A">
            <w:pPr>
              <w:autoSpaceDE w:val="0"/>
              <w:autoSpaceDN w:val="0"/>
              <w:adjustRightInd w:val="0"/>
              <w:snapToGrid w:val="0"/>
              <w:jc w:val="right"/>
            </w:pPr>
            <w:r>
              <w:t>394,938,785.79</w:t>
            </w:r>
          </w:p>
        </w:tc>
        <w:tc>
          <w:tcPr>
            <w:tcW w:w="1024" w:type="pct"/>
          </w:tcPr>
          <w:p w14:paraId="7E2539A5">
            <w:pPr>
              <w:autoSpaceDE w:val="0"/>
              <w:autoSpaceDN w:val="0"/>
              <w:adjustRightInd w:val="0"/>
              <w:snapToGrid w:val="0"/>
              <w:jc w:val="right"/>
            </w:pPr>
          </w:p>
        </w:tc>
        <w:tc>
          <w:tcPr>
            <w:tcW w:w="1015" w:type="pct"/>
          </w:tcPr>
          <w:p w14:paraId="75215C8F">
            <w:pPr>
              <w:autoSpaceDE w:val="0"/>
              <w:autoSpaceDN w:val="0"/>
              <w:adjustRightInd w:val="0"/>
              <w:snapToGrid w:val="0"/>
              <w:jc w:val="right"/>
            </w:pPr>
          </w:p>
        </w:tc>
        <w:tc>
          <w:tcPr>
            <w:tcW w:w="1014" w:type="pct"/>
          </w:tcPr>
          <w:p w14:paraId="1BE8D043">
            <w:pPr>
              <w:autoSpaceDE w:val="0"/>
              <w:autoSpaceDN w:val="0"/>
              <w:adjustRightInd w:val="0"/>
              <w:snapToGrid w:val="0"/>
              <w:jc w:val="right"/>
            </w:pPr>
            <w:r>
              <w:t>394,938,785.79</w:t>
            </w:r>
          </w:p>
        </w:tc>
      </w:tr>
    </w:tbl>
    <w:p w14:paraId="5283E6CC">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其他说明，包括本期增减变动情况、变动原因说明：</w:t>
      </w:r>
    </w:p>
    <w:p w14:paraId="293A057D">
      <w:pPr>
        <w:rPr>
          <w:color w:val="000000" w:themeColor="text1"/>
          <w14:textFill>
            <w14:solidFill>
              <w14:schemeClr w14:val="tx1"/>
            </w14:solidFill>
          </w14:textFill>
        </w:rPr>
      </w:pPr>
      <w:sdt>
        <w:sdtPr>
          <w:rPr>
            <w:color w:val="000000" w:themeColor="text1"/>
            <w14:textFill>
              <w14:solidFill>
                <w14:schemeClr w14:val="tx1"/>
              </w14:solidFill>
            </w14:textFill>
          </w:rPr>
          <w:alias w:val="资本公积说明"/>
          <w:tag w:val="_GBC_014f0762b4274266bec2aa5231aa0981"/>
          <w:id w:val="1081403869"/>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无</w:t>
          </w:r>
        </w:sdtContent>
      </w:sdt>
    </w:p>
    <w:p w14:paraId="31F15D09">
      <w:pPr>
        <w:rPr>
          <w:color w:val="000000" w:themeColor="text1"/>
          <w14:textFill>
            <w14:solidFill>
              <w14:schemeClr w14:val="tx1"/>
            </w14:solidFill>
          </w14:textFill>
        </w:rPr>
      </w:pPr>
    </w:p>
    <w:p w14:paraId="138AE6D5">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库存股</w:t>
      </w:r>
    </w:p>
    <w:sdt>
      <w:sdtPr>
        <w:rPr>
          <w:color w:val="000000" w:themeColor="text1"/>
          <w14:textFill>
            <w14:solidFill>
              <w14:schemeClr w14:val="tx1"/>
            </w14:solidFill>
          </w14:textFill>
        </w:rPr>
        <w:alias w:val="是否适用：库存股[双击切换]"/>
        <w:tag w:val="_GBC_4aa47a6d9b1044aa8a049146d42c3e9c"/>
        <w:id w:val="1054968875"/>
        <w:placeholder>
          <w:docPart w:val="GBC22222222222222222222222222222"/>
        </w:placeholder>
      </w:sdtPr>
      <w:sdtEndPr>
        <w:rPr>
          <w:color w:val="000000" w:themeColor="text1"/>
          <w14:textFill>
            <w14:solidFill>
              <w14:schemeClr w14:val="tx1"/>
            </w14:solidFill>
          </w14:textFill>
        </w:rPr>
      </w:sdtEndPr>
      <w:sdtContent>
        <w:p w14:paraId="52C63492">
          <w:pPr>
            <w:rPr>
              <w:b/>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10B2A8D">
      <w:pPr>
        <w:rPr>
          <w:b/>
          <w:color w:val="000000" w:themeColor="text1"/>
          <w14:textFill>
            <w14:solidFill>
              <w14:schemeClr w14:val="tx1"/>
            </w14:solidFill>
          </w14:textFill>
        </w:rPr>
      </w:pPr>
    </w:p>
    <w:p w14:paraId="546C4D65">
      <w:pPr>
        <w:rPr>
          <w:color w:val="000000" w:themeColor="text1"/>
          <w14:textFill>
            <w14:solidFill>
              <w14:schemeClr w14:val="tx1"/>
            </w14:solidFill>
          </w14:textFill>
        </w:rPr>
      </w:pPr>
    </w:p>
    <w:p w14:paraId="59E2045D">
      <w:pPr>
        <w:pStyle w:val="4"/>
        <w:numPr>
          <w:ilvl w:val="0"/>
          <w:numId w:val="53"/>
        </w:numPr>
        <w:tabs>
          <w:tab w:val="left" w:pos="504"/>
        </w:tabs>
        <w:rPr>
          <w:rFonts w:hint="eastAsia" w:ascii="宋体" w:hAnsi="宋体"/>
          <w:color w:val="000000" w:themeColor="text1"/>
          <w:szCs w:val="21"/>
          <w14:textFill>
            <w14:solidFill>
              <w14:schemeClr w14:val="tx1"/>
            </w14:solidFill>
          </w14:textFill>
        </w:rPr>
      </w:pPr>
      <w:bookmarkStart w:id="362" w:name="_Hlk10537776"/>
      <w:r>
        <w:rPr>
          <w:rFonts w:hint="eastAsia" w:ascii="宋体" w:hAnsi="宋体"/>
          <w:color w:val="000000" w:themeColor="text1"/>
          <w:szCs w:val="21"/>
          <w14:textFill>
            <w14:solidFill>
              <w14:schemeClr w14:val="tx1"/>
            </w14:solidFill>
          </w14:textFill>
        </w:rPr>
        <w:t>其他综合收益</w:t>
      </w:r>
    </w:p>
    <w:sdt>
      <w:sdtPr>
        <w:rPr>
          <w:color w:val="000000" w:themeColor="text1"/>
          <w14:textFill>
            <w14:solidFill>
              <w14:schemeClr w14:val="tx1"/>
            </w14:solidFill>
          </w14:textFill>
        </w:rPr>
        <w:alias w:val="是否适用：其他综合收益[双击切换]"/>
        <w:tag w:val="_GBC_a53cc67f2be24dfbbe3af1b633d9bd6d"/>
        <w:id w:val="1253310232"/>
        <w:placeholder>
          <w:docPart w:val="GBC22222222222222222222222222222"/>
        </w:placeholder>
      </w:sdtPr>
      <w:sdtEndPr>
        <w:rPr>
          <w:color w:val="000000" w:themeColor="text1"/>
          <w14:textFill>
            <w14:solidFill>
              <w14:schemeClr w14:val="tx1"/>
            </w14:solidFill>
          </w14:textFill>
        </w:rPr>
      </w:sdtEndPr>
      <w:sdtContent>
        <w:p w14:paraId="4ECE5A7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3F12528">
      <w:pPr>
        <w:rPr>
          <w:color w:val="000000" w:themeColor="text1"/>
          <w14:textFill>
            <w14:solidFill>
              <w14:schemeClr w14:val="tx1"/>
            </w14:solidFill>
          </w14:textFill>
        </w:rPr>
      </w:pPr>
    </w:p>
    <w:bookmarkEnd w:id="362"/>
    <w:p w14:paraId="652B5BA7">
      <w:pPr>
        <w:rPr>
          <w:color w:val="000000" w:themeColor="text1"/>
          <w14:textFill>
            <w14:solidFill>
              <w14:schemeClr w14:val="tx1"/>
            </w14:solidFill>
          </w14:textFill>
        </w:rPr>
      </w:pPr>
    </w:p>
    <w:p w14:paraId="4B67F3A1">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专项储备</w:t>
      </w:r>
    </w:p>
    <w:sdt>
      <w:sdtPr>
        <w:rPr>
          <w:color w:val="000000" w:themeColor="text1"/>
          <w14:textFill>
            <w14:solidFill>
              <w14:schemeClr w14:val="tx1"/>
            </w14:solidFill>
          </w14:textFill>
        </w:rPr>
        <w:alias w:val="是否适用：专项储备[双击切换]"/>
        <w:tag w:val="_GBC_291ec3c1c38144a3ac0bde67edb318cc"/>
        <w:id w:val="1979494511"/>
        <w:placeholder>
          <w:docPart w:val="GBC22222222222222222222222222222"/>
        </w:placeholder>
      </w:sdtPr>
      <w:sdtEndPr>
        <w:rPr>
          <w:color w:val="000000" w:themeColor="text1"/>
          <w14:textFill>
            <w14:solidFill>
              <w14:schemeClr w14:val="tx1"/>
            </w14:solidFill>
          </w14:textFill>
        </w:rPr>
      </w:sdtEndPr>
      <w:sdtContent>
        <w:p w14:paraId="6DFA38C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5D4C416">
      <w:pPr>
        <w:rPr>
          <w:color w:val="000000" w:themeColor="text1"/>
          <w14:textFill>
            <w14:solidFill>
              <w14:schemeClr w14:val="tx1"/>
            </w14:solidFill>
          </w14:textFill>
        </w:rPr>
      </w:pPr>
    </w:p>
    <w:p w14:paraId="2E736539">
      <w:pPr>
        <w:rPr>
          <w:color w:val="000000" w:themeColor="text1"/>
          <w14:textFill>
            <w14:solidFill>
              <w14:schemeClr w14:val="tx1"/>
            </w14:solidFill>
          </w14:textFill>
        </w:rPr>
      </w:pPr>
    </w:p>
    <w:p w14:paraId="1BFEFE65">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盈余公积</w:t>
      </w:r>
    </w:p>
    <w:sdt>
      <w:sdtPr>
        <w:rPr>
          <w:color w:val="000000" w:themeColor="text1"/>
          <w14:textFill>
            <w14:solidFill>
              <w14:schemeClr w14:val="tx1"/>
            </w14:solidFill>
          </w14:textFill>
        </w:rPr>
        <w:alias w:val="是否适用：盈余公积[双击切换]"/>
        <w:tag w:val="_GBC_52b9917fb423490bb32a9d6648a07db9"/>
        <w:id w:val="-1412996046"/>
        <w:placeholder>
          <w:docPart w:val="GBC22222222222222222222222222222"/>
        </w:placeholder>
      </w:sdtPr>
      <w:sdtEndPr>
        <w:rPr>
          <w:color w:val="000000" w:themeColor="text1"/>
          <w14:textFill>
            <w14:solidFill>
              <w14:schemeClr w14:val="tx1"/>
            </w14:solidFill>
          </w14:textFill>
        </w:rPr>
      </w:sdtEndPr>
      <w:sdtContent>
        <w:p w14:paraId="2072357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87B0394">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盈余公积"/>
          <w:tag w:val="_GBC_ea3204141ce3498eaccd14c833f64973"/>
          <w:id w:val="81776900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盈余公积"/>
          <w:tag w:val="_GBC_f5c6664d47b9454d919a38095dd3c48d"/>
          <w:id w:val="21292792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1659"/>
        <w:gridCol w:w="1784"/>
        <w:gridCol w:w="1789"/>
        <w:gridCol w:w="1802"/>
        <w:gridCol w:w="1789"/>
      </w:tblGrid>
      <w:tr w14:paraId="0BA10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sdt>
          <w:sdtPr>
            <w:tag w:val="_PLD_70f0cea3df9b4646bf8f9454719b4599"/>
            <w:id w:val="880834140"/>
          </w:sdtPr>
          <w:sdtContent>
            <w:tc>
              <w:tcPr>
                <w:tcW w:w="940" w:type="pct"/>
              </w:tcPr>
              <w:p w14:paraId="024538AF">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5466d5e3c2b64aeb9abc2e1a21f2e6c0"/>
            <w:id w:val="356091068"/>
          </w:sdtPr>
          <w:sdtContent>
            <w:tc>
              <w:tcPr>
                <w:tcW w:w="1011" w:type="pct"/>
              </w:tcPr>
              <w:p w14:paraId="349C44FA">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sdt>
          <w:sdtPr>
            <w:tag w:val="_PLD_44b0c825c55949b98cff671f8777dd39"/>
            <w:id w:val="-1920558178"/>
          </w:sdtPr>
          <w:sdtContent>
            <w:tc>
              <w:tcPr>
                <w:tcW w:w="1014" w:type="pct"/>
              </w:tcPr>
              <w:p w14:paraId="6A0EF586">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本期增加</w:t>
                </w:r>
              </w:p>
            </w:tc>
          </w:sdtContent>
        </w:sdt>
        <w:sdt>
          <w:sdtPr>
            <w:tag w:val="_PLD_111b02bee52f4f1a879468aa2243106f"/>
            <w:id w:val="1592117333"/>
          </w:sdtPr>
          <w:sdtContent>
            <w:tc>
              <w:tcPr>
                <w:tcW w:w="1021" w:type="pct"/>
              </w:tcPr>
              <w:p w14:paraId="5AEE0A31">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本期减少</w:t>
                </w:r>
              </w:p>
            </w:tc>
          </w:sdtContent>
        </w:sdt>
        <w:sdt>
          <w:sdtPr>
            <w:tag w:val="_PLD_e6d9dff1341d44c99d9c3f51d8fd2c2f"/>
            <w:id w:val="-1165617907"/>
          </w:sdtPr>
          <w:sdtContent>
            <w:tc>
              <w:tcPr>
                <w:tcW w:w="1014" w:type="pct"/>
              </w:tcPr>
              <w:p w14:paraId="7909E4F2">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tr>
      <w:tr w14:paraId="57E2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40" w:type="pct"/>
            <w:vAlign w:val="center"/>
          </w:tcPr>
          <w:p w14:paraId="3CB15975">
            <w:pPr>
              <w:autoSpaceDE w:val="0"/>
              <w:autoSpaceDN w:val="0"/>
              <w:adjustRightInd w:val="0"/>
              <w:snapToGrid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法定盈余公积</w:t>
            </w:r>
          </w:p>
        </w:tc>
        <w:tc>
          <w:tcPr>
            <w:tcW w:w="1011" w:type="pct"/>
          </w:tcPr>
          <w:p w14:paraId="7AC1BC82">
            <w:pPr>
              <w:autoSpaceDE w:val="0"/>
              <w:autoSpaceDN w:val="0"/>
              <w:adjustRightInd w:val="0"/>
              <w:snapToGrid w:val="0"/>
              <w:ind w:right="180"/>
              <w:jc w:val="right"/>
            </w:pPr>
            <w:r>
              <w:t>275,429,601.44</w:t>
            </w:r>
          </w:p>
        </w:tc>
        <w:tc>
          <w:tcPr>
            <w:tcW w:w="1014" w:type="pct"/>
          </w:tcPr>
          <w:p w14:paraId="7569D3B7">
            <w:pPr>
              <w:autoSpaceDE w:val="0"/>
              <w:autoSpaceDN w:val="0"/>
              <w:adjustRightInd w:val="0"/>
              <w:snapToGrid w:val="0"/>
              <w:ind w:right="180"/>
              <w:jc w:val="right"/>
            </w:pPr>
          </w:p>
        </w:tc>
        <w:tc>
          <w:tcPr>
            <w:tcW w:w="1021" w:type="pct"/>
          </w:tcPr>
          <w:p w14:paraId="77EC037F">
            <w:pPr>
              <w:autoSpaceDE w:val="0"/>
              <w:autoSpaceDN w:val="0"/>
              <w:adjustRightInd w:val="0"/>
              <w:snapToGrid w:val="0"/>
              <w:ind w:right="180"/>
              <w:jc w:val="right"/>
            </w:pPr>
          </w:p>
        </w:tc>
        <w:tc>
          <w:tcPr>
            <w:tcW w:w="1014" w:type="pct"/>
          </w:tcPr>
          <w:p w14:paraId="344F0E42">
            <w:pPr>
              <w:autoSpaceDE w:val="0"/>
              <w:autoSpaceDN w:val="0"/>
              <w:adjustRightInd w:val="0"/>
              <w:snapToGrid w:val="0"/>
              <w:ind w:right="180"/>
              <w:jc w:val="right"/>
            </w:pPr>
            <w:r>
              <w:t>275,429,601.44</w:t>
            </w:r>
          </w:p>
        </w:tc>
      </w:tr>
      <w:tr w14:paraId="4AB8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40" w:type="pct"/>
            <w:vAlign w:val="center"/>
          </w:tcPr>
          <w:p w14:paraId="304CF3FC">
            <w:pPr>
              <w:autoSpaceDE w:val="0"/>
              <w:autoSpaceDN w:val="0"/>
              <w:adjustRightInd w:val="0"/>
              <w:snapToGrid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任意盈余公积</w:t>
            </w:r>
          </w:p>
        </w:tc>
        <w:tc>
          <w:tcPr>
            <w:tcW w:w="1011" w:type="pct"/>
          </w:tcPr>
          <w:p w14:paraId="1338CBF6">
            <w:pPr>
              <w:autoSpaceDE w:val="0"/>
              <w:autoSpaceDN w:val="0"/>
              <w:adjustRightInd w:val="0"/>
              <w:snapToGrid w:val="0"/>
              <w:ind w:right="180"/>
              <w:jc w:val="right"/>
            </w:pPr>
          </w:p>
        </w:tc>
        <w:tc>
          <w:tcPr>
            <w:tcW w:w="1014" w:type="pct"/>
          </w:tcPr>
          <w:p w14:paraId="04F565CD">
            <w:pPr>
              <w:autoSpaceDE w:val="0"/>
              <w:autoSpaceDN w:val="0"/>
              <w:adjustRightInd w:val="0"/>
              <w:snapToGrid w:val="0"/>
              <w:ind w:right="180"/>
              <w:jc w:val="right"/>
            </w:pPr>
          </w:p>
        </w:tc>
        <w:tc>
          <w:tcPr>
            <w:tcW w:w="1021" w:type="pct"/>
          </w:tcPr>
          <w:p w14:paraId="554F1D3F">
            <w:pPr>
              <w:autoSpaceDE w:val="0"/>
              <w:autoSpaceDN w:val="0"/>
              <w:adjustRightInd w:val="0"/>
              <w:snapToGrid w:val="0"/>
              <w:ind w:right="180"/>
              <w:jc w:val="right"/>
            </w:pPr>
          </w:p>
        </w:tc>
        <w:tc>
          <w:tcPr>
            <w:tcW w:w="1014" w:type="pct"/>
          </w:tcPr>
          <w:p w14:paraId="5721E76E">
            <w:pPr>
              <w:autoSpaceDE w:val="0"/>
              <w:autoSpaceDN w:val="0"/>
              <w:adjustRightInd w:val="0"/>
              <w:snapToGrid w:val="0"/>
              <w:ind w:right="180"/>
              <w:jc w:val="right"/>
            </w:pPr>
          </w:p>
        </w:tc>
      </w:tr>
      <w:tr w14:paraId="342A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40" w:type="pct"/>
            <w:vAlign w:val="center"/>
          </w:tcPr>
          <w:p w14:paraId="1CD0E529">
            <w:pPr>
              <w:autoSpaceDE w:val="0"/>
              <w:autoSpaceDN w:val="0"/>
              <w:adjustRightInd w:val="0"/>
              <w:snapToGrid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储备基金</w:t>
            </w:r>
          </w:p>
        </w:tc>
        <w:tc>
          <w:tcPr>
            <w:tcW w:w="1011" w:type="pct"/>
          </w:tcPr>
          <w:p w14:paraId="14F41390">
            <w:pPr>
              <w:autoSpaceDE w:val="0"/>
              <w:autoSpaceDN w:val="0"/>
              <w:adjustRightInd w:val="0"/>
              <w:snapToGrid w:val="0"/>
              <w:ind w:right="180"/>
              <w:jc w:val="right"/>
            </w:pPr>
          </w:p>
        </w:tc>
        <w:tc>
          <w:tcPr>
            <w:tcW w:w="1014" w:type="pct"/>
          </w:tcPr>
          <w:p w14:paraId="729F4198">
            <w:pPr>
              <w:autoSpaceDE w:val="0"/>
              <w:autoSpaceDN w:val="0"/>
              <w:adjustRightInd w:val="0"/>
              <w:snapToGrid w:val="0"/>
              <w:ind w:right="180"/>
              <w:jc w:val="right"/>
            </w:pPr>
          </w:p>
        </w:tc>
        <w:tc>
          <w:tcPr>
            <w:tcW w:w="1021" w:type="pct"/>
          </w:tcPr>
          <w:p w14:paraId="62A44C98">
            <w:pPr>
              <w:autoSpaceDE w:val="0"/>
              <w:autoSpaceDN w:val="0"/>
              <w:adjustRightInd w:val="0"/>
              <w:snapToGrid w:val="0"/>
              <w:ind w:right="180"/>
              <w:jc w:val="right"/>
            </w:pPr>
          </w:p>
        </w:tc>
        <w:tc>
          <w:tcPr>
            <w:tcW w:w="1014" w:type="pct"/>
          </w:tcPr>
          <w:p w14:paraId="541B3E1B">
            <w:pPr>
              <w:autoSpaceDE w:val="0"/>
              <w:autoSpaceDN w:val="0"/>
              <w:adjustRightInd w:val="0"/>
              <w:snapToGrid w:val="0"/>
              <w:ind w:right="180"/>
              <w:jc w:val="right"/>
            </w:pPr>
          </w:p>
        </w:tc>
      </w:tr>
      <w:tr w14:paraId="1FA5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40" w:type="pct"/>
            <w:vAlign w:val="center"/>
          </w:tcPr>
          <w:p w14:paraId="5C565B1E">
            <w:pPr>
              <w:autoSpaceDE w:val="0"/>
              <w:autoSpaceDN w:val="0"/>
              <w:adjustRightInd w:val="0"/>
              <w:snapToGrid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企业发展基金</w:t>
            </w:r>
          </w:p>
        </w:tc>
        <w:tc>
          <w:tcPr>
            <w:tcW w:w="1011" w:type="pct"/>
          </w:tcPr>
          <w:p w14:paraId="77F287BB">
            <w:pPr>
              <w:autoSpaceDE w:val="0"/>
              <w:autoSpaceDN w:val="0"/>
              <w:adjustRightInd w:val="0"/>
              <w:snapToGrid w:val="0"/>
              <w:ind w:right="180"/>
              <w:jc w:val="right"/>
            </w:pPr>
          </w:p>
        </w:tc>
        <w:tc>
          <w:tcPr>
            <w:tcW w:w="1014" w:type="pct"/>
          </w:tcPr>
          <w:p w14:paraId="2E4DF81C">
            <w:pPr>
              <w:autoSpaceDE w:val="0"/>
              <w:autoSpaceDN w:val="0"/>
              <w:adjustRightInd w:val="0"/>
              <w:snapToGrid w:val="0"/>
              <w:ind w:right="180"/>
              <w:jc w:val="right"/>
            </w:pPr>
          </w:p>
        </w:tc>
        <w:tc>
          <w:tcPr>
            <w:tcW w:w="1021" w:type="pct"/>
          </w:tcPr>
          <w:p w14:paraId="003428A9">
            <w:pPr>
              <w:autoSpaceDE w:val="0"/>
              <w:autoSpaceDN w:val="0"/>
              <w:adjustRightInd w:val="0"/>
              <w:snapToGrid w:val="0"/>
              <w:ind w:right="180"/>
              <w:jc w:val="right"/>
            </w:pPr>
          </w:p>
        </w:tc>
        <w:tc>
          <w:tcPr>
            <w:tcW w:w="1014" w:type="pct"/>
          </w:tcPr>
          <w:p w14:paraId="6C0890BE">
            <w:pPr>
              <w:autoSpaceDE w:val="0"/>
              <w:autoSpaceDN w:val="0"/>
              <w:adjustRightInd w:val="0"/>
              <w:snapToGrid w:val="0"/>
              <w:ind w:right="180"/>
              <w:jc w:val="right"/>
            </w:pPr>
          </w:p>
        </w:tc>
      </w:tr>
      <w:tr w14:paraId="6ADB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40" w:type="pct"/>
            <w:vAlign w:val="center"/>
          </w:tcPr>
          <w:p w14:paraId="3248C2B1">
            <w:pPr>
              <w:autoSpaceDE w:val="0"/>
              <w:autoSpaceDN w:val="0"/>
              <w:adjustRightInd w:val="0"/>
              <w:snapToGrid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tc>
          <w:tcPr>
            <w:tcW w:w="1011" w:type="pct"/>
          </w:tcPr>
          <w:p w14:paraId="2C61DA11">
            <w:pPr>
              <w:autoSpaceDE w:val="0"/>
              <w:autoSpaceDN w:val="0"/>
              <w:adjustRightInd w:val="0"/>
              <w:snapToGrid w:val="0"/>
              <w:ind w:right="180"/>
              <w:jc w:val="right"/>
            </w:pPr>
          </w:p>
        </w:tc>
        <w:tc>
          <w:tcPr>
            <w:tcW w:w="1014" w:type="pct"/>
          </w:tcPr>
          <w:p w14:paraId="40F788E1">
            <w:pPr>
              <w:autoSpaceDE w:val="0"/>
              <w:autoSpaceDN w:val="0"/>
              <w:adjustRightInd w:val="0"/>
              <w:snapToGrid w:val="0"/>
              <w:ind w:right="180"/>
              <w:jc w:val="right"/>
            </w:pPr>
          </w:p>
        </w:tc>
        <w:tc>
          <w:tcPr>
            <w:tcW w:w="1021" w:type="pct"/>
          </w:tcPr>
          <w:p w14:paraId="734AFD3F">
            <w:pPr>
              <w:autoSpaceDE w:val="0"/>
              <w:autoSpaceDN w:val="0"/>
              <w:adjustRightInd w:val="0"/>
              <w:snapToGrid w:val="0"/>
              <w:ind w:right="180"/>
              <w:jc w:val="right"/>
            </w:pPr>
          </w:p>
        </w:tc>
        <w:tc>
          <w:tcPr>
            <w:tcW w:w="1014" w:type="pct"/>
          </w:tcPr>
          <w:p w14:paraId="1EE24E1A">
            <w:pPr>
              <w:autoSpaceDE w:val="0"/>
              <w:autoSpaceDN w:val="0"/>
              <w:adjustRightInd w:val="0"/>
              <w:snapToGrid w:val="0"/>
              <w:ind w:right="180"/>
              <w:jc w:val="right"/>
            </w:pPr>
          </w:p>
        </w:tc>
      </w:tr>
      <w:tr w14:paraId="06EB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940" w:type="pct"/>
          </w:tcPr>
          <w:p w14:paraId="7039F54B">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011" w:type="pct"/>
          </w:tcPr>
          <w:p w14:paraId="7A843FA5">
            <w:pPr>
              <w:autoSpaceDE w:val="0"/>
              <w:autoSpaceDN w:val="0"/>
              <w:adjustRightInd w:val="0"/>
              <w:snapToGrid w:val="0"/>
              <w:ind w:right="180"/>
              <w:jc w:val="right"/>
            </w:pPr>
            <w:r>
              <w:t>275,429,601.44</w:t>
            </w:r>
          </w:p>
        </w:tc>
        <w:tc>
          <w:tcPr>
            <w:tcW w:w="1014" w:type="pct"/>
          </w:tcPr>
          <w:p w14:paraId="3E8A9175">
            <w:pPr>
              <w:autoSpaceDE w:val="0"/>
              <w:autoSpaceDN w:val="0"/>
              <w:adjustRightInd w:val="0"/>
              <w:snapToGrid w:val="0"/>
              <w:ind w:right="180"/>
              <w:jc w:val="right"/>
            </w:pPr>
          </w:p>
        </w:tc>
        <w:tc>
          <w:tcPr>
            <w:tcW w:w="1021" w:type="pct"/>
          </w:tcPr>
          <w:p w14:paraId="64FAFA5C">
            <w:pPr>
              <w:autoSpaceDE w:val="0"/>
              <w:autoSpaceDN w:val="0"/>
              <w:adjustRightInd w:val="0"/>
              <w:snapToGrid w:val="0"/>
              <w:ind w:right="180"/>
              <w:jc w:val="right"/>
            </w:pPr>
          </w:p>
        </w:tc>
        <w:tc>
          <w:tcPr>
            <w:tcW w:w="1014" w:type="pct"/>
          </w:tcPr>
          <w:p w14:paraId="0B6398DB">
            <w:pPr>
              <w:autoSpaceDE w:val="0"/>
              <w:autoSpaceDN w:val="0"/>
              <w:adjustRightInd w:val="0"/>
              <w:snapToGrid w:val="0"/>
              <w:ind w:right="180"/>
              <w:jc w:val="right"/>
            </w:pPr>
            <w:r>
              <w:t>275,429,601.44</w:t>
            </w:r>
          </w:p>
        </w:tc>
      </w:tr>
    </w:tbl>
    <w:p w14:paraId="1D218F8C">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盈余公积说明，包括本期增减变动情况、变动原因说明：</w:t>
      </w:r>
    </w:p>
    <w:sdt>
      <w:sdtPr>
        <w:rPr>
          <w:color w:val="000000" w:themeColor="text1"/>
          <w14:textFill>
            <w14:solidFill>
              <w14:schemeClr w14:val="tx1"/>
            </w14:solidFill>
          </w14:textFill>
        </w:rPr>
        <w:alias w:val="盈余公积说明"/>
        <w:tag w:val="_GBC_33c5d1ed862f4b36950b5ea2188f5b09"/>
        <w:id w:val="-566645353"/>
        <w:placeholder>
          <w:docPart w:val="GBC22222222222222222222222222222"/>
        </w:placeholder>
      </w:sdtPr>
      <w:sdtEndPr>
        <w:rPr>
          <w:color w:val="000000" w:themeColor="text1"/>
          <w14:textFill>
            <w14:solidFill>
              <w14:schemeClr w14:val="tx1"/>
            </w14:solidFill>
          </w14:textFill>
        </w:rPr>
      </w:sdtEndPr>
      <w:sdtContent>
        <w:p w14:paraId="2B8CAE39">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4F049BAB">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未分配利润</w:t>
      </w:r>
    </w:p>
    <w:p w14:paraId="7ED4DC96">
      <w:pPr>
        <w:rPr>
          <w:color w:val="000000" w:themeColor="text1"/>
          <w14:textFill>
            <w14:solidFill>
              <w14:schemeClr w14:val="tx1"/>
            </w14:solidFill>
          </w14:textFill>
        </w:rPr>
      </w:pPr>
      <w:sdt>
        <w:sdtPr>
          <w:rPr>
            <w:color w:val="000000" w:themeColor="text1"/>
            <w14:textFill>
              <w14:solidFill>
                <w14:schemeClr w14:val="tx1"/>
              </w14:solidFill>
            </w14:textFill>
          </w:rPr>
          <w:alias w:val="是否适用：未分配利润[双击切换]"/>
          <w:tag w:val="_GBC_32c558bdbb77445cabeee783e5ff910e"/>
          <w:id w:val="-285197039"/>
          <w:lock w:val="contentLocked"/>
          <w:placeholder>
            <w:docPart w:val="GBC22222222222222222222222222222"/>
          </w:placeholder>
        </w:sdtPr>
        <w:sdtEndPr>
          <w:rPr>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p w14:paraId="471F7528">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未分配利润"/>
          <w:tag w:val="_GBC_cfb07ff3eded4b49916cfc42d821bab6"/>
          <w:id w:val="32764439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未分配利润"/>
          <w:tag w:val="_GBC_55c70fe731be4b84be72ea88afd989b8"/>
          <w:id w:val="-39010992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0"/>
        <w:gridCol w:w="2755"/>
        <w:gridCol w:w="2668"/>
      </w:tblGrid>
      <w:tr w14:paraId="31CB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b6dc2bd7eebb4e6d9f1ccea8d86e6f47"/>
            <w:id w:val="-450009650"/>
          </w:sdtPr>
          <w:sdtContent>
            <w:tc>
              <w:tcPr>
                <w:tcW w:w="1927" w:type="pct"/>
                <w:vAlign w:val="center"/>
              </w:tcPr>
              <w:p w14:paraId="1CDE536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6e60054e3c3747d1a0ffc87edacae2b6"/>
            <w:id w:val="-265770535"/>
          </w:sdtPr>
          <w:sdtContent>
            <w:tc>
              <w:tcPr>
                <w:tcW w:w="1561" w:type="pct"/>
                <w:vAlign w:val="center"/>
              </w:tcPr>
              <w:p w14:paraId="18316D8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w:t>
                </w:r>
              </w:p>
            </w:tc>
          </w:sdtContent>
        </w:sdt>
        <w:sdt>
          <w:sdtPr>
            <w:tag w:val="_PLD_9afd54e9959d4b22b00bfe92596a2a16"/>
            <w:id w:val="1536002104"/>
          </w:sdtPr>
          <w:sdtContent>
            <w:tc>
              <w:tcPr>
                <w:tcW w:w="1512" w:type="pct"/>
                <w:vAlign w:val="center"/>
              </w:tcPr>
              <w:p w14:paraId="3B43C43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上年度</w:t>
                </w:r>
              </w:p>
            </w:tc>
          </w:sdtContent>
        </w:sdt>
      </w:tr>
      <w:tr w14:paraId="475B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27" w:type="pct"/>
          </w:tcPr>
          <w:p w14:paraId="58ED30BC">
            <w:pPr>
              <w:rPr>
                <w:color w:val="000000" w:themeColor="text1"/>
                <w14:textFill>
                  <w14:solidFill>
                    <w14:schemeClr w14:val="tx1"/>
                  </w14:solidFill>
                </w14:textFill>
              </w:rPr>
            </w:pPr>
            <w:r>
              <w:rPr>
                <w:rFonts w:hint="eastAsia"/>
                <w:color w:val="000000" w:themeColor="text1"/>
                <w14:textFill>
                  <w14:solidFill>
                    <w14:schemeClr w14:val="tx1"/>
                  </w14:solidFill>
                </w14:textFill>
              </w:rPr>
              <w:t>调整前上期末未分配利润</w:t>
            </w:r>
          </w:p>
        </w:tc>
        <w:tc>
          <w:tcPr>
            <w:tcW w:w="1561" w:type="pct"/>
          </w:tcPr>
          <w:p w14:paraId="1E738D71">
            <w:pPr>
              <w:ind w:right="6"/>
              <w:jc w:val="right"/>
            </w:pPr>
            <w:r>
              <w:t>1,195,110,646.29</w:t>
            </w:r>
          </w:p>
        </w:tc>
        <w:tc>
          <w:tcPr>
            <w:tcW w:w="1512" w:type="pct"/>
          </w:tcPr>
          <w:p w14:paraId="5205E62A">
            <w:pPr>
              <w:jc w:val="right"/>
            </w:pPr>
            <w:r>
              <w:t>1,189,501,348.62</w:t>
            </w:r>
          </w:p>
        </w:tc>
      </w:tr>
      <w:tr w14:paraId="3F7A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27" w:type="pct"/>
          </w:tcPr>
          <w:p w14:paraId="27485159">
            <w:pPr>
              <w:rPr>
                <w:color w:val="000000" w:themeColor="text1"/>
                <w14:textFill>
                  <w14:solidFill>
                    <w14:schemeClr w14:val="tx1"/>
                  </w14:solidFill>
                </w14:textFill>
              </w:rPr>
            </w:pPr>
            <w:r>
              <w:rPr>
                <w:rFonts w:hint="eastAsia"/>
                <w:color w:val="000000" w:themeColor="text1"/>
                <w14:textFill>
                  <w14:solidFill>
                    <w14:schemeClr w14:val="tx1"/>
                  </w14:solidFill>
                </w14:textFill>
              </w:rPr>
              <w:t>调整期初未分配利润合计数（调增</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，调减-）</w:t>
            </w:r>
          </w:p>
        </w:tc>
        <w:tc>
          <w:tcPr>
            <w:tcW w:w="1561" w:type="pct"/>
          </w:tcPr>
          <w:p w14:paraId="1C657A08">
            <w:pPr>
              <w:ind w:right="6"/>
              <w:jc w:val="right"/>
            </w:pPr>
          </w:p>
        </w:tc>
        <w:tc>
          <w:tcPr>
            <w:tcW w:w="1512" w:type="pct"/>
          </w:tcPr>
          <w:p w14:paraId="7C074F4F">
            <w:pPr>
              <w:ind w:right="6"/>
              <w:jc w:val="right"/>
            </w:pPr>
          </w:p>
        </w:tc>
      </w:tr>
      <w:tr w14:paraId="3C4B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27" w:type="pct"/>
          </w:tcPr>
          <w:p w14:paraId="5768BE5C">
            <w:pPr>
              <w:rPr>
                <w:color w:val="000000" w:themeColor="text1"/>
                <w14:textFill>
                  <w14:solidFill>
                    <w14:schemeClr w14:val="tx1"/>
                  </w14:solidFill>
                </w14:textFill>
              </w:rPr>
            </w:pPr>
            <w:r>
              <w:rPr>
                <w:rFonts w:hint="eastAsia"/>
                <w:color w:val="000000" w:themeColor="text1"/>
                <w14:textFill>
                  <w14:solidFill>
                    <w14:schemeClr w14:val="tx1"/>
                  </w14:solidFill>
                </w14:textFill>
              </w:rPr>
              <w:t>调整后期初未分配利润</w:t>
            </w:r>
          </w:p>
        </w:tc>
        <w:tc>
          <w:tcPr>
            <w:tcW w:w="1561" w:type="pct"/>
          </w:tcPr>
          <w:p w14:paraId="685BC38F">
            <w:pPr>
              <w:ind w:right="6"/>
              <w:jc w:val="right"/>
            </w:pPr>
            <w:r>
              <w:t>1,195,110,646.29</w:t>
            </w:r>
          </w:p>
        </w:tc>
        <w:tc>
          <w:tcPr>
            <w:tcW w:w="1512" w:type="pct"/>
          </w:tcPr>
          <w:p w14:paraId="236A339F">
            <w:pPr>
              <w:ind w:right="6"/>
              <w:jc w:val="right"/>
            </w:pPr>
            <w:r>
              <w:t>1,189,501,348.62</w:t>
            </w:r>
          </w:p>
        </w:tc>
      </w:tr>
      <w:tr w14:paraId="6B8F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27" w:type="pct"/>
          </w:tcPr>
          <w:p w14:paraId="280ED915">
            <w:pPr>
              <w:ind w:right="6"/>
              <w:rPr>
                <w:color w:val="000000" w:themeColor="text1"/>
                <w14:textFill>
                  <w14:solidFill>
                    <w14:schemeClr w14:val="tx1"/>
                  </w14:solidFill>
                </w14:textFill>
              </w:rPr>
            </w:pPr>
            <w:r>
              <w:rPr>
                <w:rFonts w:hint="eastAsia"/>
                <w:color w:val="000000" w:themeColor="text1"/>
                <w14:textFill>
                  <w14:solidFill>
                    <w14:schemeClr w14:val="tx1"/>
                  </w14:solidFill>
                </w14:textFill>
              </w:rPr>
              <w:t>加：本期归属于母公司所有者的净利润</w:t>
            </w:r>
          </w:p>
        </w:tc>
        <w:tc>
          <w:tcPr>
            <w:tcW w:w="1561" w:type="pct"/>
          </w:tcPr>
          <w:p w14:paraId="5CAABDEA">
            <w:pPr>
              <w:ind w:right="6"/>
              <w:jc w:val="right"/>
            </w:pPr>
            <w:r>
              <w:t>29,978,804.61</w:t>
            </w:r>
          </w:p>
        </w:tc>
        <w:tc>
          <w:tcPr>
            <w:tcW w:w="1512" w:type="pct"/>
          </w:tcPr>
          <w:p w14:paraId="1D449832">
            <w:pPr>
              <w:ind w:right="6"/>
              <w:jc w:val="right"/>
            </w:pPr>
            <w:r>
              <w:t>29,872,348.03</w:t>
            </w:r>
          </w:p>
        </w:tc>
      </w:tr>
      <w:tr w14:paraId="3E5E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27" w:type="pct"/>
          </w:tcPr>
          <w:p w14:paraId="79AED4E8">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减：提取法定盈余公积</w:t>
            </w:r>
          </w:p>
        </w:tc>
        <w:tc>
          <w:tcPr>
            <w:tcW w:w="1561" w:type="pct"/>
          </w:tcPr>
          <w:p w14:paraId="432AD2AD">
            <w:pPr>
              <w:jc w:val="right"/>
            </w:pPr>
          </w:p>
        </w:tc>
        <w:tc>
          <w:tcPr>
            <w:tcW w:w="1512" w:type="pct"/>
          </w:tcPr>
          <w:p w14:paraId="5CE0FD34">
            <w:pPr>
              <w:ind w:right="6"/>
              <w:jc w:val="right"/>
            </w:pPr>
            <w:r>
              <w:t>11,230,981.16</w:t>
            </w:r>
          </w:p>
        </w:tc>
      </w:tr>
      <w:tr w14:paraId="21BD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27" w:type="pct"/>
          </w:tcPr>
          <w:p w14:paraId="4FA90B7D">
            <w:pPr>
              <w:autoSpaceDE w:val="0"/>
              <w:autoSpaceDN w:val="0"/>
              <w:adjustRightInd w:val="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提取任意盈余公积</w:t>
            </w:r>
          </w:p>
        </w:tc>
        <w:tc>
          <w:tcPr>
            <w:tcW w:w="1561" w:type="pct"/>
          </w:tcPr>
          <w:p w14:paraId="232A9A52">
            <w:pPr>
              <w:jc w:val="right"/>
            </w:pPr>
          </w:p>
        </w:tc>
        <w:tc>
          <w:tcPr>
            <w:tcW w:w="1512" w:type="pct"/>
          </w:tcPr>
          <w:p w14:paraId="346F0273">
            <w:pPr>
              <w:ind w:right="6"/>
              <w:jc w:val="right"/>
            </w:pPr>
          </w:p>
        </w:tc>
      </w:tr>
      <w:tr w14:paraId="2A40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27" w:type="pct"/>
          </w:tcPr>
          <w:p w14:paraId="05B98147">
            <w:pPr>
              <w:autoSpaceDE w:val="0"/>
              <w:autoSpaceDN w:val="0"/>
              <w:adjustRightInd w:val="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提取一般风险准备</w:t>
            </w:r>
          </w:p>
        </w:tc>
        <w:tc>
          <w:tcPr>
            <w:tcW w:w="1561" w:type="pct"/>
          </w:tcPr>
          <w:p w14:paraId="38A13BD6">
            <w:pPr>
              <w:jc w:val="right"/>
            </w:pPr>
          </w:p>
        </w:tc>
        <w:tc>
          <w:tcPr>
            <w:tcW w:w="1512" w:type="pct"/>
          </w:tcPr>
          <w:p w14:paraId="1C815FAE">
            <w:pPr>
              <w:ind w:right="6"/>
              <w:jc w:val="right"/>
            </w:pPr>
          </w:p>
        </w:tc>
      </w:tr>
      <w:tr w14:paraId="6112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27" w:type="pct"/>
          </w:tcPr>
          <w:p w14:paraId="0023CD6E">
            <w:pPr>
              <w:autoSpaceDE w:val="0"/>
              <w:autoSpaceDN w:val="0"/>
              <w:adjustRightInd w:val="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应付普通股股利</w:t>
            </w:r>
          </w:p>
        </w:tc>
        <w:tc>
          <w:tcPr>
            <w:tcW w:w="1561" w:type="pct"/>
          </w:tcPr>
          <w:p w14:paraId="788CB64C">
            <w:pPr>
              <w:jc w:val="right"/>
            </w:pPr>
            <w:r>
              <w:t>8,970,505.03</w:t>
            </w:r>
          </w:p>
        </w:tc>
        <w:tc>
          <w:tcPr>
            <w:tcW w:w="1512" w:type="pct"/>
          </w:tcPr>
          <w:p w14:paraId="493A6A6F">
            <w:pPr>
              <w:ind w:right="6"/>
              <w:jc w:val="right"/>
            </w:pPr>
            <w:r>
              <w:t>13,032,069.20</w:t>
            </w:r>
          </w:p>
        </w:tc>
      </w:tr>
      <w:tr w14:paraId="6DDB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27" w:type="pct"/>
          </w:tcPr>
          <w:p w14:paraId="0D24C258">
            <w:pPr>
              <w:autoSpaceDE w:val="0"/>
              <w:autoSpaceDN w:val="0"/>
              <w:adjustRightInd w:val="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转作股本的普通股股利</w:t>
            </w:r>
          </w:p>
        </w:tc>
        <w:tc>
          <w:tcPr>
            <w:tcW w:w="1561" w:type="pct"/>
          </w:tcPr>
          <w:p w14:paraId="56405A4C">
            <w:pPr>
              <w:jc w:val="right"/>
            </w:pPr>
          </w:p>
        </w:tc>
        <w:tc>
          <w:tcPr>
            <w:tcW w:w="1512" w:type="pct"/>
          </w:tcPr>
          <w:p w14:paraId="7DD4F584">
            <w:pPr>
              <w:ind w:right="6"/>
              <w:jc w:val="right"/>
            </w:pPr>
          </w:p>
        </w:tc>
      </w:tr>
      <w:tr w14:paraId="3018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27" w:type="pct"/>
          </w:tcPr>
          <w:p w14:paraId="3834770F">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期末未分配利润</w:t>
            </w:r>
          </w:p>
        </w:tc>
        <w:tc>
          <w:tcPr>
            <w:tcW w:w="1561" w:type="pct"/>
          </w:tcPr>
          <w:p w14:paraId="4FC84274">
            <w:pPr>
              <w:jc w:val="right"/>
            </w:pPr>
            <w:r>
              <w:t>1,216,</w:t>
            </w:r>
            <w:r>
              <w:rPr>
                <w:rFonts w:hint="eastAsia"/>
              </w:rPr>
              <w:t>1</w:t>
            </w:r>
            <w:r>
              <w:t>18,</w:t>
            </w:r>
            <w:r>
              <w:rPr>
                <w:rFonts w:hint="eastAsia"/>
              </w:rPr>
              <w:t>945</w:t>
            </w:r>
            <w:r>
              <w:t>.</w:t>
            </w:r>
            <w:r>
              <w:rPr>
                <w:rFonts w:hint="eastAsia"/>
              </w:rPr>
              <w:t>87</w:t>
            </w:r>
          </w:p>
        </w:tc>
        <w:tc>
          <w:tcPr>
            <w:tcW w:w="1512" w:type="pct"/>
          </w:tcPr>
          <w:p w14:paraId="50AA4B55">
            <w:pPr>
              <w:ind w:right="6"/>
              <w:jc w:val="right"/>
            </w:pPr>
            <w:r>
              <w:t>1,195,110,646.29</w:t>
            </w:r>
          </w:p>
        </w:tc>
      </w:tr>
    </w:tbl>
    <w:p w14:paraId="46FC20C9">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调整期初未分配利润明细：</w:t>
      </w:r>
    </w:p>
    <w:p w14:paraId="5182AB4A">
      <w:pPr>
        <w:rPr>
          <w:color w:val="000000" w:themeColor="text1"/>
          <w14:textFill>
            <w14:solidFill>
              <w14:schemeClr w14:val="tx1"/>
            </w14:solidFill>
          </w14:textFill>
        </w:rPr>
      </w:pPr>
      <w:r>
        <w:rPr>
          <w:rFonts w:hint="eastAsia"/>
          <w:color w:val="000000" w:themeColor="text1"/>
          <w14:textFill>
            <w14:solidFill>
              <w14:schemeClr w14:val="tx1"/>
            </w14:solidFill>
          </w14:textFill>
        </w:rPr>
        <w:t>1、由于《企业会计准则》及其相关新规定进行追溯调整，影响期初未分配利润</w:t>
      </w:r>
      <w:sdt>
        <w:sdtPr>
          <w:rPr>
            <w:rFonts w:hint="eastAsia"/>
            <w:color w:val="000000" w:themeColor="text1"/>
            <w14:textFill>
              <w14:solidFill>
                <w14:schemeClr w14:val="tx1"/>
              </w14:solidFill>
            </w14:textFill>
          </w:rPr>
          <w:alias w:val="依据《企业会计准则》及其相关规定进行追溯调整影响年初未分配利润合计"/>
          <w:tag w:val="_GBC_a54a245e74754754a6239606b5ebbb06"/>
          <w:id w:val="401574427"/>
          <w:placeholder>
            <w:docPart w:val="GBC22222222222222222222222222222"/>
          </w:placeholder>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0.00</w:t>
          </w:r>
        </w:sdtContent>
      </w:sdt>
      <w:r>
        <w:rPr>
          <w:rFonts w:hint="eastAsia"/>
          <w:color w:val="000000" w:themeColor="text1"/>
          <w14:textFill>
            <w14:solidFill>
              <w14:schemeClr w14:val="tx1"/>
            </w14:solidFill>
          </w14:textFill>
        </w:rPr>
        <w:t xml:space="preserve"> 元。</w:t>
      </w:r>
    </w:p>
    <w:p w14:paraId="1CF221C8">
      <w:pPr>
        <w:rPr>
          <w:color w:val="000000" w:themeColor="text1"/>
          <w14:textFill>
            <w14:solidFill>
              <w14:schemeClr w14:val="tx1"/>
            </w14:solidFill>
          </w14:textFill>
        </w:rPr>
      </w:pPr>
      <w:r>
        <w:rPr>
          <w:rFonts w:hint="eastAsia"/>
          <w:color w:val="000000" w:themeColor="text1"/>
          <w14:textFill>
            <w14:solidFill>
              <w14:schemeClr w14:val="tx1"/>
            </w14:solidFill>
          </w14:textFill>
        </w:rPr>
        <w:t>2、由于会计政策变更，影响期初未分配利润</w:t>
      </w:r>
      <w:sdt>
        <w:sdtPr>
          <w:rPr>
            <w:rFonts w:hint="eastAsia"/>
            <w:color w:val="000000" w:themeColor="text1"/>
            <w14:textFill>
              <w14:solidFill>
                <w14:schemeClr w14:val="tx1"/>
              </w14:solidFill>
            </w14:textFill>
          </w:rPr>
          <w:alias w:val="由于会计政策变更影响年初未分配利润"/>
          <w:tag w:val="_GBC_8295d6891c8842f58b58e4223b4e1700"/>
          <w:id w:val="-1835131175"/>
          <w:placeholder>
            <w:docPart w:val="GBC22222222222222222222222222222"/>
          </w:placeholder>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0.00</w:t>
          </w:r>
        </w:sdtContent>
      </w:sdt>
      <w:r>
        <w:rPr>
          <w:rFonts w:hint="eastAsia"/>
          <w:color w:val="000000" w:themeColor="text1"/>
          <w14:textFill>
            <w14:solidFill>
              <w14:schemeClr w14:val="tx1"/>
            </w14:solidFill>
          </w14:textFill>
        </w:rPr>
        <w:t xml:space="preserve"> 元。</w:t>
      </w:r>
    </w:p>
    <w:p w14:paraId="1006BEB7">
      <w:pPr>
        <w:rPr>
          <w:color w:val="000000" w:themeColor="text1"/>
          <w14:textFill>
            <w14:solidFill>
              <w14:schemeClr w14:val="tx1"/>
            </w14:solidFill>
          </w14:textFill>
        </w:rPr>
      </w:pPr>
      <w:r>
        <w:rPr>
          <w:rFonts w:hint="eastAsia"/>
          <w:color w:val="000000" w:themeColor="text1"/>
          <w14:textFill>
            <w14:solidFill>
              <w14:schemeClr w14:val="tx1"/>
            </w14:solidFill>
          </w14:textFill>
        </w:rPr>
        <w:t>3、由于重大会计差错更正，影响期初未分配利润</w:t>
      </w:r>
      <w:sdt>
        <w:sdtPr>
          <w:rPr>
            <w:rFonts w:hint="eastAsia"/>
            <w:color w:val="000000" w:themeColor="text1"/>
            <w14:textFill>
              <w14:solidFill>
                <w14:schemeClr w14:val="tx1"/>
              </w14:solidFill>
            </w14:textFill>
          </w:rPr>
          <w:alias w:val="由于重大会计差错更正影响年初未分配利润"/>
          <w:tag w:val="_GBC_34728ea6faff41218abab9b8fede268c"/>
          <w:id w:val="-1415080679"/>
          <w:placeholder>
            <w:docPart w:val="GBC22222222222222222222222222222"/>
          </w:placeholder>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0.00</w:t>
          </w:r>
        </w:sdtContent>
      </w:sdt>
      <w:r>
        <w:rPr>
          <w:rFonts w:hint="eastAsia"/>
          <w:color w:val="000000" w:themeColor="text1"/>
          <w14:textFill>
            <w14:solidFill>
              <w14:schemeClr w14:val="tx1"/>
            </w14:solidFill>
          </w14:textFill>
        </w:rPr>
        <w:t xml:space="preserve"> 元。</w:t>
      </w:r>
    </w:p>
    <w:p w14:paraId="6DCF29C6">
      <w:pPr>
        <w:rPr>
          <w:color w:val="000000" w:themeColor="text1"/>
          <w14:textFill>
            <w14:solidFill>
              <w14:schemeClr w14:val="tx1"/>
            </w14:solidFill>
          </w14:textFill>
        </w:rPr>
      </w:pPr>
      <w:r>
        <w:rPr>
          <w:rFonts w:hint="eastAsia"/>
          <w:color w:val="000000" w:themeColor="text1"/>
          <w14:textFill>
            <w14:solidFill>
              <w14:schemeClr w14:val="tx1"/>
            </w14:solidFill>
          </w14:textFill>
        </w:rPr>
        <w:t>4、由于同一控制导致的合并范围变更，影响期初未分配利润</w:t>
      </w:r>
      <w:sdt>
        <w:sdtPr>
          <w:rPr>
            <w:rFonts w:hint="eastAsia"/>
            <w:color w:val="000000" w:themeColor="text1"/>
            <w14:textFill>
              <w14:solidFill>
                <w14:schemeClr w14:val="tx1"/>
              </w14:solidFill>
            </w14:textFill>
          </w:rPr>
          <w:alias w:val="同一控制导致的合并范围变更影响年初未分配利润"/>
          <w:tag w:val="_GBC_4d9b7a873cb94aba9044210a45f81108"/>
          <w:id w:val="1025598692"/>
          <w:placeholder>
            <w:docPart w:val="GBC22222222222222222222222222222"/>
          </w:placeholder>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0.00</w:t>
          </w:r>
        </w:sdtContent>
      </w:sdt>
      <w:r>
        <w:rPr>
          <w:rFonts w:hint="eastAsia"/>
          <w:color w:val="000000" w:themeColor="text1"/>
          <w14:textFill>
            <w14:solidFill>
              <w14:schemeClr w14:val="tx1"/>
            </w14:solidFill>
          </w14:textFill>
        </w:rPr>
        <w:t xml:space="preserve"> 元。</w:t>
      </w:r>
    </w:p>
    <w:p w14:paraId="3F829315">
      <w:pPr>
        <w:rPr>
          <w:color w:val="000000" w:themeColor="text1"/>
          <w14:textFill>
            <w14:solidFill>
              <w14:schemeClr w14:val="tx1"/>
            </w14:solidFill>
          </w14:textFill>
        </w:rPr>
      </w:pPr>
      <w:r>
        <w:rPr>
          <w:rFonts w:hint="eastAsia"/>
          <w:color w:val="000000" w:themeColor="text1"/>
          <w14:textFill>
            <w14:solidFill>
              <w14:schemeClr w14:val="tx1"/>
            </w14:solidFill>
          </w14:textFill>
        </w:rPr>
        <w:t>5、其他调整合计影响期初未分配利润</w:t>
      </w:r>
      <w:sdt>
        <w:sdtPr>
          <w:rPr>
            <w:rFonts w:hint="eastAsia"/>
            <w:color w:val="000000" w:themeColor="text1"/>
            <w14:textFill>
              <w14:solidFill>
                <w14:schemeClr w14:val="tx1"/>
              </w14:solidFill>
            </w14:textFill>
          </w:rPr>
          <w:alias w:val="其他调整合计影响年初未分配利润"/>
          <w:tag w:val="_GBC_ccd86b3788e04a70a2e6a2167027d7cb"/>
          <w:id w:val="-511993978"/>
          <w:placeholder>
            <w:docPart w:val="GBC22222222222222222222222222222"/>
          </w:placeholder>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0.00</w:t>
          </w:r>
        </w:sdtContent>
      </w:sdt>
      <w:r>
        <w:rPr>
          <w:rFonts w:hint="eastAsia"/>
          <w:color w:val="000000" w:themeColor="text1"/>
          <w14:textFill>
            <w14:solidFill>
              <w14:schemeClr w14:val="tx1"/>
            </w14:solidFill>
          </w14:textFill>
        </w:rPr>
        <w:t xml:space="preserve"> 元。</w:t>
      </w:r>
    </w:p>
    <w:p w14:paraId="0F5153BD">
      <w:pPr>
        <w:rPr>
          <w:color w:val="000000" w:themeColor="text1"/>
          <w14:textFill>
            <w14:solidFill>
              <w14:schemeClr w14:val="tx1"/>
            </w14:solidFill>
          </w14:textFill>
        </w:rPr>
      </w:pPr>
    </w:p>
    <w:p w14:paraId="3E063B99">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营业收入和营业成本</w:t>
      </w:r>
    </w:p>
    <w:p w14:paraId="1029306E">
      <w:pPr>
        <w:pStyle w:val="5"/>
        <w:numPr>
          <w:ilvl w:val="0"/>
          <w:numId w:val="86"/>
        </w:numPr>
        <w:ind w:left="426" w:hanging="42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营业收入和营业成本情况</w:t>
      </w:r>
    </w:p>
    <w:sdt>
      <w:sdtPr>
        <w:rPr>
          <w:color w:val="000000" w:themeColor="text1"/>
          <w14:textFill>
            <w14:solidFill>
              <w14:schemeClr w14:val="tx1"/>
            </w14:solidFill>
          </w14:textFill>
        </w:rPr>
        <w:alias w:val="是否适用：营业收入和营业成本[双击切换]"/>
        <w:tag w:val="_GBC_876680c4ba6b433896b625efff84d599"/>
        <w:id w:val="1490673523"/>
        <w:placeholder>
          <w:docPart w:val="GBC22222222222222222222222222222"/>
        </w:placeholder>
      </w:sdtPr>
      <w:sdtEndPr>
        <w:rPr>
          <w:color w:val="000000" w:themeColor="text1"/>
          <w14:textFill>
            <w14:solidFill>
              <w14:schemeClr w14:val="tx1"/>
            </w14:solidFill>
          </w14:textFill>
        </w:rPr>
      </w:sdtEndPr>
      <w:sdtContent>
        <w:p w14:paraId="1733A94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3F0EC6B">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bCs w:val="0"/>
            <w:color w:val="000000" w:themeColor="text1"/>
            <w14:textFill>
              <w14:solidFill>
                <w14:schemeClr w14:val="tx1"/>
              </w14:solidFill>
            </w14:textFill>
          </w:rPr>
          <w:alias w:val="单位：财务附注：营业收入"/>
          <w:tag w:val="_GBC_611ed6dd25a247cf86a0fb98cd86e68f"/>
          <w:id w:val="-150636264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bCs w:val="0"/>
            <w:color w:val="000000" w:themeColor="text1"/>
            <w14:textFill>
              <w14:solidFill>
                <w14:schemeClr w14:val="tx1"/>
              </w14:solidFill>
            </w14:textFill>
          </w:rPr>
        </w:sdtEndPr>
        <w:sdtContent>
          <w:r>
            <w:rPr>
              <w:rFonts w:hint="eastAsia"/>
              <w:bCs w:val="0"/>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bCs w:val="0"/>
            <w:color w:val="000000" w:themeColor="text1"/>
            <w14:textFill>
              <w14:solidFill>
                <w14:schemeClr w14:val="tx1"/>
              </w14:solidFill>
            </w14:textFill>
          </w:rPr>
          <w:alias w:val="币种：财务附注：营业收入"/>
          <w:tag w:val="_GBC_ba5cd3776b804cc291ae4c216c605f02"/>
          <w:id w:val="17465975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bCs w:val="0"/>
            <w:color w:val="000000" w:themeColor="text1"/>
            <w14:textFill>
              <w14:solidFill>
                <w14:schemeClr w14:val="tx1"/>
              </w14:solidFill>
            </w14:textFill>
          </w:rPr>
        </w:sdtEndPr>
        <w:sdtContent>
          <w:r>
            <w:rPr>
              <w:rFonts w:hint="eastAsia"/>
              <w:bCs w:val="0"/>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842"/>
        <w:gridCol w:w="1855"/>
        <w:gridCol w:w="1853"/>
        <w:gridCol w:w="1853"/>
      </w:tblGrid>
      <w:tr w14:paraId="1BB1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d41752618c6a4ee08ca01f5944b34b81"/>
            <w:id w:val="1552119079"/>
          </w:sdtPr>
          <w:sdtContent>
            <w:tc>
              <w:tcPr>
                <w:tcW w:w="805" w:type="pct"/>
                <w:vMerge w:val="restart"/>
                <w:tcBorders>
                  <w:top w:val="single" w:color="auto" w:sz="4" w:space="0"/>
                  <w:left w:val="single" w:color="auto" w:sz="4" w:space="0"/>
                  <w:right w:val="single" w:color="auto" w:sz="4" w:space="0"/>
                </w:tcBorders>
                <w:vAlign w:val="center"/>
              </w:tcPr>
              <w:p w14:paraId="3CAA9B7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f88658ae6cb94ea390736e112b0d5ffc"/>
            <w:id w:val="-1158224140"/>
          </w:sdtPr>
          <w:sdtContent>
            <w:tc>
              <w:tcPr>
                <w:tcW w:w="2095" w:type="pct"/>
                <w:gridSpan w:val="2"/>
                <w:tcBorders>
                  <w:top w:val="single" w:color="auto" w:sz="4" w:space="0"/>
                  <w:left w:val="single" w:color="auto" w:sz="4" w:space="0"/>
                  <w:bottom w:val="single" w:color="auto" w:sz="4" w:space="0"/>
                  <w:right w:val="single" w:color="auto" w:sz="4" w:space="0"/>
                </w:tcBorders>
                <w:vAlign w:val="center"/>
              </w:tcPr>
              <w:p w14:paraId="781BE35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0840d72efce94f22bdf4d566046b2e87"/>
            <w:id w:val="-2054691225"/>
          </w:sdtPr>
          <w:sdtContent>
            <w:tc>
              <w:tcPr>
                <w:tcW w:w="2100" w:type="pct"/>
                <w:gridSpan w:val="2"/>
                <w:tcBorders>
                  <w:top w:val="single" w:color="auto" w:sz="4" w:space="0"/>
                  <w:left w:val="single" w:color="auto" w:sz="4" w:space="0"/>
                  <w:bottom w:val="single" w:color="auto" w:sz="4" w:space="0"/>
                  <w:right w:val="single" w:color="auto" w:sz="4" w:space="0"/>
                </w:tcBorders>
                <w:vAlign w:val="center"/>
              </w:tcPr>
              <w:p w14:paraId="60EDBE7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6F86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pct"/>
            <w:vMerge w:val="continue"/>
            <w:tcBorders>
              <w:left w:val="single" w:color="auto" w:sz="4" w:space="0"/>
              <w:bottom w:val="single" w:color="auto" w:sz="4" w:space="0"/>
              <w:right w:val="single" w:color="auto" w:sz="4" w:space="0"/>
            </w:tcBorders>
          </w:tcPr>
          <w:p w14:paraId="723CAE28">
            <w:pPr>
              <w:jc w:val="center"/>
              <w:rPr>
                <w:color w:val="000000" w:themeColor="text1"/>
                <w14:textFill>
                  <w14:solidFill>
                    <w14:schemeClr w14:val="tx1"/>
                  </w14:solidFill>
                </w14:textFill>
              </w:rPr>
            </w:pPr>
          </w:p>
        </w:tc>
        <w:sdt>
          <w:sdtPr>
            <w:tag w:val="_PLD_39942ac1f2654fa6bda80d7116d83859"/>
            <w:id w:val="1758172566"/>
          </w:sdtPr>
          <w:sdtContent>
            <w:tc>
              <w:tcPr>
                <w:tcW w:w="1044" w:type="pct"/>
                <w:tcBorders>
                  <w:top w:val="single" w:color="auto" w:sz="4" w:space="0"/>
                  <w:left w:val="single" w:color="auto" w:sz="4" w:space="0"/>
                  <w:bottom w:val="single" w:color="auto" w:sz="4" w:space="0"/>
                  <w:right w:val="single" w:color="auto" w:sz="4" w:space="0"/>
                </w:tcBorders>
                <w:vAlign w:val="center"/>
              </w:tcPr>
              <w:p w14:paraId="1CF2224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收入</w:t>
                </w:r>
              </w:p>
            </w:tc>
          </w:sdtContent>
        </w:sdt>
        <w:sdt>
          <w:sdtPr>
            <w:tag w:val="_PLD_5075262c52564bf09f90a67ee6a84b17"/>
            <w:id w:val="112718286"/>
          </w:sdtPr>
          <w:sdtContent>
            <w:tc>
              <w:tcPr>
                <w:tcW w:w="1051" w:type="pct"/>
                <w:tcBorders>
                  <w:top w:val="single" w:color="auto" w:sz="4" w:space="0"/>
                  <w:left w:val="single" w:color="auto" w:sz="4" w:space="0"/>
                  <w:bottom w:val="single" w:color="auto" w:sz="4" w:space="0"/>
                  <w:right w:val="single" w:color="auto" w:sz="4" w:space="0"/>
                </w:tcBorders>
                <w:vAlign w:val="center"/>
              </w:tcPr>
              <w:p w14:paraId="101AC1D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成本</w:t>
                </w:r>
              </w:p>
            </w:tc>
          </w:sdtContent>
        </w:sdt>
        <w:sdt>
          <w:sdtPr>
            <w:tag w:val="_PLD_33a1015c666d49cba108bce6aafea1f7"/>
            <w:id w:val="-824742147"/>
          </w:sdtPr>
          <w:sdtContent>
            <w:tc>
              <w:tcPr>
                <w:tcW w:w="1050" w:type="pct"/>
                <w:tcBorders>
                  <w:top w:val="single" w:color="auto" w:sz="4" w:space="0"/>
                  <w:left w:val="single" w:color="auto" w:sz="4" w:space="0"/>
                  <w:bottom w:val="single" w:color="auto" w:sz="4" w:space="0"/>
                  <w:right w:val="single" w:color="auto" w:sz="4" w:space="0"/>
                </w:tcBorders>
                <w:vAlign w:val="center"/>
              </w:tcPr>
              <w:p w14:paraId="6D8BDF4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收入</w:t>
                </w:r>
              </w:p>
            </w:tc>
          </w:sdtContent>
        </w:sdt>
        <w:sdt>
          <w:sdtPr>
            <w:tag w:val="_PLD_d09deaa2e4d443459a3584a1d7e92203"/>
            <w:id w:val="842202914"/>
          </w:sdtPr>
          <w:sdtContent>
            <w:tc>
              <w:tcPr>
                <w:tcW w:w="1050" w:type="pct"/>
                <w:tcBorders>
                  <w:top w:val="single" w:color="auto" w:sz="4" w:space="0"/>
                  <w:left w:val="single" w:color="auto" w:sz="4" w:space="0"/>
                  <w:bottom w:val="single" w:color="auto" w:sz="4" w:space="0"/>
                  <w:right w:val="single" w:color="auto" w:sz="4" w:space="0"/>
                </w:tcBorders>
                <w:vAlign w:val="center"/>
              </w:tcPr>
              <w:p w14:paraId="2A007B4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成本</w:t>
                </w:r>
              </w:p>
            </w:tc>
          </w:sdtContent>
        </w:sdt>
      </w:tr>
      <w:tr w14:paraId="3510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pct"/>
            <w:tcBorders>
              <w:top w:val="single" w:color="auto" w:sz="4" w:space="0"/>
              <w:left w:val="single" w:color="auto" w:sz="4" w:space="0"/>
              <w:bottom w:val="single" w:color="auto" w:sz="4" w:space="0"/>
              <w:right w:val="single" w:color="auto" w:sz="4" w:space="0"/>
            </w:tcBorders>
          </w:tcPr>
          <w:p w14:paraId="1078434F">
            <w:pPr>
              <w:rPr>
                <w:color w:val="000000" w:themeColor="text1"/>
                <w14:textFill>
                  <w14:solidFill>
                    <w14:schemeClr w14:val="tx1"/>
                  </w14:solidFill>
                </w14:textFill>
              </w:rPr>
            </w:pPr>
            <w:r>
              <w:rPr>
                <w:rFonts w:hint="eastAsia"/>
                <w:color w:val="000000" w:themeColor="text1"/>
                <w14:textFill>
                  <w14:solidFill>
                    <w14:schemeClr w14:val="tx1"/>
                  </w14:solidFill>
                </w14:textFill>
              </w:rPr>
              <w:t>主营业务</w:t>
            </w:r>
          </w:p>
        </w:tc>
        <w:tc>
          <w:tcPr>
            <w:tcW w:w="1044" w:type="pct"/>
            <w:tcBorders>
              <w:top w:val="single" w:color="auto" w:sz="4" w:space="0"/>
              <w:left w:val="single" w:color="auto" w:sz="4" w:space="0"/>
              <w:bottom w:val="single" w:color="auto" w:sz="4" w:space="0"/>
              <w:right w:val="single" w:color="auto" w:sz="4" w:space="0"/>
            </w:tcBorders>
          </w:tcPr>
          <w:p w14:paraId="70BAF58E">
            <w:pPr>
              <w:jc w:val="right"/>
            </w:pPr>
            <w:r>
              <w:t>793,727,447.68</w:t>
            </w:r>
          </w:p>
        </w:tc>
        <w:tc>
          <w:tcPr>
            <w:tcW w:w="1051" w:type="pct"/>
            <w:tcBorders>
              <w:top w:val="single" w:color="auto" w:sz="4" w:space="0"/>
              <w:left w:val="single" w:color="auto" w:sz="4" w:space="0"/>
              <w:bottom w:val="single" w:color="auto" w:sz="4" w:space="0"/>
              <w:right w:val="single" w:color="auto" w:sz="4" w:space="0"/>
            </w:tcBorders>
          </w:tcPr>
          <w:p w14:paraId="4F6B29D8">
            <w:pPr>
              <w:jc w:val="right"/>
            </w:pPr>
            <w:r>
              <w:t>659,259,625.79</w:t>
            </w:r>
          </w:p>
        </w:tc>
        <w:tc>
          <w:tcPr>
            <w:tcW w:w="1050" w:type="pct"/>
            <w:tcBorders>
              <w:top w:val="single" w:color="auto" w:sz="4" w:space="0"/>
              <w:left w:val="single" w:color="auto" w:sz="4" w:space="0"/>
              <w:bottom w:val="single" w:color="auto" w:sz="4" w:space="0"/>
              <w:right w:val="single" w:color="auto" w:sz="4" w:space="0"/>
            </w:tcBorders>
          </w:tcPr>
          <w:p w14:paraId="5D31149D">
            <w:pPr>
              <w:jc w:val="right"/>
            </w:pPr>
            <w:r>
              <w:t>700,055,508.84</w:t>
            </w:r>
          </w:p>
        </w:tc>
        <w:tc>
          <w:tcPr>
            <w:tcW w:w="1050" w:type="pct"/>
            <w:tcBorders>
              <w:top w:val="single" w:color="auto" w:sz="4" w:space="0"/>
              <w:left w:val="single" w:color="auto" w:sz="4" w:space="0"/>
              <w:bottom w:val="single" w:color="auto" w:sz="4" w:space="0"/>
              <w:right w:val="single" w:color="auto" w:sz="4" w:space="0"/>
            </w:tcBorders>
          </w:tcPr>
          <w:p w14:paraId="3EF0C060">
            <w:pPr>
              <w:jc w:val="right"/>
            </w:pPr>
            <w:r>
              <w:t>561,938,079.84</w:t>
            </w:r>
          </w:p>
        </w:tc>
      </w:tr>
      <w:tr w14:paraId="3207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pct"/>
            <w:tcBorders>
              <w:top w:val="single" w:color="auto" w:sz="4" w:space="0"/>
              <w:left w:val="single" w:color="auto" w:sz="4" w:space="0"/>
              <w:bottom w:val="single" w:color="auto" w:sz="4" w:space="0"/>
              <w:right w:val="single" w:color="auto" w:sz="4" w:space="0"/>
            </w:tcBorders>
          </w:tcPr>
          <w:p w14:paraId="64912E9F">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其他业务</w:t>
            </w:r>
          </w:p>
        </w:tc>
        <w:tc>
          <w:tcPr>
            <w:tcW w:w="1044" w:type="pct"/>
            <w:tcBorders>
              <w:top w:val="single" w:color="auto" w:sz="4" w:space="0"/>
              <w:left w:val="single" w:color="auto" w:sz="4" w:space="0"/>
              <w:bottom w:val="single" w:color="auto" w:sz="4" w:space="0"/>
              <w:right w:val="single" w:color="auto" w:sz="4" w:space="0"/>
            </w:tcBorders>
          </w:tcPr>
          <w:p w14:paraId="30B66E64">
            <w:pPr>
              <w:jc w:val="right"/>
            </w:pPr>
            <w:r>
              <w:t>9,336,081.43</w:t>
            </w:r>
          </w:p>
        </w:tc>
        <w:tc>
          <w:tcPr>
            <w:tcW w:w="1051" w:type="pct"/>
            <w:tcBorders>
              <w:top w:val="single" w:color="auto" w:sz="4" w:space="0"/>
              <w:left w:val="single" w:color="auto" w:sz="4" w:space="0"/>
              <w:bottom w:val="single" w:color="auto" w:sz="4" w:space="0"/>
              <w:right w:val="single" w:color="auto" w:sz="4" w:space="0"/>
            </w:tcBorders>
          </w:tcPr>
          <w:p w14:paraId="61B5C9FE">
            <w:pPr>
              <w:jc w:val="right"/>
            </w:pPr>
            <w:r>
              <w:t>5,870,248.61</w:t>
            </w:r>
          </w:p>
        </w:tc>
        <w:tc>
          <w:tcPr>
            <w:tcW w:w="1050" w:type="pct"/>
            <w:tcBorders>
              <w:top w:val="single" w:color="auto" w:sz="4" w:space="0"/>
              <w:left w:val="single" w:color="auto" w:sz="4" w:space="0"/>
              <w:bottom w:val="single" w:color="auto" w:sz="4" w:space="0"/>
              <w:right w:val="single" w:color="auto" w:sz="4" w:space="0"/>
            </w:tcBorders>
          </w:tcPr>
          <w:p w14:paraId="1613030C">
            <w:pPr>
              <w:jc w:val="right"/>
            </w:pPr>
            <w:r>
              <w:t>10,665,286.63</w:t>
            </w:r>
          </w:p>
        </w:tc>
        <w:tc>
          <w:tcPr>
            <w:tcW w:w="1050" w:type="pct"/>
            <w:tcBorders>
              <w:top w:val="single" w:color="auto" w:sz="4" w:space="0"/>
              <w:left w:val="single" w:color="auto" w:sz="4" w:space="0"/>
              <w:bottom w:val="single" w:color="auto" w:sz="4" w:space="0"/>
              <w:right w:val="single" w:color="auto" w:sz="4" w:space="0"/>
            </w:tcBorders>
          </w:tcPr>
          <w:p w14:paraId="72689ACE">
            <w:pPr>
              <w:jc w:val="right"/>
            </w:pPr>
            <w:r>
              <w:t>5,746,016.80</w:t>
            </w:r>
          </w:p>
        </w:tc>
      </w:tr>
      <w:tr w14:paraId="0D4E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pct"/>
            <w:tcBorders>
              <w:top w:val="single" w:color="auto" w:sz="4" w:space="0"/>
              <w:left w:val="single" w:color="auto" w:sz="4" w:space="0"/>
              <w:bottom w:val="single" w:color="auto" w:sz="4" w:space="0"/>
              <w:right w:val="single" w:color="auto" w:sz="4" w:space="0"/>
            </w:tcBorders>
            <w:vAlign w:val="center"/>
          </w:tcPr>
          <w:p w14:paraId="6D8CE52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044" w:type="pct"/>
            <w:tcBorders>
              <w:top w:val="single" w:color="auto" w:sz="4" w:space="0"/>
              <w:left w:val="single" w:color="auto" w:sz="4" w:space="0"/>
              <w:bottom w:val="single" w:color="auto" w:sz="4" w:space="0"/>
              <w:right w:val="single" w:color="auto" w:sz="4" w:space="0"/>
            </w:tcBorders>
          </w:tcPr>
          <w:p w14:paraId="5140D865">
            <w:pPr>
              <w:jc w:val="right"/>
            </w:pPr>
            <w:r>
              <w:t>803,063,529.11</w:t>
            </w:r>
          </w:p>
        </w:tc>
        <w:tc>
          <w:tcPr>
            <w:tcW w:w="1051" w:type="pct"/>
            <w:tcBorders>
              <w:top w:val="single" w:color="auto" w:sz="4" w:space="0"/>
              <w:left w:val="single" w:color="auto" w:sz="4" w:space="0"/>
              <w:bottom w:val="single" w:color="auto" w:sz="4" w:space="0"/>
              <w:right w:val="single" w:color="auto" w:sz="4" w:space="0"/>
            </w:tcBorders>
          </w:tcPr>
          <w:p w14:paraId="3FBA8E02">
            <w:pPr>
              <w:jc w:val="right"/>
            </w:pPr>
            <w:r>
              <w:t>665,129,874.40</w:t>
            </w:r>
          </w:p>
        </w:tc>
        <w:tc>
          <w:tcPr>
            <w:tcW w:w="1050" w:type="pct"/>
            <w:tcBorders>
              <w:top w:val="single" w:color="auto" w:sz="4" w:space="0"/>
              <w:left w:val="single" w:color="auto" w:sz="4" w:space="0"/>
              <w:bottom w:val="single" w:color="auto" w:sz="4" w:space="0"/>
              <w:right w:val="single" w:color="auto" w:sz="4" w:space="0"/>
            </w:tcBorders>
          </w:tcPr>
          <w:p w14:paraId="72E6AB1B">
            <w:pPr>
              <w:jc w:val="right"/>
            </w:pPr>
            <w:r>
              <w:t>710,720,795.47</w:t>
            </w:r>
          </w:p>
        </w:tc>
        <w:tc>
          <w:tcPr>
            <w:tcW w:w="1050" w:type="pct"/>
            <w:tcBorders>
              <w:top w:val="single" w:color="auto" w:sz="4" w:space="0"/>
              <w:left w:val="single" w:color="auto" w:sz="4" w:space="0"/>
              <w:bottom w:val="single" w:color="auto" w:sz="4" w:space="0"/>
              <w:right w:val="single" w:color="auto" w:sz="4" w:space="0"/>
            </w:tcBorders>
          </w:tcPr>
          <w:p w14:paraId="163F167C">
            <w:pPr>
              <w:jc w:val="right"/>
            </w:pPr>
            <w:r>
              <w:t>567,684,096.64</w:t>
            </w:r>
          </w:p>
        </w:tc>
      </w:tr>
    </w:tbl>
    <w:p w14:paraId="0F111310">
      <w:pPr>
        <w:rPr>
          <w:color w:val="000000" w:themeColor="text1"/>
          <w14:textFill>
            <w14:solidFill>
              <w14:schemeClr w14:val="tx1"/>
            </w14:solidFill>
          </w14:textFill>
        </w:rPr>
      </w:pPr>
    </w:p>
    <w:sdt>
      <w:sdtPr>
        <w:rPr>
          <w:rFonts w:hint="eastAsia" w:ascii="宋体" w:hAnsi="宋体" w:cs="宋体"/>
          <w:b w:val="0"/>
          <w:bCs/>
          <w:color w:val="000000" w:themeColor="text1"/>
          <w:kern w:val="0"/>
          <w:szCs w:val="24"/>
          <w14:textFill>
            <w14:solidFill>
              <w14:schemeClr w14:val="tx1"/>
            </w14:solidFill>
          </w14:textFill>
        </w:rPr>
        <w:alias w:val="模块:合同产生的收入的情况"/>
        <w:tag w:val="_SEC_c4e8c6d213eb4da9850e04355e0aa292"/>
        <w:id w:val="-1816785728"/>
        <w:placeholder>
          <w:docPart w:val="GBC22222222222222222222222222222"/>
        </w:placeholder>
      </w:sdtPr>
      <w:sdtEndPr>
        <w:rPr>
          <w:rFonts w:hint="default" w:ascii="Times New Roman" w:hAnsi="Times New Roman" w:cs="宋体"/>
          <w:b w:val="0"/>
          <w:bCs/>
          <w:color w:val="000000" w:themeColor="text1"/>
          <w:kern w:val="0"/>
          <w:szCs w:val="21"/>
          <w14:textFill>
            <w14:solidFill>
              <w14:schemeClr w14:val="tx1"/>
            </w14:solidFill>
          </w14:textFill>
        </w:rPr>
      </w:sdtEndPr>
      <w:sdtContent>
        <w:p w14:paraId="1D14FCFE">
          <w:pPr>
            <w:pStyle w:val="5"/>
            <w:numPr>
              <w:ilvl w:val="0"/>
              <w:numId w:val="86"/>
            </w:numPr>
            <w:ind w:left="426" w:hanging="426"/>
            <w:rPr>
              <w:color w:val="000000" w:themeColor="text1"/>
              <w14:textFill>
                <w14:solidFill>
                  <w14:schemeClr w14:val="tx1"/>
                </w14:solidFill>
              </w14:textFill>
            </w:rPr>
          </w:pPr>
          <w:bookmarkStart w:id="363" w:name="_Hlk533756233"/>
          <w:bookmarkStart w:id="364" w:name="_Hlk167969685"/>
          <w:r>
            <w:rPr>
              <w:rFonts w:hint="eastAsia"/>
              <w:color w:val="000000" w:themeColor="text1"/>
              <w14:textFill>
                <w14:solidFill>
                  <w14:schemeClr w14:val="tx1"/>
                </w14:solidFill>
              </w14:textFill>
            </w:rPr>
            <w:t>营业收入、营业成本的分解信息</w:t>
          </w:r>
        </w:p>
        <w:sdt>
          <w:sdtPr>
            <w:rPr>
              <w:rFonts w:ascii="宋体" w:hAnsi="宋体"/>
              <w:color w:val="000000" w:themeColor="text1"/>
              <w:szCs w:val="21"/>
              <w14:textFill>
                <w14:solidFill>
                  <w14:schemeClr w14:val="tx1"/>
                </w14:solidFill>
              </w14:textFill>
            </w:rPr>
            <w:alias w:val="是否适用：营业收入、营业成本的分解信息 [双击切换]"/>
            <w:tag w:val="_GBC_efc78032c33b40119a8d8db1511a7505"/>
            <w:id w:val="1004869369"/>
            <w:placeholder>
              <w:docPart w:val="GBC22222222222222222222222222222"/>
            </w:placeholder>
          </w:sdtPr>
          <w:sdtEndPr>
            <w:rPr>
              <w:rFonts w:ascii="宋体" w:hAnsi="宋体"/>
              <w:color w:val="000000" w:themeColor="text1"/>
              <w:szCs w:val="21"/>
              <w14:textFill>
                <w14:solidFill>
                  <w14:schemeClr w14:val="tx1"/>
                </w14:solidFill>
              </w14:textFill>
            </w:rPr>
          </w:sdtEndPr>
          <w:sdtContent>
            <w:p w14:paraId="493A6E3F">
              <w:pPr>
                <w:pStyle w:val="55"/>
                <w:ind w:firstLine="0" w:firstLineChars="0"/>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fldChar w:fldCharType="begin"/>
              </w:r>
              <w:r>
                <w:rPr>
                  <w:rFonts w:ascii="宋体" w:hAnsi="宋体"/>
                  <w:color w:val="000000" w:themeColor="text1"/>
                  <w:szCs w:val="21"/>
                  <w14:textFill>
                    <w14:solidFill>
                      <w14:schemeClr w14:val="tx1"/>
                    </w14:solidFill>
                  </w14:textFill>
                </w:rPr>
                <w:instrText xml:space="preserve"> MACROBUTTON  SnrToggleCheckbox √适用 </w:instrText>
              </w:r>
              <w:r>
                <w:rPr>
                  <w:rFonts w:ascii="宋体" w:hAnsi="宋体"/>
                  <w:color w:val="000000" w:themeColor="text1"/>
                  <w:szCs w:val="21"/>
                  <w14:textFill>
                    <w14:solidFill>
                      <w14:schemeClr w14:val="tx1"/>
                    </w14:solidFill>
                  </w14:textFill>
                </w:rPr>
                <w:fldChar w:fldCharType="end"/>
              </w:r>
              <w:r>
                <w:rPr>
                  <w:rFonts w:ascii="宋体" w:hAnsi="宋体"/>
                  <w:color w:val="000000" w:themeColor="text1"/>
                  <w:szCs w:val="21"/>
                  <w14:textFill>
                    <w14:solidFill>
                      <w14:schemeClr w14:val="tx1"/>
                    </w14:solidFill>
                  </w14:textFill>
                </w:rPr>
                <w:fldChar w:fldCharType="begin"/>
              </w:r>
              <w:r>
                <w:rPr>
                  <w:rFonts w:ascii="宋体" w:hAnsi="宋体"/>
                  <w:color w:val="000000" w:themeColor="text1"/>
                  <w:szCs w:val="21"/>
                  <w14:textFill>
                    <w14:solidFill>
                      <w14:schemeClr w14:val="tx1"/>
                    </w14:solidFill>
                  </w14:textFill>
                </w:rPr>
                <w:instrText xml:space="preserve"> MACROBUTTON  SnrToggleCheckbox □不适用 </w:instrText>
              </w:r>
              <w:r>
                <w:rPr>
                  <w:rFonts w:ascii="宋体" w:hAnsi="宋体"/>
                  <w:color w:val="000000" w:themeColor="text1"/>
                  <w:szCs w:val="21"/>
                  <w14:textFill>
                    <w14:solidFill>
                      <w14:schemeClr w14:val="tx1"/>
                    </w14:solidFill>
                  </w14:textFill>
                </w:rPr>
                <w:fldChar w:fldCharType="end"/>
              </w:r>
            </w:p>
          </w:sdtContent>
        </w:sdt>
        <w:p w14:paraId="61A435C9">
          <w:pPr>
            <w:pStyle w:val="55"/>
            <w:ind w:firstLine="0" w:firstLineChars="0"/>
            <w:jc w:val="righ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w:t>
          </w:r>
          <w:sdt>
            <w:sdtPr>
              <w:rPr>
                <w:rFonts w:hint="eastAsia" w:ascii="宋体" w:hAnsi="宋体"/>
                <w:color w:val="000000" w:themeColor="text1"/>
                <w:szCs w:val="21"/>
                <w14:textFill>
                  <w14:solidFill>
                    <w14:schemeClr w14:val="tx1"/>
                  </w14:solidFill>
                </w14:textFill>
              </w:rPr>
              <w:alias w:val="单位：营业收入、营业成本的分解信息 "/>
              <w:tag w:val="_GBC_3ccd36a6a17f4de6846b5579f456e2eb"/>
              <w:id w:val="-19341199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元</w:t>
              </w:r>
            </w:sdtContent>
          </w:sdt>
          <w:r>
            <w:rPr>
              <w:rFonts w:hint="eastAsia" w:ascii="宋体" w:hAnsi="宋体"/>
              <w:color w:val="000000" w:themeColor="text1"/>
              <w:szCs w:val="21"/>
              <w14:textFill>
                <w14:solidFill>
                  <w14:schemeClr w14:val="tx1"/>
                </w14:solidFill>
              </w14:textFill>
            </w:rPr>
            <w:t xml:space="preserve">  币种：</w:t>
          </w:r>
          <w:sdt>
            <w:sdtPr>
              <w:rPr>
                <w:rFonts w:hint="eastAsia" w:ascii="宋体" w:hAnsi="宋体"/>
                <w:color w:val="000000" w:themeColor="text1"/>
                <w:szCs w:val="21"/>
                <w14:textFill>
                  <w14:solidFill>
                    <w14:schemeClr w14:val="tx1"/>
                  </w14:solidFill>
                </w14:textFill>
              </w:rPr>
              <w:alias w:val="币种：营业收入、营业成本的分解信息 "/>
              <w:tag w:val="_GBC_4476d84f223c43caad2810c5a30db364"/>
              <w:id w:val="-15792801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23"/>
            <w:gridCol w:w="2752"/>
            <w:gridCol w:w="2748"/>
          </w:tblGrid>
          <w:tr w14:paraId="7F4C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c4e262a708374d868aa4623ec11e26b7"/>
                <w:id w:val="-2007125533"/>
              </w:sdtPr>
              <w:sdtContent>
                <w:tc>
                  <w:tcPr>
                    <w:tcW w:w="1883" w:type="pct"/>
                    <w:vMerge w:val="restart"/>
                    <w:tcBorders>
                      <w:top w:val="single" w:color="auto" w:sz="4" w:space="0"/>
                      <w:left w:val="single" w:color="auto" w:sz="4" w:space="0"/>
                      <w:right w:val="single" w:color="auto" w:sz="4" w:space="0"/>
                    </w:tcBorders>
                    <w:vAlign w:val="center"/>
                  </w:tcPr>
                  <w:p w14:paraId="4F9F8F4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合同分类</w:t>
                    </w:r>
                  </w:p>
                </w:tc>
              </w:sdtContent>
            </w:sdt>
            <w:sdt>
              <w:sdtPr>
                <w:tag w:val="_PLD_2383d04a4c7d404b94d983ebd7656098"/>
                <w:id w:val="801042071"/>
              </w:sdtPr>
              <w:sdtContent>
                <w:tc>
                  <w:tcPr>
                    <w:tcW w:w="3116" w:type="pct"/>
                    <w:gridSpan w:val="2"/>
                    <w:tcBorders>
                      <w:top w:val="single" w:color="auto" w:sz="4" w:space="0"/>
                      <w:left w:val="single" w:color="auto" w:sz="4" w:space="0"/>
                      <w:bottom w:val="single" w:color="auto" w:sz="4" w:space="0"/>
                      <w:right w:val="single" w:color="auto" w:sz="4" w:space="0"/>
                    </w:tcBorders>
                    <w:vAlign w:val="center"/>
                  </w:tcPr>
                  <w:p w14:paraId="3748CF7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sdtContent>
            </w:sdt>
          </w:tr>
          <w:tr w14:paraId="663C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pct"/>
                <w:vMerge w:val="continue"/>
                <w:tcBorders>
                  <w:left w:val="single" w:color="auto" w:sz="4" w:space="0"/>
                  <w:bottom w:val="single" w:color="auto" w:sz="4" w:space="0"/>
                  <w:right w:val="single" w:color="auto" w:sz="4" w:space="0"/>
                </w:tcBorders>
              </w:tcPr>
              <w:p w14:paraId="43F23FA6">
                <w:pPr>
                  <w:jc w:val="center"/>
                  <w:rPr>
                    <w:color w:val="000000" w:themeColor="text1"/>
                    <w14:textFill>
                      <w14:solidFill>
                        <w14:schemeClr w14:val="tx1"/>
                      </w14:solidFill>
                    </w14:textFill>
                  </w:rPr>
                </w:pPr>
              </w:p>
            </w:tc>
            <w:sdt>
              <w:sdtPr>
                <w:tag w:val="_PLD_58de911da1324e8586f84ab9937bcdeb"/>
                <w:id w:val="-973293104"/>
              </w:sdtPr>
              <w:sdtContent>
                <w:tc>
                  <w:tcPr>
                    <w:tcW w:w="1559" w:type="pct"/>
                    <w:tcBorders>
                      <w:top w:val="single" w:color="auto" w:sz="4" w:space="0"/>
                      <w:left w:val="single" w:color="auto" w:sz="4" w:space="0"/>
                      <w:bottom w:val="single" w:color="auto" w:sz="4" w:space="0"/>
                      <w:right w:val="single" w:color="auto" w:sz="4" w:space="0"/>
                    </w:tcBorders>
                    <w:vAlign w:val="center"/>
                  </w:tcPr>
                  <w:p w14:paraId="3F809F8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营业收入</w:t>
                    </w:r>
                  </w:p>
                </w:tc>
              </w:sdtContent>
            </w:sdt>
            <w:sdt>
              <w:sdtPr>
                <w:tag w:val="_PLD_b60d678e181949d998ae7d21f7dd9556"/>
                <w:id w:val="-771710416"/>
              </w:sdtPr>
              <w:sdtContent>
                <w:tc>
                  <w:tcPr>
                    <w:tcW w:w="1557" w:type="pct"/>
                    <w:tcBorders>
                      <w:top w:val="single" w:color="auto" w:sz="4" w:space="0"/>
                      <w:left w:val="single" w:color="auto" w:sz="4" w:space="0"/>
                      <w:bottom w:val="single" w:color="auto" w:sz="4" w:space="0"/>
                      <w:right w:val="single" w:color="auto" w:sz="4" w:space="0"/>
                    </w:tcBorders>
                    <w:vAlign w:val="center"/>
                  </w:tcPr>
                  <w:p w14:paraId="447561F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营业成本</w:t>
                    </w:r>
                  </w:p>
                </w:tc>
              </w:sdtContent>
            </w:sdt>
          </w:tr>
          <w:tr w14:paraId="61E1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pct"/>
                <w:tcBorders>
                  <w:top w:val="single" w:color="auto" w:sz="4" w:space="0"/>
                  <w:left w:val="single" w:color="auto" w:sz="4" w:space="0"/>
                  <w:bottom w:val="single" w:color="auto" w:sz="4" w:space="0"/>
                  <w:right w:val="single" w:color="auto" w:sz="4" w:space="0"/>
                </w:tcBorders>
                <w:vAlign w:val="center"/>
              </w:tcPr>
              <w:p w14:paraId="397E3BD0">
                <w:pPr>
                  <w:rPr>
                    <w:color w:val="000000" w:themeColor="text1"/>
                    <w14:textFill>
                      <w14:solidFill>
                        <w14:schemeClr w14:val="tx1"/>
                      </w14:solidFill>
                    </w14:textFill>
                  </w:rPr>
                </w:pPr>
                <w:r>
                  <w:rPr>
                    <w:rFonts w:hint="eastAsia" w:ascii="宋体" w:hAnsi="宋体"/>
                  </w:rPr>
                  <w:t>商品类型</w:t>
                </w:r>
              </w:p>
            </w:tc>
            <w:tc>
              <w:tcPr>
                <w:tcW w:w="1559" w:type="pct"/>
                <w:tcBorders>
                  <w:top w:val="single" w:color="auto" w:sz="4" w:space="0"/>
                  <w:left w:val="single" w:color="auto" w:sz="4" w:space="0"/>
                  <w:bottom w:val="single" w:color="auto" w:sz="4" w:space="0"/>
                  <w:right w:val="single" w:color="auto" w:sz="4" w:space="0"/>
                </w:tcBorders>
              </w:tcPr>
              <w:p w14:paraId="3AC968B7">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557" w:type="pct"/>
                <w:tcBorders>
                  <w:top w:val="single" w:color="auto" w:sz="4" w:space="0"/>
                  <w:left w:val="single" w:color="auto" w:sz="4" w:space="0"/>
                  <w:bottom w:val="single" w:color="auto" w:sz="4" w:space="0"/>
                  <w:right w:val="single" w:color="auto" w:sz="4" w:space="0"/>
                </w:tcBorders>
              </w:tcPr>
              <w:p w14:paraId="5BC2F943">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24F0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pct"/>
                <w:tcBorders>
                  <w:top w:val="single" w:color="auto" w:sz="4" w:space="0"/>
                  <w:left w:val="single" w:color="auto" w:sz="4" w:space="0"/>
                  <w:bottom w:val="single" w:color="auto" w:sz="4" w:space="0"/>
                  <w:right w:val="single" w:color="auto" w:sz="4" w:space="0"/>
                </w:tcBorders>
                <w:vAlign w:val="center"/>
              </w:tcPr>
              <w:p w14:paraId="217119FC">
                <w:pPr>
                  <w:ind w:firstLine="420" w:firstLineChars="200"/>
                </w:pPr>
                <w:r>
                  <w:rPr>
                    <w:rFonts w:hint="eastAsia" w:ascii="宋体" w:hAnsi="宋体"/>
                  </w:rPr>
                  <w:t>海参产品</w:t>
                </w:r>
              </w:p>
            </w:tc>
            <w:tc>
              <w:tcPr>
                <w:tcW w:w="1559" w:type="pct"/>
                <w:tcBorders>
                  <w:top w:val="single" w:color="auto" w:sz="4" w:space="0"/>
                  <w:left w:val="single" w:color="auto" w:sz="4" w:space="0"/>
                  <w:bottom w:val="single" w:color="auto" w:sz="4" w:space="0"/>
                  <w:right w:val="single" w:color="auto" w:sz="4" w:space="0"/>
                </w:tcBorders>
              </w:tcPr>
              <w:p w14:paraId="0AFE8A3A">
                <w:pPr>
                  <w:jc w:val="right"/>
                </w:pPr>
                <w:r>
                  <w:t>410,914,157.20</w:t>
                </w:r>
              </w:p>
            </w:tc>
            <w:tc>
              <w:tcPr>
                <w:tcW w:w="1557" w:type="pct"/>
                <w:tcBorders>
                  <w:top w:val="single" w:color="auto" w:sz="4" w:space="0"/>
                  <w:left w:val="single" w:color="auto" w:sz="4" w:space="0"/>
                  <w:bottom w:val="single" w:color="auto" w:sz="4" w:space="0"/>
                  <w:right w:val="single" w:color="auto" w:sz="4" w:space="0"/>
                </w:tcBorders>
              </w:tcPr>
              <w:p w14:paraId="620996F4">
                <w:pPr>
                  <w:jc w:val="right"/>
                </w:pPr>
                <w:r>
                  <w:t>314,970,349.43</w:t>
                </w:r>
              </w:p>
            </w:tc>
          </w:tr>
          <w:tr w14:paraId="0D9F9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pct"/>
                <w:tcBorders>
                  <w:top w:val="single" w:color="auto" w:sz="4" w:space="0"/>
                  <w:left w:val="single" w:color="auto" w:sz="4" w:space="0"/>
                  <w:bottom w:val="single" w:color="auto" w:sz="4" w:space="0"/>
                  <w:right w:val="single" w:color="auto" w:sz="4" w:space="0"/>
                </w:tcBorders>
                <w:vAlign w:val="center"/>
              </w:tcPr>
              <w:p w14:paraId="4C5522DA">
                <w:pPr>
                  <w:ind w:firstLine="420" w:firstLineChars="200"/>
                  <w:rPr>
                    <w:color w:val="000000" w:themeColor="text1"/>
                    <w14:textFill>
                      <w14:solidFill>
                        <w14:schemeClr w14:val="tx1"/>
                      </w14:solidFill>
                    </w14:textFill>
                  </w:rPr>
                </w:pPr>
                <w:r>
                  <w:rPr>
                    <w:rFonts w:hint="eastAsia" w:ascii="宋体" w:hAnsi="宋体"/>
                  </w:rPr>
                  <w:t>冷冻调理食品</w:t>
                </w:r>
              </w:p>
            </w:tc>
            <w:tc>
              <w:tcPr>
                <w:tcW w:w="1559" w:type="pct"/>
                <w:tcBorders>
                  <w:top w:val="single" w:color="auto" w:sz="4" w:space="0"/>
                  <w:left w:val="single" w:color="auto" w:sz="4" w:space="0"/>
                  <w:bottom w:val="single" w:color="auto" w:sz="4" w:space="0"/>
                  <w:right w:val="single" w:color="auto" w:sz="4" w:space="0"/>
                </w:tcBorders>
              </w:tcPr>
              <w:p w14:paraId="7926D8BD">
                <w:pPr>
                  <w:jc w:val="right"/>
                  <w:rPr>
                    <w:color w:val="000000" w:themeColor="text1"/>
                    <w14:textFill>
                      <w14:solidFill>
                        <w14:schemeClr w14:val="tx1"/>
                      </w14:solidFill>
                    </w14:textFill>
                  </w:rPr>
                </w:pPr>
                <w:r>
                  <w:rPr>
                    <w:color w:val="000000" w:themeColor="text1"/>
                    <w14:textFill>
                      <w14:solidFill>
                        <w14:schemeClr w14:val="tx1"/>
                      </w14:solidFill>
                    </w14:textFill>
                  </w:rPr>
                  <w:t>308,432,458.42</w:t>
                </w:r>
              </w:p>
            </w:tc>
            <w:tc>
              <w:tcPr>
                <w:tcW w:w="1557" w:type="pct"/>
                <w:tcBorders>
                  <w:top w:val="single" w:color="auto" w:sz="4" w:space="0"/>
                  <w:left w:val="single" w:color="auto" w:sz="4" w:space="0"/>
                  <w:bottom w:val="single" w:color="auto" w:sz="4" w:space="0"/>
                  <w:right w:val="single" w:color="auto" w:sz="4" w:space="0"/>
                </w:tcBorders>
              </w:tcPr>
              <w:p w14:paraId="6255B8CE">
                <w:pPr>
                  <w:jc w:val="right"/>
                  <w:rPr>
                    <w:color w:val="000000" w:themeColor="text1"/>
                    <w14:textFill>
                      <w14:solidFill>
                        <w14:schemeClr w14:val="tx1"/>
                      </w14:solidFill>
                    </w14:textFill>
                  </w:rPr>
                </w:pPr>
                <w:r>
                  <w:rPr>
                    <w:color w:val="000000" w:themeColor="text1"/>
                    <w14:textFill>
                      <w14:solidFill>
                        <w14:schemeClr w14:val="tx1"/>
                      </w14:solidFill>
                    </w14:textFill>
                  </w:rPr>
                  <w:t>274,238,003.77</w:t>
                </w:r>
              </w:p>
            </w:tc>
          </w:tr>
          <w:tr w14:paraId="4BF5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pct"/>
                <w:tcBorders>
                  <w:top w:val="single" w:color="auto" w:sz="4" w:space="0"/>
                  <w:left w:val="single" w:color="auto" w:sz="4" w:space="0"/>
                  <w:bottom w:val="single" w:color="auto" w:sz="4" w:space="0"/>
                  <w:right w:val="single" w:color="auto" w:sz="4" w:space="0"/>
                </w:tcBorders>
                <w:vAlign w:val="center"/>
              </w:tcPr>
              <w:p w14:paraId="3D950D7C">
                <w:pPr>
                  <w:ind w:firstLine="420" w:firstLineChars="200"/>
                  <w:rPr>
                    <w:color w:val="000000" w:themeColor="text1"/>
                    <w14:textFill>
                      <w14:solidFill>
                        <w14:schemeClr w14:val="tx1"/>
                      </w14:solidFill>
                    </w14:textFill>
                  </w:rPr>
                </w:pPr>
                <w:r>
                  <w:rPr>
                    <w:rFonts w:hint="eastAsia" w:ascii="宋体" w:hAnsi="宋体"/>
                  </w:rPr>
                  <w:t>捕捞海产品</w:t>
                </w:r>
              </w:p>
            </w:tc>
            <w:tc>
              <w:tcPr>
                <w:tcW w:w="1559" w:type="pct"/>
                <w:tcBorders>
                  <w:top w:val="single" w:color="auto" w:sz="4" w:space="0"/>
                  <w:left w:val="single" w:color="auto" w:sz="4" w:space="0"/>
                  <w:bottom w:val="single" w:color="auto" w:sz="4" w:space="0"/>
                  <w:right w:val="single" w:color="auto" w:sz="4" w:space="0"/>
                </w:tcBorders>
              </w:tcPr>
              <w:p w14:paraId="1A332CD5">
                <w:pPr>
                  <w:jc w:val="right"/>
                  <w:rPr>
                    <w:color w:val="000000" w:themeColor="text1"/>
                    <w14:textFill>
                      <w14:solidFill>
                        <w14:schemeClr w14:val="tx1"/>
                      </w14:solidFill>
                    </w14:textFill>
                  </w:rPr>
                </w:pPr>
                <w:r>
                  <w:rPr>
                    <w:color w:val="000000" w:themeColor="text1"/>
                    <w14:textFill>
                      <w14:solidFill>
                        <w14:schemeClr w14:val="tx1"/>
                      </w14:solidFill>
                    </w14:textFill>
                  </w:rPr>
                  <w:t>74,380,832.06</w:t>
                </w:r>
              </w:p>
            </w:tc>
            <w:tc>
              <w:tcPr>
                <w:tcW w:w="1557" w:type="pct"/>
                <w:tcBorders>
                  <w:top w:val="single" w:color="auto" w:sz="4" w:space="0"/>
                  <w:left w:val="single" w:color="auto" w:sz="4" w:space="0"/>
                  <w:bottom w:val="single" w:color="auto" w:sz="4" w:space="0"/>
                  <w:right w:val="single" w:color="auto" w:sz="4" w:space="0"/>
                </w:tcBorders>
              </w:tcPr>
              <w:p w14:paraId="384BB89A">
                <w:pPr>
                  <w:jc w:val="right"/>
                  <w:rPr>
                    <w:color w:val="000000" w:themeColor="text1"/>
                    <w14:textFill>
                      <w14:solidFill>
                        <w14:schemeClr w14:val="tx1"/>
                      </w14:solidFill>
                    </w14:textFill>
                  </w:rPr>
                </w:pPr>
                <w:r>
                  <w:rPr>
                    <w:color w:val="000000" w:themeColor="text1"/>
                    <w14:textFill>
                      <w14:solidFill>
                        <w14:schemeClr w14:val="tx1"/>
                      </w14:solidFill>
                    </w14:textFill>
                  </w:rPr>
                  <w:t>70,051,272.59</w:t>
                </w:r>
              </w:p>
            </w:tc>
          </w:tr>
          <w:tr w14:paraId="2382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pct"/>
                <w:tcBorders>
                  <w:top w:val="single" w:color="auto" w:sz="4" w:space="0"/>
                  <w:left w:val="single" w:color="auto" w:sz="4" w:space="0"/>
                  <w:bottom w:val="single" w:color="auto" w:sz="4" w:space="0"/>
                  <w:right w:val="single" w:color="auto" w:sz="4" w:space="0"/>
                </w:tcBorders>
                <w:vAlign w:val="center"/>
              </w:tcPr>
              <w:p w14:paraId="2E1C086B">
                <w:pPr>
                  <w:ind w:firstLine="420" w:firstLineChars="200"/>
                </w:pPr>
                <w:r>
                  <w:rPr>
                    <w:rFonts w:hint="eastAsia" w:ascii="宋体" w:hAnsi="宋体"/>
                  </w:rPr>
                  <w:t>其他</w:t>
                </w:r>
              </w:p>
            </w:tc>
            <w:tc>
              <w:tcPr>
                <w:tcW w:w="1559" w:type="pct"/>
                <w:tcBorders>
                  <w:top w:val="single" w:color="auto" w:sz="4" w:space="0"/>
                  <w:left w:val="single" w:color="auto" w:sz="4" w:space="0"/>
                  <w:bottom w:val="single" w:color="auto" w:sz="4" w:space="0"/>
                  <w:right w:val="single" w:color="auto" w:sz="4" w:space="0"/>
                </w:tcBorders>
              </w:tcPr>
              <w:p w14:paraId="047BBA61">
                <w:pPr>
                  <w:jc w:val="right"/>
                </w:pPr>
                <w:r>
                  <w:t>9,336,081.43</w:t>
                </w:r>
              </w:p>
            </w:tc>
            <w:tc>
              <w:tcPr>
                <w:tcW w:w="1557" w:type="pct"/>
                <w:tcBorders>
                  <w:top w:val="single" w:color="auto" w:sz="4" w:space="0"/>
                  <w:left w:val="single" w:color="auto" w:sz="4" w:space="0"/>
                  <w:bottom w:val="single" w:color="auto" w:sz="4" w:space="0"/>
                  <w:right w:val="single" w:color="auto" w:sz="4" w:space="0"/>
                </w:tcBorders>
              </w:tcPr>
              <w:p w14:paraId="19A9D5FC">
                <w:pPr>
                  <w:jc w:val="right"/>
                </w:pPr>
                <w:r>
                  <w:t>5,870,248.61</w:t>
                </w:r>
              </w:p>
            </w:tc>
          </w:tr>
          <w:tr w14:paraId="3982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pct"/>
                <w:tcBorders>
                  <w:top w:val="single" w:color="auto" w:sz="4" w:space="0"/>
                  <w:left w:val="single" w:color="auto" w:sz="4" w:space="0"/>
                  <w:bottom w:val="single" w:color="auto" w:sz="4" w:space="0"/>
                  <w:right w:val="single" w:color="auto" w:sz="4" w:space="0"/>
                </w:tcBorders>
                <w:vAlign w:val="center"/>
              </w:tcPr>
              <w:p w14:paraId="6FFC14F3">
                <w:pPr>
                  <w:rPr>
                    <w:color w:val="000000" w:themeColor="text1"/>
                    <w14:textFill>
                      <w14:solidFill>
                        <w14:schemeClr w14:val="tx1"/>
                      </w14:solidFill>
                    </w14:textFill>
                  </w:rPr>
                </w:pPr>
                <w:r>
                  <w:rPr>
                    <w:rFonts w:hint="eastAsia" w:ascii="宋体" w:hAnsi="宋体"/>
                  </w:rPr>
                  <w:t>按经营地区分类</w:t>
                </w:r>
              </w:p>
            </w:tc>
            <w:tc>
              <w:tcPr>
                <w:tcW w:w="1559" w:type="pct"/>
                <w:tcBorders>
                  <w:top w:val="single" w:color="auto" w:sz="4" w:space="0"/>
                  <w:left w:val="single" w:color="auto" w:sz="4" w:space="0"/>
                  <w:bottom w:val="single" w:color="auto" w:sz="4" w:space="0"/>
                  <w:right w:val="single" w:color="auto" w:sz="4" w:space="0"/>
                </w:tcBorders>
              </w:tcPr>
              <w:p w14:paraId="34BCA0D8">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557" w:type="pct"/>
                <w:tcBorders>
                  <w:top w:val="single" w:color="auto" w:sz="4" w:space="0"/>
                  <w:left w:val="single" w:color="auto" w:sz="4" w:space="0"/>
                  <w:bottom w:val="single" w:color="auto" w:sz="4" w:space="0"/>
                  <w:right w:val="single" w:color="auto" w:sz="4" w:space="0"/>
                </w:tcBorders>
              </w:tcPr>
              <w:p w14:paraId="43734DF8">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1196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pct"/>
                <w:tcBorders>
                  <w:top w:val="single" w:color="auto" w:sz="4" w:space="0"/>
                  <w:left w:val="single" w:color="auto" w:sz="4" w:space="0"/>
                  <w:bottom w:val="single" w:color="auto" w:sz="4" w:space="0"/>
                  <w:right w:val="single" w:color="auto" w:sz="4" w:space="0"/>
                </w:tcBorders>
                <w:vAlign w:val="center"/>
              </w:tcPr>
              <w:p w14:paraId="6F9320FD">
                <w:pPr>
                  <w:ind w:firstLine="420" w:firstLineChars="200"/>
                  <w:rPr>
                    <w:color w:val="000000" w:themeColor="text1"/>
                    <w14:textFill>
                      <w14:solidFill>
                        <w14:schemeClr w14:val="tx1"/>
                      </w14:solidFill>
                    </w14:textFill>
                  </w:rPr>
                </w:pPr>
                <w:r>
                  <w:rPr>
                    <w:rFonts w:hint="eastAsia" w:ascii="宋体" w:hAnsi="宋体"/>
                  </w:rPr>
                  <w:t>国际</w:t>
                </w:r>
              </w:p>
            </w:tc>
            <w:tc>
              <w:tcPr>
                <w:tcW w:w="1559" w:type="pct"/>
                <w:tcBorders>
                  <w:top w:val="single" w:color="auto" w:sz="4" w:space="0"/>
                  <w:left w:val="single" w:color="auto" w:sz="4" w:space="0"/>
                  <w:bottom w:val="single" w:color="auto" w:sz="4" w:space="0"/>
                  <w:right w:val="single" w:color="auto" w:sz="4" w:space="0"/>
                </w:tcBorders>
              </w:tcPr>
              <w:p w14:paraId="7A657128">
                <w:pPr>
                  <w:jc w:val="right"/>
                  <w:rPr>
                    <w:color w:val="000000" w:themeColor="text1"/>
                    <w14:textFill>
                      <w14:solidFill>
                        <w14:schemeClr w14:val="tx1"/>
                      </w14:solidFill>
                    </w14:textFill>
                  </w:rPr>
                </w:pPr>
                <w:r>
                  <w:rPr>
                    <w:color w:val="000000" w:themeColor="text1"/>
                    <w14:textFill>
                      <w14:solidFill>
                        <w14:schemeClr w14:val="tx1"/>
                      </w14:solidFill>
                    </w14:textFill>
                  </w:rPr>
                  <w:t>192,319,537.48</w:t>
                </w:r>
              </w:p>
            </w:tc>
            <w:tc>
              <w:tcPr>
                <w:tcW w:w="1557" w:type="pct"/>
                <w:tcBorders>
                  <w:top w:val="single" w:color="auto" w:sz="4" w:space="0"/>
                  <w:left w:val="single" w:color="auto" w:sz="4" w:space="0"/>
                  <w:bottom w:val="single" w:color="auto" w:sz="4" w:space="0"/>
                  <w:right w:val="single" w:color="auto" w:sz="4" w:space="0"/>
                </w:tcBorders>
              </w:tcPr>
              <w:p w14:paraId="20B3176D">
                <w:pPr>
                  <w:jc w:val="right"/>
                  <w:rPr>
                    <w:color w:val="000000" w:themeColor="text1"/>
                    <w14:textFill>
                      <w14:solidFill>
                        <w14:schemeClr w14:val="tx1"/>
                      </w14:solidFill>
                    </w14:textFill>
                  </w:rPr>
                </w:pPr>
                <w:r>
                  <w:rPr>
                    <w:color w:val="000000" w:themeColor="text1"/>
                    <w14:textFill>
                      <w14:solidFill>
                        <w14:schemeClr w14:val="tx1"/>
                      </w14:solidFill>
                    </w14:textFill>
                  </w:rPr>
                  <w:t>174,103,790.98</w:t>
                </w:r>
              </w:p>
            </w:tc>
          </w:tr>
          <w:tr w14:paraId="7A75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pct"/>
                <w:tcBorders>
                  <w:top w:val="single" w:color="auto" w:sz="4" w:space="0"/>
                  <w:left w:val="single" w:color="auto" w:sz="4" w:space="0"/>
                  <w:bottom w:val="single" w:color="auto" w:sz="4" w:space="0"/>
                  <w:right w:val="single" w:color="auto" w:sz="4" w:space="0"/>
                </w:tcBorders>
                <w:vAlign w:val="center"/>
              </w:tcPr>
              <w:p w14:paraId="5241F64C">
                <w:pPr>
                  <w:ind w:firstLine="420" w:firstLineChars="200"/>
                </w:pPr>
                <w:r>
                  <w:rPr>
                    <w:rFonts w:hint="eastAsia" w:ascii="宋体" w:hAnsi="宋体"/>
                  </w:rPr>
                  <w:t>国内</w:t>
                </w:r>
              </w:p>
            </w:tc>
            <w:tc>
              <w:tcPr>
                <w:tcW w:w="1559" w:type="pct"/>
                <w:tcBorders>
                  <w:top w:val="single" w:color="auto" w:sz="4" w:space="0"/>
                  <w:left w:val="single" w:color="auto" w:sz="4" w:space="0"/>
                  <w:bottom w:val="single" w:color="auto" w:sz="4" w:space="0"/>
                  <w:right w:val="single" w:color="auto" w:sz="4" w:space="0"/>
                </w:tcBorders>
              </w:tcPr>
              <w:p w14:paraId="47929FCB">
                <w:pPr>
                  <w:jc w:val="right"/>
                </w:pPr>
                <w:r>
                  <w:t>610,743,991.63</w:t>
                </w:r>
              </w:p>
            </w:tc>
            <w:tc>
              <w:tcPr>
                <w:tcW w:w="1557" w:type="pct"/>
                <w:tcBorders>
                  <w:top w:val="single" w:color="auto" w:sz="4" w:space="0"/>
                  <w:left w:val="single" w:color="auto" w:sz="4" w:space="0"/>
                  <w:bottom w:val="single" w:color="auto" w:sz="4" w:space="0"/>
                  <w:right w:val="single" w:color="auto" w:sz="4" w:space="0"/>
                </w:tcBorders>
              </w:tcPr>
              <w:p w14:paraId="5F0914F2">
                <w:pPr>
                  <w:jc w:val="right"/>
                </w:pPr>
                <w:r>
                  <w:t>491,026,083.42</w:t>
                </w:r>
              </w:p>
            </w:tc>
          </w:tr>
          <w:tr w14:paraId="6D71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pct"/>
                <w:tcBorders>
                  <w:top w:val="single" w:color="auto" w:sz="4" w:space="0"/>
                  <w:left w:val="single" w:color="auto" w:sz="4" w:space="0"/>
                  <w:bottom w:val="single" w:color="auto" w:sz="4" w:space="0"/>
                  <w:right w:val="single" w:color="auto" w:sz="4" w:space="0"/>
                </w:tcBorders>
                <w:vAlign w:val="center"/>
              </w:tcPr>
              <w:p w14:paraId="088F489C">
                <w:pPr>
                  <w:rPr>
                    <w:color w:val="000000" w:themeColor="text1"/>
                    <w14:textFill>
                      <w14:solidFill>
                        <w14:schemeClr w14:val="tx1"/>
                      </w14:solidFill>
                    </w14:textFill>
                  </w:rPr>
                </w:pPr>
                <w:r>
                  <w:rPr>
                    <w:rFonts w:hint="eastAsia" w:ascii="宋体" w:hAnsi="宋体"/>
                    <w:color w:val="000000"/>
                    <w:shd w:val="clear" w:color="auto" w:fill="FFFFFF"/>
                  </w:rPr>
                  <w:t>按</w:t>
                </w:r>
                <w:r>
                  <w:rPr>
                    <w:rFonts w:hint="eastAsia" w:ascii="宋体" w:hAnsi="宋体"/>
                  </w:rPr>
                  <w:t>销售渠道分类</w:t>
                </w:r>
              </w:p>
            </w:tc>
            <w:tc>
              <w:tcPr>
                <w:tcW w:w="1559" w:type="pct"/>
                <w:tcBorders>
                  <w:top w:val="single" w:color="auto" w:sz="4" w:space="0"/>
                  <w:left w:val="single" w:color="auto" w:sz="4" w:space="0"/>
                  <w:bottom w:val="single" w:color="auto" w:sz="4" w:space="0"/>
                  <w:right w:val="single" w:color="auto" w:sz="4" w:space="0"/>
                </w:tcBorders>
              </w:tcPr>
              <w:p w14:paraId="7BE14822">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557" w:type="pct"/>
                <w:tcBorders>
                  <w:top w:val="single" w:color="auto" w:sz="4" w:space="0"/>
                  <w:left w:val="single" w:color="auto" w:sz="4" w:space="0"/>
                  <w:bottom w:val="single" w:color="auto" w:sz="4" w:space="0"/>
                  <w:right w:val="single" w:color="auto" w:sz="4" w:space="0"/>
                </w:tcBorders>
              </w:tcPr>
              <w:p w14:paraId="0C993ACA">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2435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pct"/>
                <w:tcBorders>
                  <w:top w:val="single" w:color="auto" w:sz="4" w:space="0"/>
                  <w:left w:val="single" w:color="auto" w:sz="4" w:space="0"/>
                  <w:bottom w:val="single" w:color="auto" w:sz="4" w:space="0"/>
                  <w:right w:val="single" w:color="auto" w:sz="4" w:space="0"/>
                </w:tcBorders>
                <w:vAlign w:val="center"/>
              </w:tcPr>
              <w:p w14:paraId="239AF887">
                <w:pPr>
                  <w:ind w:firstLine="420" w:firstLineChars="200"/>
                  <w:rPr>
                    <w:color w:val="000000" w:themeColor="text1"/>
                    <w14:textFill>
                      <w14:solidFill>
                        <w14:schemeClr w14:val="tx1"/>
                      </w14:solidFill>
                    </w14:textFill>
                  </w:rPr>
                </w:pPr>
                <w:r>
                  <w:rPr>
                    <w:rFonts w:hint="eastAsia" w:ascii="宋体" w:hAnsi="宋体"/>
                  </w:rPr>
                  <w:t>电子商务</w:t>
                </w:r>
              </w:p>
            </w:tc>
            <w:tc>
              <w:tcPr>
                <w:tcW w:w="1559" w:type="pct"/>
                <w:tcBorders>
                  <w:top w:val="single" w:color="auto" w:sz="4" w:space="0"/>
                  <w:left w:val="single" w:color="auto" w:sz="4" w:space="0"/>
                  <w:bottom w:val="single" w:color="auto" w:sz="4" w:space="0"/>
                  <w:right w:val="single" w:color="auto" w:sz="4" w:space="0"/>
                </w:tcBorders>
              </w:tcPr>
              <w:p w14:paraId="0B3D22B2">
                <w:pPr>
                  <w:jc w:val="right"/>
                  <w:rPr>
                    <w:color w:val="000000" w:themeColor="text1"/>
                    <w14:textFill>
                      <w14:solidFill>
                        <w14:schemeClr w14:val="tx1"/>
                      </w14:solidFill>
                    </w14:textFill>
                  </w:rPr>
                </w:pPr>
                <w:r>
                  <w:rPr>
                    <w:color w:val="000000" w:themeColor="text1"/>
                    <w14:textFill>
                      <w14:solidFill>
                        <w14:schemeClr w14:val="tx1"/>
                      </w14:solidFill>
                    </w14:textFill>
                  </w:rPr>
                  <w:t>5,489,978.59</w:t>
                </w:r>
              </w:p>
            </w:tc>
            <w:tc>
              <w:tcPr>
                <w:tcW w:w="1557" w:type="pct"/>
                <w:tcBorders>
                  <w:top w:val="single" w:color="auto" w:sz="4" w:space="0"/>
                  <w:left w:val="single" w:color="auto" w:sz="4" w:space="0"/>
                  <w:bottom w:val="single" w:color="auto" w:sz="4" w:space="0"/>
                  <w:right w:val="single" w:color="auto" w:sz="4" w:space="0"/>
                </w:tcBorders>
              </w:tcPr>
              <w:p w14:paraId="4368BD5D">
                <w:pPr>
                  <w:jc w:val="right"/>
                  <w:rPr>
                    <w:color w:val="000000" w:themeColor="text1"/>
                    <w14:textFill>
                      <w14:solidFill>
                        <w14:schemeClr w14:val="tx1"/>
                      </w14:solidFill>
                    </w14:textFill>
                  </w:rPr>
                </w:pPr>
                <w:r>
                  <w:rPr>
                    <w:color w:val="000000" w:themeColor="text1"/>
                    <w14:textFill>
                      <w14:solidFill>
                        <w14:schemeClr w14:val="tx1"/>
                      </w14:solidFill>
                    </w14:textFill>
                  </w:rPr>
                  <w:t>3,701,085.03</w:t>
                </w:r>
              </w:p>
            </w:tc>
          </w:tr>
          <w:tr w14:paraId="7FA7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pct"/>
                <w:tcBorders>
                  <w:top w:val="single" w:color="auto" w:sz="4" w:space="0"/>
                  <w:left w:val="single" w:color="auto" w:sz="4" w:space="0"/>
                  <w:bottom w:val="single" w:color="auto" w:sz="4" w:space="0"/>
                  <w:right w:val="single" w:color="auto" w:sz="4" w:space="0"/>
                </w:tcBorders>
                <w:vAlign w:val="center"/>
              </w:tcPr>
              <w:p w14:paraId="2F2B1070">
                <w:pPr>
                  <w:ind w:firstLine="420" w:firstLineChars="200"/>
                </w:pPr>
                <w:r>
                  <w:rPr>
                    <w:rFonts w:hint="eastAsia" w:ascii="宋体" w:hAnsi="宋体"/>
                  </w:rPr>
                  <w:t>电视购物</w:t>
                </w:r>
              </w:p>
            </w:tc>
            <w:tc>
              <w:tcPr>
                <w:tcW w:w="1559" w:type="pct"/>
                <w:tcBorders>
                  <w:top w:val="single" w:color="auto" w:sz="4" w:space="0"/>
                  <w:left w:val="single" w:color="auto" w:sz="4" w:space="0"/>
                  <w:bottom w:val="single" w:color="auto" w:sz="4" w:space="0"/>
                  <w:right w:val="single" w:color="auto" w:sz="4" w:space="0"/>
                </w:tcBorders>
              </w:tcPr>
              <w:p w14:paraId="22227706">
                <w:pPr>
                  <w:jc w:val="right"/>
                </w:pPr>
                <w:r>
                  <w:t>2,783,687.77</w:t>
                </w:r>
              </w:p>
            </w:tc>
            <w:tc>
              <w:tcPr>
                <w:tcW w:w="1557" w:type="pct"/>
                <w:tcBorders>
                  <w:top w:val="single" w:color="auto" w:sz="4" w:space="0"/>
                  <w:left w:val="single" w:color="auto" w:sz="4" w:space="0"/>
                  <w:bottom w:val="single" w:color="auto" w:sz="4" w:space="0"/>
                  <w:right w:val="single" w:color="auto" w:sz="4" w:space="0"/>
                </w:tcBorders>
              </w:tcPr>
              <w:p w14:paraId="1F3CEEF5">
                <w:pPr>
                  <w:jc w:val="right"/>
                </w:pPr>
                <w:r>
                  <w:t>1,688,909.47</w:t>
                </w:r>
              </w:p>
            </w:tc>
          </w:tr>
          <w:tr w14:paraId="6B3D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pct"/>
                <w:tcBorders>
                  <w:top w:val="single" w:color="auto" w:sz="4" w:space="0"/>
                  <w:left w:val="single" w:color="auto" w:sz="4" w:space="0"/>
                  <w:bottom w:val="single" w:color="auto" w:sz="4" w:space="0"/>
                  <w:right w:val="single" w:color="auto" w:sz="4" w:space="0"/>
                </w:tcBorders>
                <w:vAlign w:val="center"/>
              </w:tcPr>
              <w:p w14:paraId="697ABC67">
                <w:pPr>
                  <w:ind w:firstLine="420" w:firstLineChars="200"/>
                  <w:rPr>
                    <w:color w:val="000000" w:themeColor="text1"/>
                    <w14:textFill>
                      <w14:solidFill>
                        <w14:schemeClr w14:val="tx1"/>
                      </w14:solidFill>
                    </w14:textFill>
                  </w:rPr>
                </w:pPr>
                <w:r>
                  <w:rPr>
                    <w:rFonts w:hint="eastAsia" w:ascii="宋体" w:hAnsi="宋体"/>
                  </w:rPr>
                  <w:t>本部销售</w:t>
                </w:r>
              </w:p>
            </w:tc>
            <w:tc>
              <w:tcPr>
                <w:tcW w:w="1559" w:type="pct"/>
                <w:tcBorders>
                  <w:top w:val="single" w:color="auto" w:sz="4" w:space="0"/>
                  <w:left w:val="single" w:color="auto" w:sz="4" w:space="0"/>
                  <w:bottom w:val="single" w:color="auto" w:sz="4" w:space="0"/>
                  <w:right w:val="single" w:color="auto" w:sz="4" w:space="0"/>
                </w:tcBorders>
              </w:tcPr>
              <w:p w14:paraId="249A9A0E">
                <w:pPr>
                  <w:jc w:val="right"/>
                  <w:rPr>
                    <w:color w:val="000000" w:themeColor="text1"/>
                    <w14:textFill>
                      <w14:solidFill>
                        <w14:schemeClr w14:val="tx1"/>
                      </w14:solidFill>
                    </w14:textFill>
                  </w:rPr>
                </w:pPr>
                <w:r>
                  <w:rPr>
                    <w:color w:val="000000" w:themeColor="text1"/>
                    <w14:textFill>
                      <w14:solidFill>
                        <w14:schemeClr w14:val="tx1"/>
                      </w14:solidFill>
                    </w14:textFill>
                  </w:rPr>
                  <w:t>794,789,862.75</w:t>
                </w:r>
              </w:p>
            </w:tc>
            <w:tc>
              <w:tcPr>
                <w:tcW w:w="1557" w:type="pct"/>
                <w:tcBorders>
                  <w:top w:val="single" w:color="auto" w:sz="4" w:space="0"/>
                  <w:left w:val="single" w:color="auto" w:sz="4" w:space="0"/>
                  <w:bottom w:val="single" w:color="auto" w:sz="4" w:space="0"/>
                  <w:right w:val="single" w:color="auto" w:sz="4" w:space="0"/>
                </w:tcBorders>
              </w:tcPr>
              <w:p w14:paraId="5A14CE5F">
                <w:pPr>
                  <w:jc w:val="right"/>
                  <w:rPr>
                    <w:color w:val="000000" w:themeColor="text1"/>
                    <w14:textFill>
                      <w14:solidFill>
                        <w14:schemeClr w14:val="tx1"/>
                      </w14:solidFill>
                    </w14:textFill>
                  </w:rPr>
                </w:pPr>
                <w:r>
                  <w:rPr>
                    <w:color w:val="000000" w:themeColor="text1"/>
                    <w14:textFill>
                      <w14:solidFill>
                        <w14:schemeClr w14:val="tx1"/>
                      </w14:solidFill>
                    </w14:textFill>
                  </w:rPr>
                  <w:t>659,739,879.90</w:t>
                </w:r>
              </w:p>
            </w:tc>
          </w:tr>
          <w:tr w14:paraId="40AB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pct"/>
                <w:tcBorders>
                  <w:top w:val="single" w:color="auto" w:sz="4" w:space="0"/>
                  <w:left w:val="single" w:color="auto" w:sz="4" w:space="0"/>
                  <w:bottom w:val="single" w:color="auto" w:sz="4" w:space="0"/>
                  <w:right w:val="single" w:color="auto" w:sz="4" w:space="0"/>
                </w:tcBorders>
              </w:tcPr>
              <w:p w14:paraId="4247C2D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559" w:type="pct"/>
                <w:tcBorders>
                  <w:top w:val="single" w:color="auto" w:sz="4" w:space="0"/>
                  <w:left w:val="single" w:color="auto" w:sz="4" w:space="0"/>
                  <w:bottom w:val="single" w:color="auto" w:sz="4" w:space="0"/>
                  <w:right w:val="single" w:color="auto" w:sz="4" w:space="0"/>
                </w:tcBorders>
              </w:tcPr>
              <w:p w14:paraId="560B8F32">
                <w:pPr>
                  <w:jc w:val="right"/>
                  <w:rPr>
                    <w:color w:val="000000" w:themeColor="text1"/>
                    <w14:textFill>
                      <w14:solidFill>
                        <w14:schemeClr w14:val="tx1"/>
                      </w14:solidFill>
                    </w14:textFill>
                  </w:rPr>
                </w:pPr>
                <w:r>
                  <w:rPr>
                    <w:color w:val="000000" w:themeColor="text1"/>
                    <w14:textFill>
                      <w14:solidFill>
                        <w14:schemeClr w14:val="tx1"/>
                      </w14:solidFill>
                    </w14:textFill>
                  </w:rPr>
                  <w:t>803,063,529.11</w:t>
                </w:r>
              </w:p>
            </w:tc>
            <w:tc>
              <w:tcPr>
                <w:tcW w:w="1557" w:type="pct"/>
                <w:tcBorders>
                  <w:top w:val="single" w:color="auto" w:sz="4" w:space="0"/>
                  <w:left w:val="single" w:color="auto" w:sz="4" w:space="0"/>
                  <w:bottom w:val="single" w:color="auto" w:sz="4" w:space="0"/>
                  <w:right w:val="single" w:color="auto" w:sz="4" w:space="0"/>
                </w:tcBorders>
              </w:tcPr>
              <w:p w14:paraId="1481551F">
                <w:pPr>
                  <w:jc w:val="right"/>
                  <w:rPr>
                    <w:color w:val="000000" w:themeColor="text1"/>
                    <w14:textFill>
                      <w14:solidFill>
                        <w14:schemeClr w14:val="tx1"/>
                      </w14:solidFill>
                    </w14:textFill>
                  </w:rPr>
                </w:pPr>
                <w:r>
                  <w:rPr>
                    <w:color w:val="000000" w:themeColor="text1"/>
                    <w14:textFill>
                      <w14:solidFill>
                        <w14:schemeClr w14:val="tx1"/>
                      </w14:solidFill>
                    </w14:textFill>
                  </w:rPr>
                  <w:t>665,129,874.40</w:t>
                </w:r>
              </w:p>
            </w:tc>
          </w:tr>
        </w:tbl>
        <w:p w14:paraId="059904E7"/>
        <w:p w14:paraId="355375F7">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营业收入、营业成本的分解信息说明 [双击切换]"/>
            <w:tag w:val="_GBC_04602e125f9d4f519cbc5efd2f4ee0ea"/>
            <w:id w:val="1790310403"/>
            <w:placeholder>
              <w:docPart w:val="GBC22222222222222222222222222222"/>
            </w:placeholder>
          </w:sdtPr>
          <w:sdtEndPr>
            <w:rPr>
              <w:color w:val="000000" w:themeColor="text1"/>
              <w14:textFill>
                <w14:solidFill>
                  <w14:schemeClr w14:val="tx1"/>
                </w14:solidFill>
              </w14:textFill>
            </w:rPr>
          </w:sdtEndPr>
          <w:sdtContent>
            <w:p w14:paraId="29C4FAE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4DA8F5F">
          <w:pPr>
            <w:rPr>
              <w:color w:val="000000" w:themeColor="text1"/>
              <w14:textFill>
                <w14:solidFill>
                  <w14:schemeClr w14:val="tx1"/>
                </w14:solidFill>
              </w14:textFill>
            </w:rPr>
          </w:pPr>
        </w:p>
      </w:sdtContent>
    </w:sdt>
    <w:bookmarkEnd w:id="363"/>
    <w:p w14:paraId="4FBAD101">
      <w:pPr>
        <w:pStyle w:val="5"/>
        <w:numPr>
          <w:ilvl w:val="0"/>
          <w:numId w:val="86"/>
        </w:numPr>
        <w:ind w:left="426" w:hanging="426"/>
        <w:rPr>
          <w:color w:val="000000" w:themeColor="text1"/>
          <w14:textFill>
            <w14:solidFill>
              <w14:schemeClr w14:val="tx1"/>
            </w14:solidFill>
          </w14:textFill>
        </w:rPr>
      </w:pPr>
      <w:bookmarkStart w:id="365" w:name="_Hlk533670431"/>
      <w:r>
        <w:rPr>
          <w:rFonts w:hint="eastAsia"/>
          <w:color w:val="000000" w:themeColor="text1"/>
          <w14:textFill>
            <w14:solidFill>
              <w14:schemeClr w14:val="tx1"/>
            </w14:solidFill>
          </w14:textFill>
        </w:rPr>
        <w:t>履约义务的说明</w:t>
      </w:r>
    </w:p>
    <w:sdt>
      <w:sdtPr>
        <w:rPr>
          <w:color w:val="000000" w:themeColor="text1"/>
          <w14:textFill>
            <w14:solidFill>
              <w14:schemeClr w14:val="tx1"/>
            </w14:solidFill>
          </w14:textFill>
        </w:rPr>
        <w:alias w:val="是否适用：履约义务的说明[双击切换]"/>
        <w:tag w:val="_GBC_ec22242632ae490ba6bc8afe3b2e35bc"/>
        <w:id w:val="2107686746"/>
        <w:placeholder>
          <w:docPart w:val="GBC22222222222222222222222222222"/>
        </w:placeholder>
      </w:sdtPr>
      <w:sdtEndPr>
        <w:rPr>
          <w:color w:val="000000" w:themeColor="text1"/>
          <w14:textFill>
            <w14:solidFill>
              <w14:schemeClr w14:val="tx1"/>
            </w14:solidFill>
          </w14:textFill>
        </w:rPr>
      </w:sdtEndPr>
      <w:sdtContent>
        <w:p w14:paraId="62CF8C2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D4A190F">
      <w:pPr>
        <w:rPr>
          <w:color w:val="000000" w:themeColor="text1"/>
          <w14:textFill>
            <w14:solidFill>
              <w14:schemeClr w14:val="tx1"/>
            </w14:solidFill>
          </w14:textFill>
        </w:rPr>
      </w:pPr>
    </w:p>
    <w:bookmarkEnd w:id="364"/>
    <w:bookmarkEnd w:id="365"/>
    <w:p w14:paraId="4F4161E7">
      <w:pPr>
        <w:pStyle w:val="5"/>
        <w:numPr>
          <w:ilvl w:val="0"/>
          <w:numId w:val="86"/>
        </w:numPr>
        <w:ind w:left="426" w:hanging="426"/>
        <w:rPr>
          <w:rFonts w:hint="eastAsia" w:ascii="宋体" w:hAnsi="宋体"/>
          <w:color w:val="000000" w:themeColor="text1"/>
          <w14:textFill>
            <w14:solidFill>
              <w14:schemeClr w14:val="tx1"/>
            </w14:solidFill>
          </w14:textFill>
        </w:rPr>
      </w:pPr>
      <w:bookmarkStart w:id="366" w:name="_Hlk10538107"/>
      <w:bookmarkStart w:id="367" w:name="_Hlk10538117"/>
      <w:r>
        <w:rPr>
          <w:rFonts w:hint="eastAsia" w:ascii="宋体" w:hAnsi="宋体"/>
          <w:color w:val="000000" w:themeColor="text1"/>
          <w14:textFill>
            <w14:solidFill>
              <w14:schemeClr w14:val="tx1"/>
            </w14:solidFill>
          </w14:textFill>
        </w:rPr>
        <w:t>分摊至剩余履约义务的说明</w:t>
      </w:r>
      <w:bookmarkEnd w:id="366"/>
    </w:p>
    <w:sdt>
      <w:sdtPr>
        <w:rPr>
          <w:color w:val="000000" w:themeColor="text1"/>
          <w14:textFill>
            <w14:solidFill>
              <w14:schemeClr w14:val="tx1"/>
            </w14:solidFill>
          </w14:textFill>
        </w:rPr>
        <w:alias w:val="是否适用：分摊至剩余履约义务的说明[双击切换]"/>
        <w:tag w:val="_GBC_3e12eb65fc9e4c7b80815a7392be58f2"/>
        <w:id w:val="-163859977"/>
        <w:placeholder>
          <w:docPart w:val="GBC22222222222222222222222222222"/>
        </w:placeholder>
      </w:sdtPr>
      <w:sdtEndPr>
        <w:rPr>
          <w:color w:val="000000" w:themeColor="text1"/>
          <w14:textFill>
            <w14:solidFill>
              <w14:schemeClr w14:val="tx1"/>
            </w14:solidFill>
          </w14:textFill>
        </w:rPr>
      </w:sdtEndPr>
      <w:sdtContent>
        <w:p w14:paraId="1A55C6A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5700045">
      <w:pPr>
        <w:rPr>
          <w:color w:val="000000" w:themeColor="text1"/>
          <w14:textFill>
            <w14:solidFill>
              <w14:schemeClr w14:val="tx1"/>
            </w14:solidFill>
          </w14:textFill>
        </w:rPr>
      </w:pPr>
    </w:p>
    <w:bookmarkEnd w:id="367"/>
    <w:p w14:paraId="64C73B65">
      <w:pPr>
        <w:rPr>
          <w:color w:val="000000" w:themeColor="text1"/>
          <w14:textFill>
            <w14:solidFill>
              <w14:schemeClr w14:val="tx1"/>
            </w14:solidFill>
          </w14:textFill>
        </w:rPr>
      </w:pPr>
    </w:p>
    <w:p w14:paraId="4A3E73EC">
      <w:pPr>
        <w:pStyle w:val="5"/>
        <w:numPr>
          <w:ilvl w:val="0"/>
          <w:numId w:val="86"/>
        </w:numPr>
        <w:ind w:left="426" w:hanging="426"/>
        <w:rPr>
          <w:color w:val="000000" w:themeColor="text1"/>
          <w14:textFill>
            <w14:solidFill>
              <w14:schemeClr w14:val="tx1"/>
            </w14:solidFill>
          </w14:textFill>
        </w:rPr>
      </w:pPr>
      <w:bookmarkStart w:id="368" w:name="_Hlk167969793"/>
      <w:r>
        <w:rPr>
          <w:rFonts w:hint="eastAsia"/>
          <w:color w:val="000000" w:themeColor="text1"/>
          <w14:textFill>
            <w14:solidFill>
              <w14:schemeClr w14:val="tx1"/>
            </w14:solidFill>
          </w14:textFill>
        </w:rPr>
        <w:t>重大合同变更或重大交易价格调整</w:t>
      </w:r>
    </w:p>
    <w:sdt>
      <w:sdtPr>
        <w:rPr>
          <w:color w:val="000000" w:themeColor="text1"/>
          <w14:textFill>
            <w14:solidFill>
              <w14:schemeClr w14:val="tx1"/>
            </w14:solidFill>
          </w14:textFill>
        </w:rPr>
        <w:alias w:val="是否适用：重大合同变更或重大交易价格调整[双击切换]"/>
        <w:tag w:val="_GBC_4ff195f785f7474ba9def45795b4e11c"/>
        <w:id w:val="1641921588"/>
        <w:placeholder>
          <w:docPart w:val="GBC22222222222222222222222222222"/>
        </w:placeholder>
      </w:sdtPr>
      <w:sdtEndPr>
        <w:rPr>
          <w:color w:val="000000" w:themeColor="text1"/>
          <w14:textFill>
            <w14:solidFill>
              <w14:schemeClr w14:val="tx1"/>
            </w14:solidFill>
          </w14:textFill>
        </w:rPr>
      </w:sdtEndPr>
      <w:sdtContent>
        <w:p w14:paraId="2FB769D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8B40334">
      <w:pPr>
        <w:rPr>
          <w:rFonts w:ascii="Arial" w:hAnsi="Arial"/>
          <w:color w:val="000000" w:themeColor="text1"/>
          <w14:textFill>
            <w14:solidFill>
              <w14:schemeClr w14:val="tx1"/>
            </w14:solidFill>
          </w14:textFill>
        </w:rPr>
      </w:pPr>
    </w:p>
    <w:bookmarkEnd w:id="368"/>
    <w:p w14:paraId="2A63DADC">
      <w:pPr>
        <w:spacing w:before="60" w:after="60"/>
        <w:rPr>
          <w:color w:val="000000" w:themeColor="text1"/>
          <w14:textFill>
            <w14:solidFill>
              <w14:schemeClr w14:val="tx1"/>
            </w14:solidFill>
          </w14:textFill>
        </w:rPr>
      </w:pPr>
      <w:bookmarkStart w:id="369" w:name="_Hlk26364697"/>
      <w:bookmarkStart w:id="370" w:name="_Hlk41487523"/>
      <w:r>
        <w:rPr>
          <w:rFonts w:hint="eastAsia"/>
          <w:color w:val="000000" w:themeColor="text1"/>
          <w14:textFill>
            <w14:solidFill>
              <w14:schemeClr w14:val="tx1"/>
            </w14:solidFill>
          </w14:textFill>
        </w:rPr>
        <w:t>其他说明：</w:t>
      </w:r>
    </w:p>
    <w:p w14:paraId="53CFF287">
      <w:pPr>
        <w:rPr>
          <w:color w:val="000000" w:themeColor="text1"/>
          <w14:textFill>
            <w14:solidFill>
              <w14:schemeClr w14:val="tx1"/>
            </w14:solidFill>
          </w14:textFill>
        </w:rPr>
      </w:pPr>
      <w:sdt>
        <w:sdtPr>
          <w:rPr>
            <w:color w:val="000000" w:themeColor="text1"/>
            <w14:textFill>
              <w14:solidFill>
                <w14:schemeClr w14:val="tx1"/>
              </w14:solidFill>
            </w14:textFill>
          </w:rPr>
          <w:alias w:val="主营业务说明"/>
          <w:tag w:val="_GBC_72a96250960e4e188d2fa1097869655e"/>
          <w:id w:val="735981399"/>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无</w:t>
          </w:r>
        </w:sdtContent>
      </w:sdt>
      <w:bookmarkEnd w:id="369"/>
    </w:p>
    <w:p w14:paraId="6B97FF41">
      <w:pPr>
        <w:rPr>
          <w:color w:val="000000" w:themeColor="text1"/>
          <w14:textFill>
            <w14:solidFill>
              <w14:schemeClr w14:val="tx1"/>
            </w14:solidFill>
          </w14:textFill>
        </w:rPr>
      </w:pPr>
    </w:p>
    <w:bookmarkEnd w:id="370"/>
    <w:p w14:paraId="41285521">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税金及附加</w:t>
      </w:r>
    </w:p>
    <w:sdt>
      <w:sdtPr>
        <w:rPr>
          <w:color w:val="000000" w:themeColor="text1"/>
          <w14:textFill>
            <w14:solidFill>
              <w14:schemeClr w14:val="tx1"/>
            </w14:solidFill>
          </w14:textFill>
        </w:rPr>
        <w:alias w:val="是否适用：税金及附加[双击切换]"/>
        <w:tag w:val="_GBC_e6e37ca7fd2a435e8e042586945bb4d2"/>
        <w:id w:val="1845200405"/>
        <w:placeholder>
          <w:docPart w:val="GBC22222222222222222222222222222"/>
        </w:placeholder>
      </w:sdtPr>
      <w:sdtEndPr>
        <w:rPr>
          <w:color w:val="000000" w:themeColor="text1"/>
          <w14:textFill>
            <w14:solidFill>
              <w14:schemeClr w14:val="tx1"/>
            </w14:solidFill>
          </w14:textFill>
        </w:rPr>
      </w:sdtEndPr>
      <w:sdtContent>
        <w:p w14:paraId="435697D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C0C36E5">
      <w:pPr>
        <w:jc w:val="right"/>
        <w:rPr>
          <w:b/>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税金及附加"/>
          <w:tag w:val="_GBC_bdd382ceb0b74413bcc8ce354afae4a8"/>
          <w:id w:val="5917454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税金及附加"/>
          <w:tag w:val="_GBC_ecf8b53c11ec4336b91007df3f6b5f78"/>
          <w:id w:val="-77810150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3"/>
        <w:gridCol w:w="2995"/>
        <w:gridCol w:w="2995"/>
      </w:tblGrid>
      <w:tr w14:paraId="660AE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444bcf5500dc4f7f9041afd20c147408"/>
            <w:id w:val="1866781621"/>
          </w:sdtPr>
          <w:sdtContent>
            <w:tc>
              <w:tcPr>
                <w:tcW w:w="1605" w:type="pct"/>
                <w:vAlign w:val="center"/>
              </w:tcPr>
              <w:p w14:paraId="2BA2F1F1">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986496e04f5841889074687e953bf8a9"/>
            <w:id w:val="560296659"/>
          </w:sdtPr>
          <w:sdtContent>
            <w:tc>
              <w:tcPr>
                <w:tcW w:w="1697" w:type="pct"/>
              </w:tcPr>
              <w:p w14:paraId="2528830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4ab1376344dc484195a5459c78069a64"/>
            <w:id w:val="1348517745"/>
          </w:sdtPr>
          <w:sdtContent>
            <w:tc>
              <w:tcPr>
                <w:tcW w:w="1697" w:type="pct"/>
                <w:vAlign w:val="center"/>
              </w:tcPr>
              <w:p w14:paraId="1E38045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08D7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pct"/>
            <w:vAlign w:val="center"/>
          </w:tcPr>
          <w:p w14:paraId="4A744DE7">
            <w:pPr>
              <w:autoSpaceDE w:val="0"/>
              <w:autoSpaceDN w:val="0"/>
              <w:adjustRightInd w:val="0"/>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消费税</w:t>
            </w:r>
          </w:p>
        </w:tc>
        <w:tc>
          <w:tcPr>
            <w:tcW w:w="1697" w:type="pct"/>
          </w:tcPr>
          <w:p w14:paraId="6ADD7BB2">
            <w:pPr>
              <w:autoSpaceDE w:val="0"/>
              <w:autoSpaceDN w:val="0"/>
              <w:adjustRightInd w:val="0"/>
              <w:snapToGrid w:val="0"/>
              <w:spacing w:line="240" w:lineRule="atLeast"/>
              <w:jc w:val="right"/>
            </w:pPr>
          </w:p>
        </w:tc>
        <w:tc>
          <w:tcPr>
            <w:tcW w:w="1697" w:type="pct"/>
          </w:tcPr>
          <w:p w14:paraId="4DDF4144">
            <w:pPr>
              <w:jc w:val="right"/>
            </w:pPr>
          </w:p>
        </w:tc>
      </w:tr>
      <w:tr w14:paraId="65B0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pct"/>
            <w:vAlign w:val="center"/>
          </w:tcPr>
          <w:p w14:paraId="5603BCFE">
            <w:pPr>
              <w:autoSpaceDE w:val="0"/>
              <w:autoSpaceDN w:val="0"/>
              <w:adjustRightInd w:val="0"/>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营业税</w:t>
            </w:r>
          </w:p>
        </w:tc>
        <w:tc>
          <w:tcPr>
            <w:tcW w:w="1697" w:type="pct"/>
          </w:tcPr>
          <w:p w14:paraId="68763EF4">
            <w:pPr>
              <w:autoSpaceDE w:val="0"/>
              <w:autoSpaceDN w:val="0"/>
              <w:adjustRightInd w:val="0"/>
              <w:snapToGrid w:val="0"/>
              <w:spacing w:line="240" w:lineRule="atLeast"/>
              <w:jc w:val="right"/>
            </w:pPr>
          </w:p>
        </w:tc>
        <w:tc>
          <w:tcPr>
            <w:tcW w:w="1697" w:type="pct"/>
          </w:tcPr>
          <w:p w14:paraId="1B59F8F3">
            <w:pPr>
              <w:jc w:val="right"/>
            </w:pPr>
            <w:r>
              <w:t>720,042.27</w:t>
            </w:r>
          </w:p>
        </w:tc>
      </w:tr>
      <w:tr w14:paraId="5FF7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pct"/>
            <w:vAlign w:val="center"/>
          </w:tcPr>
          <w:p w14:paraId="35D6EA18">
            <w:pPr>
              <w:autoSpaceDE w:val="0"/>
              <w:autoSpaceDN w:val="0"/>
              <w:adjustRightInd w:val="0"/>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城市维护建设税</w:t>
            </w:r>
          </w:p>
        </w:tc>
        <w:tc>
          <w:tcPr>
            <w:tcW w:w="1697" w:type="pct"/>
          </w:tcPr>
          <w:p w14:paraId="10DF6CEB">
            <w:pPr>
              <w:autoSpaceDE w:val="0"/>
              <w:autoSpaceDN w:val="0"/>
              <w:adjustRightInd w:val="0"/>
              <w:snapToGrid w:val="0"/>
              <w:spacing w:line="240" w:lineRule="atLeast"/>
              <w:jc w:val="right"/>
            </w:pPr>
            <w:r>
              <w:t>190,613.96</w:t>
            </w:r>
          </w:p>
        </w:tc>
        <w:tc>
          <w:tcPr>
            <w:tcW w:w="1697" w:type="pct"/>
          </w:tcPr>
          <w:p w14:paraId="666230CF">
            <w:pPr>
              <w:jc w:val="right"/>
            </w:pPr>
            <w:r>
              <w:t>266,418.71</w:t>
            </w:r>
          </w:p>
        </w:tc>
      </w:tr>
      <w:tr w14:paraId="5860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pct"/>
            <w:vAlign w:val="center"/>
          </w:tcPr>
          <w:p w14:paraId="330F45B6">
            <w:pPr>
              <w:autoSpaceDE w:val="0"/>
              <w:autoSpaceDN w:val="0"/>
              <w:adjustRightInd w:val="0"/>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教育费附加</w:t>
            </w:r>
          </w:p>
        </w:tc>
        <w:tc>
          <w:tcPr>
            <w:tcW w:w="1697" w:type="pct"/>
          </w:tcPr>
          <w:p w14:paraId="6BF230CE">
            <w:pPr>
              <w:autoSpaceDE w:val="0"/>
              <w:autoSpaceDN w:val="0"/>
              <w:adjustRightInd w:val="0"/>
              <w:snapToGrid w:val="0"/>
              <w:spacing w:line="240" w:lineRule="atLeast"/>
              <w:jc w:val="right"/>
            </w:pPr>
            <w:r>
              <w:t>94,541.15</w:t>
            </w:r>
          </w:p>
        </w:tc>
        <w:tc>
          <w:tcPr>
            <w:tcW w:w="1697" w:type="pct"/>
          </w:tcPr>
          <w:p w14:paraId="454738EF">
            <w:pPr>
              <w:jc w:val="right"/>
            </w:pPr>
            <w:r>
              <w:t>161,488.36</w:t>
            </w:r>
          </w:p>
        </w:tc>
      </w:tr>
      <w:tr w14:paraId="33633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pct"/>
            <w:vAlign w:val="center"/>
          </w:tcPr>
          <w:p w14:paraId="777DF7FA">
            <w:pPr>
              <w:autoSpaceDE w:val="0"/>
              <w:autoSpaceDN w:val="0"/>
              <w:adjustRightInd w:val="0"/>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资源税</w:t>
            </w:r>
          </w:p>
        </w:tc>
        <w:tc>
          <w:tcPr>
            <w:tcW w:w="1697" w:type="pct"/>
          </w:tcPr>
          <w:p w14:paraId="369F2AFB">
            <w:pPr>
              <w:autoSpaceDE w:val="0"/>
              <w:autoSpaceDN w:val="0"/>
              <w:adjustRightInd w:val="0"/>
              <w:snapToGrid w:val="0"/>
              <w:spacing w:line="240" w:lineRule="atLeast"/>
              <w:jc w:val="right"/>
            </w:pPr>
          </w:p>
        </w:tc>
        <w:tc>
          <w:tcPr>
            <w:tcW w:w="1697" w:type="pct"/>
          </w:tcPr>
          <w:p w14:paraId="1340AE16">
            <w:pPr>
              <w:jc w:val="right"/>
            </w:pPr>
          </w:p>
        </w:tc>
      </w:tr>
      <w:tr w14:paraId="35E9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pct"/>
            <w:vAlign w:val="center"/>
          </w:tcPr>
          <w:p w14:paraId="0190DC8D">
            <w:pPr>
              <w:autoSpaceDE w:val="0"/>
              <w:autoSpaceDN w:val="0"/>
              <w:adjustRightInd w:val="0"/>
              <w:snapToGrid w:val="0"/>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房产税</w:t>
            </w:r>
          </w:p>
        </w:tc>
        <w:tc>
          <w:tcPr>
            <w:tcW w:w="1697" w:type="pct"/>
          </w:tcPr>
          <w:p w14:paraId="2D69CB1D">
            <w:pPr>
              <w:autoSpaceDE w:val="0"/>
              <w:autoSpaceDN w:val="0"/>
              <w:adjustRightInd w:val="0"/>
              <w:snapToGrid w:val="0"/>
              <w:spacing w:line="240" w:lineRule="atLeast"/>
              <w:jc w:val="right"/>
            </w:pPr>
          </w:p>
        </w:tc>
        <w:tc>
          <w:tcPr>
            <w:tcW w:w="1697" w:type="pct"/>
          </w:tcPr>
          <w:p w14:paraId="4EA1F2B9">
            <w:pPr>
              <w:jc w:val="right"/>
            </w:pPr>
          </w:p>
        </w:tc>
      </w:tr>
      <w:tr w14:paraId="54C6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pct"/>
            <w:vAlign w:val="center"/>
          </w:tcPr>
          <w:p w14:paraId="5B7B9F64">
            <w:pPr>
              <w:autoSpaceDE w:val="0"/>
              <w:autoSpaceDN w:val="0"/>
              <w:adjustRightInd w:val="0"/>
              <w:snapToGrid w:val="0"/>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土地使用税</w:t>
            </w:r>
          </w:p>
        </w:tc>
        <w:tc>
          <w:tcPr>
            <w:tcW w:w="1697" w:type="pct"/>
          </w:tcPr>
          <w:p w14:paraId="309EA468">
            <w:pPr>
              <w:autoSpaceDE w:val="0"/>
              <w:autoSpaceDN w:val="0"/>
              <w:adjustRightInd w:val="0"/>
              <w:snapToGrid w:val="0"/>
              <w:spacing w:line="240" w:lineRule="atLeast"/>
              <w:jc w:val="right"/>
            </w:pPr>
          </w:p>
        </w:tc>
        <w:tc>
          <w:tcPr>
            <w:tcW w:w="1697" w:type="pct"/>
          </w:tcPr>
          <w:p w14:paraId="511604E5">
            <w:pPr>
              <w:jc w:val="right"/>
            </w:pPr>
          </w:p>
        </w:tc>
      </w:tr>
      <w:tr w14:paraId="3D42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pct"/>
            <w:vAlign w:val="center"/>
          </w:tcPr>
          <w:p w14:paraId="6217CFDA">
            <w:pPr>
              <w:autoSpaceDE w:val="0"/>
              <w:autoSpaceDN w:val="0"/>
              <w:adjustRightInd w:val="0"/>
              <w:snapToGrid w:val="0"/>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车船使用税</w:t>
            </w:r>
          </w:p>
        </w:tc>
        <w:tc>
          <w:tcPr>
            <w:tcW w:w="1697" w:type="pct"/>
          </w:tcPr>
          <w:p w14:paraId="468DD927">
            <w:pPr>
              <w:autoSpaceDE w:val="0"/>
              <w:autoSpaceDN w:val="0"/>
              <w:adjustRightInd w:val="0"/>
              <w:snapToGrid w:val="0"/>
              <w:spacing w:line="240" w:lineRule="atLeast"/>
              <w:jc w:val="right"/>
            </w:pPr>
          </w:p>
        </w:tc>
        <w:tc>
          <w:tcPr>
            <w:tcW w:w="1697" w:type="pct"/>
          </w:tcPr>
          <w:p w14:paraId="4AD089C7">
            <w:pPr>
              <w:jc w:val="right"/>
            </w:pPr>
          </w:p>
        </w:tc>
      </w:tr>
      <w:tr w14:paraId="7FB2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pct"/>
            <w:vAlign w:val="center"/>
          </w:tcPr>
          <w:p w14:paraId="3BE65566">
            <w:pPr>
              <w:autoSpaceDE w:val="0"/>
              <w:autoSpaceDN w:val="0"/>
              <w:adjustRightInd w:val="0"/>
              <w:snapToGrid w:val="0"/>
              <w:spacing w:line="240" w:lineRule="atLeast"/>
              <w:rPr>
                <w:color w:val="000000" w:themeColor="text1"/>
                <w14:textFill>
                  <w14:solidFill>
                    <w14:schemeClr w14:val="tx1"/>
                  </w14:solidFill>
                </w14:textFill>
              </w:rPr>
            </w:pPr>
            <w:r>
              <w:rPr>
                <w:color w:val="000000" w:themeColor="text1"/>
                <w14:textFill>
                  <w14:solidFill>
                    <w14:schemeClr w14:val="tx1"/>
                  </w14:solidFill>
                </w14:textFill>
              </w:rPr>
              <w:t>印花税</w:t>
            </w:r>
          </w:p>
        </w:tc>
        <w:tc>
          <w:tcPr>
            <w:tcW w:w="1697" w:type="pct"/>
          </w:tcPr>
          <w:p w14:paraId="0E670625">
            <w:pPr>
              <w:autoSpaceDE w:val="0"/>
              <w:autoSpaceDN w:val="0"/>
              <w:adjustRightInd w:val="0"/>
              <w:snapToGrid w:val="0"/>
              <w:spacing w:line="240" w:lineRule="atLeast"/>
              <w:jc w:val="right"/>
            </w:pPr>
          </w:p>
        </w:tc>
        <w:tc>
          <w:tcPr>
            <w:tcW w:w="1697" w:type="pct"/>
          </w:tcPr>
          <w:p w14:paraId="216375FC">
            <w:pPr>
              <w:jc w:val="right"/>
            </w:pPr>
          </w:p>
        </w:tc>
      </w:tr>
      <w:tr w14:paraId="1203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pct"/>
            <w:vAlign w:val="center"/>
          </w:tcPr>
          <w:p w14:paraId="6DEB9D27">
            <w:pPr>
              <w:autoSpaceDE w:val="0"/>
              <w:autoSpaceDN w:val="0"/>
              <w:adjustRightInd w:val="0"/>
              <w:snapToGrid w:val="0"/>
              <w:spacing w:line="240" w:lineRule="atLeast"/>
            </w:pPr>
            <w:r>
              <w:rPr>
                <w:rFonts w:hint="eastAsia"/>
              </w:rPr>
              <w:t>其他</w:t>
            </w:r>
          </w:p>
        </w:tc>
        <w:tc>
          <w:tcPr>
            <w:tcW w:w="1697" w:type="pct"/>
          </w:tcPr>
          <w:p w14:paraId="02F8DCE1">
            <w:pPr>
              <w:autoSpaceDE w:val="0"/>
              <w:autoSpaceDN w:val="0"/>
              <w:adjustRightInd w:val="0"/>
              <w:snapToGrid w:val="0"/>
              <w:spacing w:line="240" w:lineRule="atLeast"/>
              <w:jc w:val="right"/>
            </w:pPr>
            <w:r>
              <w:t>2,544,947.09</w:t>
            </w:r>
          </w:p>
        </w:tc>
        <w:tc>
          <w:tcPr>
            <w:tcW w:w="1697" w:type="pct"/>
          </w:tcPr>
          <w:p w14:paraId="203E5305">
            <w:pPr>
              <w:jc w:val="right"/>
            </w:pPr>
            <w:r>
              <w:t>1,955,693.01</w:t>
            </w:r>
          </w:p>
        </w:tc>
      </w:tr>
      <w:tr w14:paraId="143A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pct"/>
            <w:vAlign w:val="center"/>
          </w:tcPr>
          <w:p w14:paraId="22B73A11">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97" w:type="pct"/>
          </w:tcPr>
          <w:p w14:paraId="6A3B6A27">
            <w:pPr>
              <w:autoSpaceDE w:val="0"/>
              <w:autoSpaceDN w:val="0"/>
              <w:adjustRightInd w:val="0"/>
              <w:snapToGrid w:val="0"/>
              <w:spacing w:line="240" w:lineRule="atLeast"/>
              <w:jc w:val="right"/>
            </w:pPr>
            <w:r>
              <w:t>2,830,102.20</w:t>
            </w:r>
          </w:p>
        </w:tc>
        <w:tc>
          <w:tcPr>
            <w:tcW w:w="1697" w:type="pct"/>
          </w:tcPr>
          <w:p w14:paraId="04643B0E">
            <w:pPr>
              <w:jc w:val="right"/>
            </w:pPr>
            <w:r>
              <w:t>3,103,642.35</w:t>
            </w:r>
          </w:p>
        </w:tc>
      </w:tr>
    </w:tbl>
    <w:p w14:paraId="183FBE2B">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rFonts w:hint="eastAsia"/>
          <w:color w:val="000000" w:themeColor="text1"/>
          <w14:textFill>
            <w14:solidFill>
              <w14:schemeClr w14:val="tx1"/>
            </w14:solidFill>
          </w14:textFill>
        </w:rPr>
        <w:alias w:val="税金及附加说明"/>
        <w:tag w:val="_GBC_f78e413320ad4d20a3dab91dff935491"/>
        <w:id w:val="-1206247812"/>
        <w:placeholder>
          <w:docPart w:val="GBC22222222222222222222222222222"/>
        </w:placeholder>
      </w:sdtPr>
      <w:sdtEndPr>
        <w:rPr>
          <w:rFonts w:hint="eastAsia"/>
          <w:color w:val="000000" w:themeColor="text1"/>
          <w14:textFill>
            <w14:solidFill>
              <w14:schemeClr w14:val="tx1"/>
            </w14:solidFill>
          </w14:textFill>
        </w:rPr>
      </w:sdtEndPr>
      <w:sdtContent>
        <w:p w14:paraId="606F42B3">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275EA705">
      <w:pPr>
        <w:rPr>
          <w:color w:val="000000" w:themeColor="text1"/>
          <w14:textFill>
            <w14:solidFill>
              <w14:schemeClr w14:val="tx1"/>
            </w14:solidFill>
          </w14:textFill>
        </w:rPr>
      </w:pPr>
    </w:p>
    <w:p w14:paraId="753A240F">
      <w:pPr>
        <w:pStyle w:val="4"/>
        <w:numPr>
          <w:ilvl w:val="0"/>
          <w:numId w:val="53"/>
        </w:numPr>
        <w:tabs>
          <w:tab w:val="left" w:pos="504"/>
        </w:tabs>
        <w:rPr>
          <w:rFonts w:hint="eastAsia" w:ascii="宋体" w:hAnsi="宋体" w:cs="宋体"/>
          <w:bCs/>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销售费用</w:t>
      </w:r>
    </w:p>
    <w:sdt>
      <w:sdtPr>
        <w:rPr>
          <w:color w:val="000000" w:themeColor="text1"/>
          <w14:textFill>
            <w14:solidFill>
              <w14:schemeClr w14:val="tx1"/>
            </w14:solidFill>
          </w14:textFill>
        </w:rPr>
        <w:alias w:val="是否适用：销售费用[双击切换]"/>
        <w:tag w:val="_GBC_5302d6af48674660a2279c7c8a87bb8c"/>
        <w:id w:val="-1193299411"/>
        <w:placeholder>
          <w:docPart w:val="GBC22222222222222222222222222222"/>
        </w:placeholder>
      </w:sdtPr>
      <w:sdtEndPr>
        <w:rPr>
          <w:color w:val="000000" w:themeColor="text1"/>
          <w14:textFill>
            <w14:solidFill>
              <w14:schemeClr w14:val="tx1"/>
            </w14:solidFill>
          </w14:textFill>
        </w:rPr>
      </w:sdtEndPr>
      <w:sdtContent>
        <w:p w14:paraId="52864AF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4F68E6C">
      <w:pPr>
        <w:pStyle w:val="55"/>
        <w:ind w:firstLine="0" w:firstLineChars="0"/>
        <w:jc w:val="righ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w:t>
      </w:r>
      <w:sdt>
        <w:sdtPr>
          <w:rPr>
            <w:rFonts w:hint="eastAsia" w:ascii="宋体" w:hAnsi="宋体"/>
            <w:color w:val="000000" w:themeColor="text1"/>
            <w:szCs w:val="21"/>
            <w14:textFill>
              <w14:solidFill>
                <w14:schemeClr w14:val="tx1"/>
              </w14:solidFill>
            </w14:textFill>
          </w:rPr>
          <w:alias w:val="单位：销售费用"/>
          <w:tag w:val="_GBC_893203a5a3df44649aef388407d22c68"/>
          <w:id w:val="-75782313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元</w:t>
          </w:r>
        </w:sdtContent>
      </w:sdt>
      <w:r>
        <w:rPr>
          <w:rFonts w:hint="eastAsia" w:ascii="宋体" w:hAnsi="宋体"/>
          <w:color w:val="000000" w:themeColor="text1"/>
          <w:szCs w:val="21"/>
          <w14:textFill>
            <w14:solidFill>
              <w14:schemeClr w14:val="tx1"/>
            </w14:solidFill>
          </w14:textFill>
        </w:rPr>
        <w:t xml:space="preserve">  币种：</w:t>
      </w:r>
      <w:sdt>
        <w:sdtPr>
          <w:rPr>
            <w:rFonts w:hint="eastAsia" w:ascii="宋体" w:hAnsi="宋体"/>
            <w:color w:val="000000" w:themeColor="text1"/>
            <w:szCs w:val="21"/>
            <w14:textFill>
              <w14:solidFill>
                <w14:schemeClr w14:val="tx1"/>
              </w14:solidFill>
            </w14:textFill>
          </w:rPr>
          <w:alias w:val="币种：销售费用"/>
          <w:tag w:val="_GBC_4954a9fca98d4f279270fb28f987aa6f"/>
          <w:id w:val="20809347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38"/>
        <w:gridCol w:w="2626"/>
        <w:gridCol w:w="2359"/>
      </w:tblGrid>
      <w:tr w14:paraId="63F2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16c47970a3b145c98f438f3cb34ff636"/>
            <w:id w:val="-1682810325"/>
          </w:sdtPr>
          <w:sdtContent>
            <w:tc>
              <w:tcPr>
                <w:tcW w:w="2175" w:type="pct"/>
                <w:tcBorders>
                  <w:top w:val="single" w:color="auto" w:sz="4" w:space="0"/>
                  <w:left w:val="single" w:color="auto" w:sz="4" w:space="0"/>
                  <w:bottom w:val="single" w:color="auto" w:sz="4" w:space="0"/>
                  <w:right w:val="single" w:color="auto" w:sz="4" w:space="0"/>
                </w:tcBorders>
                <w:vAlign w:val="center"/>
              </w:tcPr>
              <w:p w14:paraId="01C26A8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b3ce435531054240b373e649bc9ae7a1"/>
            <w:id w:val="2041392578"/>
          </w:sdtPr>
          <w:sdtContent>
            <w:tc>
              <w:tcPr>
                <w:tcW w:w="1488" w:type="pct"/>
                <w:tcBorders>
                  <w:top w:val="single" w:color="auto" w:sz="4" w:space="0"/>
                  <w:left w:val="single" w:color="auto" w:sz="4" w:space="0"/>
                  <w:bottom w:val="single" w:color="auto" w:sz="4" w:space="0"/>
                  <w:right w:val="single" w:color="auto" w:sz="4" w:space="0"/>
                </w:tcBorders>
                <w:vAlign w:val="center"/>
              </w:tcPr>
              <w:p w14:paraId="1A7E683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9480cd5806624557b975b5d0ce06575b"/>
            <w:id w:val="-1196224692"/>
          </w:sdtPr>
          <w:sdtContent>
            <w:tc>
              <w:tcPr>
                <w:tcW w:w="1337" w:type="pct"/>
                <w:tcBorders>
                  <w:top w:val="single" w:color="auto" w:sz="4" w:space="0"/>
                  <w:left w:val="single" w:color="auto" w:sz="4" w:space="0"/>
                  <w:bottom w:val="single" w:color="auto" w:sz="4" w:space="0"/>
                  <w:right w:val="single" w:color="auto" w:sz="4" w:space="0"/>
                </w:tcBorders>
                <w:vAlign w:val="center"/>
              </w:tcPr>
              <w:p w14:paraId="7E71847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1212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tcBorders>
              <w:top w:val="single" w:color="auto" w:sz="4" w:space="0"/>
              <w:left w:val="single" w:color="auto" w:sz="4" w:space="0"/>
              <w:bottom w:val="single" w:color="auto" w:sz="4" w:space="0"/>
              <w:right w:val="single" w:color="auto" w:sz="4" w:space="0"/>
            </w:tcBorders>
            <w:vAlign w:val="center"/>
          </w:tcPr>
          <w:p w14:paraId="6F1D8CFD">
            <w:r>
              <w:rPr>
                <w:rFonts w:hint="eastAsia" w:ascii="宋体" w:hAnsi="宋体"/>
              </w:rPr>
              <w:t>保险费</w:t>
            </w:r>
          </w:p>
        </w:tc>
        <w:tc>
          <w:tcPr>
            <w:tcW w:w="1488" w:type="pct"/>
            <w:tcBorders>
              <w:top w:val="single" w:color="auto" w:sz="4" w:space="0"/>
              <w:left w:val="single" w:color="auto" w:sz="4" w:space="0"/>
              <w:bottom w:val="single" w:color="auto" w:sz="4" w:space="0"/>
              <w:right w:val="single" w:color="auto" w:sz="4" w:space="0"/>
            </w:tcBorders>
            <w:vAlign w:val="center"/>
          </w:tcPr>
          <w:p w14:paraId="5BB6B45A">
            <w:pPr>
              <w:jc w:val="right"/>
            </w:pPr>
            <w:r>
              <w:t>434,337.04</w:t>
            </w:r>
          </w:p>
        </w:tc>
        <w:tc>
          <w:tcPr>
            <w:tcW w:w="1337" w:type="pct"/>
            <w:tcBorders>
              <w:top w:val="single" w:color="auto" w:sz="4" w:space="0"/>
              <w:left w:val="single" w:color="auto" w:sz="4" w:space="0"/>
              <w:bottom w:val="single" w:color="auto" w:sz="4" w:space="0"/>
              <w:right w:val="single" w:color="auto" w:sz="4" w:space="0"/>
            </w:tcBorders>
            <w:vAlign w:val="center"/>
          </w:tcPr>
          <w:p w14:paraId="0B31D703">
            <w:pPr>
              <w:jc w:val="right"/>
            </w:pPr>
            <w:r>
              <w:t>527,201.29</w:t>
            </w:r>
          </w:p>
        </w:tc>
      </w:tr>
      <w:tr w14:paraId="494B9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tcBorders>
              <w:top w:val="single" w:color="auto" w:sz="4" w:space="0"/>
              <w:left w:val="single" w:color="auto" w:sz="4" w:space="0"/>
              <w:bottom w:val="single" w:color="auto" w:sz="4" w:space="0"/>
              <w:right w:val="single" w:color="auto" w:sz="4" w:space="0"/>
            </w:tcBorders>
            <w:vAlign w:val="center"/>
          </w:tcPr>
          <w:p w14:paraId="605355E4">
            <w:r>
              <w:rPr>
                <w:rFonts w:hint="eastAsia" w:ascii="宋体" w:hAnsi="宋体"/>
              </w:rPr>
              <w:t>差旅费</w:t>
            </w:r>
          </w:p>
        </w:tc>
        <w:tc>
          <w:tcPr>
            <w:tcW w:w="1488" w:type="pct"/>
            <w:tcBorders>
              <w:top w:val="single" w:color="auto" w:sz="4" w:space="0"/>
              <w:left w:val="single" w:color="auto" w:sz="4" w:space="0"/>
              <w:bottom w:val="single" w:color="auto" w:sz="4" w:space="0"/>
              <w:right w:val="single" w:color="auto" w:sz="4" w:space="0"/>
            </w:tcBorders>
            <w:vAlign w:val="center"/>
          </w:tcPr>
          <w:p w14:paraId="7812F553">
            <w:pPr>
              <w:jc w:val="right"/>
            </w:pPr>
            <w:r>
              <w:t>59,906.83</w:t>
            </w:r>
          </w:p>
        </w:tc>
        <w:tc>
          <w:tcPr>
            <w:tcW w:w="1337" w:type="pct"/>
            <w:tcBorders>
              <w:top w:val="single" w:color="auto" w:sz="4" w:space="0"/>
              <w:left w:val="single" w:color="auto" w:sz="4" w:space="0"/>
              <w:bottom w:val="single" w:color="auto" w:sz="4" w:space="0"/>
              <w:right w:val="single" w:color="auto" w:sz="4" w:space="0"/>
            </w:tcBorders>
            <w:vAlign w:val="center"/>
          </w:tcPr>
          <w:p w14:paraId="0A5A67C4">
            <w:pPr>
              <w:jc w:val="right"/>
            </w:pPr>
            <w:r>
              <w:t>175,672.31</w:t>
            </w:r>
          </w:p>
        </w:tc>
      </w:tr>
      <w:tr w14:paraId="3F0E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tcBorders>
              <w:top w:val="single" w:color="auto" w:sz="4" w:space="0"/>
              <w:left w:val="single" w:color="auto" w:sz="4" w:space="0"/>
              <w:bottom w:val="single" w:color="auto" w:sz="4" w:space="0"/>
              <w:right w:val="single" w:color="auto" w:sz="4" w:space="0"/>
            </w:tcBorders>
            <w:vAlign w:val="center"/>
          </w:tcPr>
          <w:p w14:paraId="500B87B0">
            <w:r>
              <w:rPr>
                <w:rFonts w:hint="eastAsia" w:ascii="宋体" w:hAnsi="宋体"/>
              </w:rPr>
              <w:t>业务咨询费</w:t>
            </w:r>
          </w:p>
        </w:tc>
        <w:tc>
          <w:tcPr>
            <w:tcW w:w="1488" w:type="pct"/>
            <w:tcBorders>
              <w:top w:val="single" w:color="auto" w:sz="4" w:space="0"/>
              <w:left w:val="single" w:color="auto" w:sz="4" w:space="0"/>
              <w:bottom w:val="single" w:color="auto" w:sz="4" w:space="0"/>
              <w:right w:val="single" w:color="auto" w:sz="4" w:space="0"/>
            </w:tcBorders>
            <w:vAlign w:val="center"/>
          </w:tcPr>
          <w:p w14:paraId="65614C91">
            <w:pPr>
              <w:jc w:val="right"/>
            </w:pPr>
          </w:p>
        </w:tc>
        <w:tc>
          <w:tcPr>
            <w:tcW w:w="1337" w:type="pct"/>
            <w:tcBorders>
              <w:top w:val="single" w:color="auto" w:sz="4" w:space="0"/>
              <w:left w:val="single" w:color="auto" w:sz="4" w:space="0"/>
              <w:bottom w:val="single" w:color="auto" w:sz="4" w:space="0"/>
              <w:right w:val="single" w:color="auto" w:sz="4" w:space="0"/>
            </w:tcBorders>
            <w:vAlign w:val="center"/>
          </w:tcPr>
          <w:p w14:paraId="60C34A83">
            <w:pPr>
              <w:jc w:val="right"/>
            </w:pPr>
          </w:p>
        </w:tc>
      </w:tr>
      <w:tr w14:paraId="5B5F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tcBorders>
              <w:top w:val="single" w:color="auto" w:sz="4" w:space="0"/>
              <w:left w:val="single" w:color="auto" w:sz="4" w:space="0"/>
              <w:bottom w:val="single" w:color="auto" w:sz="4" w:space="0"/>
              <w:right w:val="single" w:color="auto" w:sz="4" w:space="0"/>
            </w:tcBorders>
            <w:vAlign w:val="center"/>
          </w:tcPr>
          <w:p w14:paraId="2DE2D90F">
            <w:r>
              <w:rPr>
                <w:rFonts w:hint="eastAsia" w:ascii="宋体" w:hAnsi="宋体"/>
              </w:rPr>
              <w:t>工资及附加</w:t>
            </w:r>
          </w:p>
        </w:tc>
        <w:tc>
          <w:tcPr>
            <w:tcW w:w="1488" w:type="pct"/>
            <w:tcBorders>
              <w:top w:val="single" w:color="auto" w:sz="4" w:space="0"/>
              <w:left w:val="single" w:color="auto" w:sz="4" w:space="0"/>
              <w:bottom w:val="single" w:color="auto" w:sz="4" w:space="0"/>
              <w:right w:val="single" w:color="auto" w:sz="4" w:space="0"/>
            </w:tcBorders>
            <w:vAlign w:val="center"/>
          </w:tcPr>
          <w:p w14:paraId="72ADE658">
            <w:pPr>
              <w:jc w:val="right"/>
            </w:pPr>
            <w:r>
              <w:t>3,606,729.83</w:t>
            </w:r>
          </w:p>
        </w:tc>
        <w:tc>
          <w:tcPr>
            <w:tcW w:w="1337" w:type="pct"/>
            <w:tcBorders>
              <w:top w:val="single" w:color="auto" w:sz="4" w:space="0"/>
              <w:left w:val="single" w:color="auto" w:sz="4" w:space="0"/>
              <w:bottom w:val="single" w:color="auto" w:sz="4" w:space="0"/>
              <w:right w:val="single" w:color="auto" w:sz="4" w:space="0"/>
            </w:tcBorders>
            <w:vAlign w:val="center"/>
          </w:tcPr>
          <w:p w14:paraId="146AAC44">
            <w:pPr>
              <w:jc w:val="right"/>
            </w:pPr>
            <w:r>
              <w:t>4,775,313.78</w:t>
            </w:r>
          </w:p>
        </w:tc>
      </w:tr>
      <w:tr w14:paraId="28CB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tcBorders>
              <w:top w:val="single" w:color="auto" w:sz="4" w:space="0"/>
              <w:left w:val="single" w:color="auto" w:sz="4" w:space="0"/>
              <w:bottom w:val="single" w:color="auto" w:sz="4" w:space="0"/>
              <w:right w:val="single" w:color="auto" w:sz="4" w:space="0"/>
            </w:tcBorders>
            <w:vAlign w:val="center"/>
          </w:tcPr>
          <w:p w14:paraId="63301F7C">
            <w:r>
              <w:rPr>
                <w:rFonts w:hint="eastAsia" w:ascii="宋体" w:hAnsi="宋体"/>
              </w:rPr>
              <w:t>广告宣传费</w:t>
            </w:r>
          </w:p>
        </w:tc>
        <w:tc>
          <w:tcPr>
            <w:tcW w:w="1488" w:type="pct"/>
            <w:tcBorders>
              <w:top w:val="single" w:color="auto" w:sz="4" w:space="0"/>
              <w:left w:val="single" w:color="auto" w:sz="4" w:space="0"/>
              <w:bottom w:val="single" w:color="auto" w:sz="4" w:space="0"/>
              <w:right w:val="single" w:color="auto" w:sz="4" w:space="0"/>
            </w:tcBorders>
            <w:vAlign w:val="center"/>
          </w:tcPr>
          <w:p w14:paraId="4834D1BB">
            <w:pPr>
              <w:jc w:val="right"/>
            </w:pPr>
            <w:r>
              <w:t>109,870.35</w:t>
            </w:r>
          </w:p>
        </w:tc>
        <w:tc>
          <w:tcPr>
            <w:tcW w:w="1337" w:type="pct"/>
            <w:tcBorders>
              <w:top w:val="single" w:color="auto" w:sz="4" w:space="0"/>
              <w:left w:val="single" w:color="auto" w:sz="4" w:space="0"/>
              <w:bottom w:val="single" w:color="auto" w:sz="4" w:space="0"/>
              <w:right w:val="single" w:color="auto" w:sz="4" w:space="0"/>
            </w:tcBorders>
            <w:vAlign w:val="center"/>
          </w:tcPr>
          <w:p w14:paraId="2D5ECC2D">
            <w:pPr>
              <w:jc w:val="right"/>
            </w:pPr>
            <w:r>
              <w:t>56,359.80</w:t>
            </w:r>
          </w:p>
        </w:tc>
      </w:tr>
      <w:tr w14:paraId="7B88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tcBorders>
              <w:top w:val="single" w:color="auto" w:sz="4" w:space="0"/>
              <w:left w:val="single" w:color="auto" w:sz="4" w:space="0"/>
              <w:bottom w:val="single" w:color="auto" w:sz="4" w:space="0"/>
              <w:right w:val="single" w:color="auto" w:sz="4" w:space="0"/>
            </w:tcBorders>
            <w:vAlign w:val="center"/>
          </w:tcPr>
          <w:p w14:paraId="0428AD37">
            <w:r>
              <w:rPr>
                <w:rFonts w:hint="eastAsia" w:ascii="宋体" w:hAnsi="宋体"/>
              </w:rPr>
              <w:t>车辆费</w:t>
            </w:r>
          </w:p>
        </w:tc>
        <w:tc>
          <w:tcPr>
            <w:tcW w:w="1488" w:type="pct"/>
            <w:tcBorders>
              <w:top w:val="single" w:color="auto" w:sz="4" w:space="0"/>
              <w:left w:val="single" w:color="auto" w:sz="4" w:space="0"/>
              <w:bottom w:val="single" w:color="auto" w:sz="4" w:space="0"/>
              <w:right w:val="single" w:color="auto" w:sz="4" w:space="0"/>
            </w:tcBorders>
            <w:vAlign w:val="center"/>
          </w:tcPr>
          <w:p w14:paraId="2789CE34">
            <w:pPr>
              <w:jc w:val="right"/>
            </w:pPr>
            <w:r>
              <w:t>1,223,406.08</w:t>
            </w:r>
          </w:p>
        </w:tc>
        <w:tc>
          <w:tcPr>
            <w:tcW w:w="1337" w:type="pct"/>
            <w:tcBorders>
              <w:top w:val="single" w:color="auto" w:sz="4" w:space="0"/>
              <w:left w:val="single" w:color="auto" w:sz="4" w:space="0"/>
              <w:bottom w:val="single" w:color="auto" w:sz="4" w:space="0"/>
              <w:right w:val="single" w:color="auto" w:sz="4" w:space="0"/>
            </w:tcBorders>
            <w:vAlign w:val="center"/>
          </w:tcPr>
          <w:p w14:paraId="6CB875B5">
            <w:pPr>
              <w:jc w:val="right"/>
            </w:pPr>
            <w:r>
              <w:t>1,065,770.03</w:t>
            </w:r>
          </w:p>
        </w:tc>
      </w:tr>
      <w:tr w14:paraId="060D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tcBorders>
              <w:top w:val="single" w:color="auto" w:sz="4" w:space="0"/>
              <w:left w:val="single" w:color="auto" w:sz="4" w:space="0"/>
              <w:bottom w:val="single" w:color="auto" w:sz="4" w:space="0"/>
              <w:right w:val="single" w:color="auto" w:sz="4" w:space="0"/>
            </w:tcBorders>
            <w:vAlign w:val="center"/>
          </w:tcPr>
          <w:p w14:paraId="4D74AA4A">
            <w:r>
              <w:rPr>
                <w:rFonts w:hint="eastAsia" w:ascii="宋体" w:hAnsi="宋体"/>
              </w:rPr>
              <w:t>检验费</w:t>
            </w:r>
          </w:p>
        </w:tc>
        <w:tc>
          <w:tcPr>
            <w:tcW w:w="1488" w:type="pct"/>
            <w:tcBorders>
              <w:top w:val="single" w:color="auto" w:sz="4" w:space="0"/>
              <w:left w:val="single" w:color="auto" w:sz="4" w:space="0"/>
              <w:bottom w:val="single" w:color="auto" w:sz="4" w:space="0"/>
              <w:right w:val="single" w:color="auto" w:sz="4" w:space="0"/>
            </w:tcBorders>
            <w:vAlign w:val="center"/>
          </w:tcPr>
          <w:p w14:paraId="0FB5C2AF">
            <w:pPr>
              <w:jc w:val="right"/>
            </w:pPr>
            <w:r>
              <w:rPr>
                <w:rFonts w:hint="eastAsia"/>
              </w:rPr>
              <w:t>720.00</w:t>
            </w:r>
          </w:p>
        </w:tc>
        <w:tc>
          <w:tcPr>
            <w:tcW w:w="1337" w:type="pct"/>
            <w:tcBorders>
              <w:top w:val="single" w:color="auto" w:sz="4" w:space="0"/>
              <w:left w:val="single" w:color="auto" w:sz="4" w:space="0"/>
              <w:bottom w:val="single" w:color="auto" w:sz="4" w:space="0"/>
              <w:right w:val="single" w:color="auto" w:sz="4" w:space="0"/>
            </w:tcBorders>
            <w:vAlign w:val="center"/>
          </w:tcPr>
          <w:p w14:paraId="4AFA7955">
            <w:pPr>
              <w:jc w:val="right"/>
            </w:pPr>
            <w:r>
              <w:t>720.00</w:t>
            </w:r>
          </w:p>
        </w:tc>
      </w:tr>
      <w:tr w14:paraId="7367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tcBorders>
              <w:top w:val="single" w:color="auto" w:sz="4" w:space="0"/>
              <w:left w:val="single" w:color="auto" w:sz="4" w:space="0"/>
              <w:bottom w:val="single" w:color="auto" w:sz="4" w:space="0"/>
              <w:right w:val="single" w:color="auto" w:sz="4" w:space="0"/>
            </w:tcBorders>
            <w:vAlign w:val="center"/>
          </w:tcPr>
          <w:p w14:paraId="5267B5A6">
            <w:r>
              <w:rPr>
                <w:rFonts w:hint="eastAsia" w:ascii="宋体" w:hAnsi="宋体"/>
              </w:rPr>
              <w:t>折旧摊销</w:t>
            </w:r>
          </w:p>
        </w:tc>
        <w:tc>
          <w:tcPr>
            <w:tcW w:w="1488" w:type="pct"/>
            <w:tcBorders>
              <w:top w:val="single" w:color="auto" w:sz="4" w:space="0"/>
              <w:left w:val="single" w:color="auto" w:sz="4" w:space="0"/>
              <w:bottom w:val="single" w:color="auto" w:sz="4" w:space="0"/>
              <w:right w:val="single" w:color="auto" w:sz="4" w:space="0"/>
            </w:tcBorders>
            <w:vAlign w:val="center"/>
          </w:tcPr>
          <w:p w14:paraId="6FB08ACD">
            <w:pPr>
              <w:jc w:val="right"/>
            </w:pPr>
            <w:r>
              <w:t>2,158,624.02</w:t>
            </w:r>
          </w:p>
        </w:tc>
        <w:tc>
          <w:tcPr>
            <w:tcW w:w="1337" w:type="pct"/>
            <w:tcBorders>
              <w:top w:val="single" w:color="auto" w:sz="4" w:space="0"/>
              <w:left w:val="single" w:color="auto" w:sz="4" w:space="0"/>
              <w:bottom w:val="single" w:color="auto" w:sz="4" w:space="0"/>
              <w:right w:val="single" w:color="auto" w:sz="4" w:space="0"/>
            </w:tcBorders>
            <w:vAlign w:val="center"/>
          </w:tcPr>
          <w:p w14:paraId="62C9D115">
            <w:pPr>
              <w:jc w:val="right"/>
            </w:pPr>
            <w:r>
              <w:t>2,268,301.49</w:t>
            </w:r>
          </w:p>
        </w:tc>
      </w:tr>
      <w:tr w14:paraId="5EEA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tcBorders>
              <w:top w:val="single" w:color="auto" w:sz="4" w:space="0"/>
              <w:left w:val="single" w:color="auto" w:sz="4" w:space="0"/>
              <w:bottom w:val="single" w:color="auto" w:sz="4" w:space="0"/>
              <w:right w:val="single" w:color="auto" w:sz="4" w:space="0"/>
            </w:tcBorders>
            <w:vAlign w:val="center"/>
          </w:tcPr>
          <w:p w14:paraId="4EECC8D3">
            <w:r>
              <w:rPr>
                <w:rFonts w:hint="eastAsia" w:ascii="宋体" w:hAnsi="宋体"/>
              </w:rPr>
              <w:t>修理费</w:t>
            </w:r>
          </w:p>
        </w:tc>
        <w:tc>
          <w:tcPr>
            <w:tcW w:w="1488" w:type="pct"/>
            <w:tcBorders>
              <w:top w:val="single" w:color="auto" w:sz="4" w:space="0"/>
              <w:left w:val="single" w:color="auto" w:sz="4" w:space="0"/>
              <w:bottom w:val="single" w:color="auto" w:sz="4" w:space="0"/>
              <w:right w:val="single" w:color="auto" w:sz="4" w:space="0"/>
            </w:tcBorders>
            <w:vAlign w:val="center"/>
          </w:tcPr>
          <w:p w14:paraId="6CE12536">
            <w:pPr>
              <w:jc w:val="right"/>
            </w:pPr>
            <w:r>
              <w:t>6,690.47</w:t>
            </w:r>
          </w:p>
        </w:tc>
        <w:tc>
          <w:tcPr>
            <w:tcW w:w="1337" w:type="pct"/>
            <w:tcBorders>
              <w:top w:val="single" w:color="auto" w:sz="4" w:space="0"/>
              <w:left w:val="single" w:color="auto" w:sz="4" w:space="0"/>
              <w:bottom w:val="single" w:color="auto" w:sz="4" w:space="0"/>
              <w:right w:val="single" w:color="auto" w:sz="4" w:space="0"/>
            </w:tcBorders>
            <w:vAlign w:val="center"/>
          </w:tcPr>
          <w:p w14:paraId="145D6B4D">
            <w:pPr>
              <w:jc w:val="right"/>
            </w:pPr>
            <w:r>
              <w:t>16,261.65</w:t>
            </w:r>
          </w:p>
        </w:tc>
      </w:tr>
      <w:tr w14:paraId="54B1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tcBorders>
              <w:top w:val="single" w:color="auto" w:sz="4" w:space="0"/>
              <w:left w:val="single" w:color="auto" w:sz="4" w:space="0"/>
              <w:bottom w:val="single" w:color="auto" w:sz="4" w:space="0"/>
              <w:right w:val="single" w:color="auto" w:sz="4" w:space="0"/>
            </w:tcBorders>
            <w:vAlign w:val="center"/>
          </w:tcPr>
          <w:p w14:paraId="3A8ABC3D">
            <w:r>
              <w:rPr>
                <w:rFonts w:hint="eastAsia" w:ascii="宋体" w:hAnsi="宋体"/>
              </w:rPr>
              <w:t>物料消耗</w:t>
            </w:r>
          </w:p>
        </w:tc>
        <w:tc>
          <w:tcPr>
            <w:tcW w:w="1488" w:type="pct"/>
            <w:tcBorders>
              <w:top w:val="single" w:color="auto" w:sz="4" w:space="0"/>
              <w:left w:val="single" w:color="auto" w:sz="4" w:space="0"/>
              <w:bottom w:val="single" w:color="auto" w:sz="4" w:space="0"/>
              <w:right w:val="single" w:color="auto" w:sz="4" w:space="0"/>
            </w:tcBorders>
            <w:vAlign w:val="center"/>
          </w:tcPr>
          <w:p w14:paraId="77643684">
            <w:pPr>
              <w:jc w:val="right"/>
            </w:pPr>
            <w:r>
              <w:t>76,963.41</w:t>
            </w:r>
          </w:p>
        </w:tc>
        <w:tc>
          <w:tcPr>
            <w:tcW w:w="1337" w:type="pct"/>
            <w:tcBorders>
              <w:top w:val="single" w:color="auto" w:sz="4" w:space="0"/>
              <w:left w:val="single" w:color="auto" w:sz="4" w:space="0"/>
              <w:bottom w:val="single" w:color="auto" w:sz="4" w:space="0"/>
              <w:right w:val="single" w:color="auto" w:sz="4" w:space="0"/>
            </w:tcBorders>
            <w:vAlign w:val="center"/>
          </w:tcPr>
          <w:p w14:paraId="5A8C554C">
            <w:pPr>
              <w:jc w:val="right"/>
            </w:pPr>
            <w:r>
              <w:t>54,991.17</w:t>
            </w:r>
          </w:p>
        </w:tc>
      </w:tr>
      <w:tr w14:paraId="598B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tcBorders>
              <w:top w:val="single" w:color="auto" w:sz="4" w:space="0"/>
              <w:left w:val="single" w:color="auto" w:sz="4" w:space="0"/>
              <w:bottom w:val="single" w:color="auto" w:sz="4" w:space="0"/>
              <w:right w:val="single" w:color="auto" w:sz="4" w:space="0"/>
            </w:tcBorders>
            <w:vAlign w:val="center"/>
          </w:tcPr>
          <w:p w14:paraId="6A057FBE">
            <w:r>
              <w:rPr>
                <w:rFonts w:hint="eastAsia" w:ascii="宋体" w:hAnsi="宋体"/>
              </w:rPr>
              <w:t>业务招待费</w:t>
            </w:r>
          </w:p>
        </w:tc>
        <w:tc>
          <w:tcPr>
            <w:tcW w:w="1488" w:type="pct"/>
            <w:tcBorders>
              <w:top w:val="single" w:color="auto" w:sz="4" w:space="0"/>
              <w:left w:val="single" w:color="auto" w:sz="4" w:space="0"/>
              <w:bottom w:val="single" w:color="auto" w:sz="4" w:space="0"/>
              <w:right w:val="single" w:color="auto" w:sz="4" w:space="0"/>
            </w:tcBorders>
            <w:vAlign w:val="center"/>
          </w:tcPr>
          <w:p w14:paraId="70027ABB">
            <w:pPr>
              <w:jc w:val="right"/>
            </w:pPr>
            <w:r>
              <w:t>102,312.57</w:t>
            </w:r>
          </w:p>
        </w:tc>
        <w:tc>
          <w:tcPr>
            <w:tcW w:w="1337" w:type="pct"/>
            <w:tcBorders>
              <w:top w:val="single" w:color="auto" w:sz="4" w:space="0"/>
              <w:left w:val="single" w:color="auto" w:sz="4" w:space="0"/>
              <w:bottom w:val="single" w:color="auto" w:sz="4" w:space="0"/>
              <w:right w:val="single" w:color="auto" w:sz="4" w:space="0"/>
            </w:tcBorders>
            <w:vAlign w:val="center"/>
          </w:tcPr>
          <w:p w14:paraId="2A2B488D">
            <w:pPr>
              <w:jc w:val="right"/>
            </w:pPr>
            <w:r>
              <w:t>211,058.90</w:t>
            </w:r>
          </w:p>
        </w:tc>
      </w:tr>
      <w:tr w14:paraId="5280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tcBorders>
              <w:top w:val="single" w:color="auto" w:sz="4" w:space="0"/>
              <w:left w:val="single" w:color="auto" w:sz="4" w:space="0"/>
              <w:bottom w:val="single" w:color="auto" w:sz="4" w:space="0"/>
              <w:right w:val="single" w:color="auto" w:sz="4" w:space="0"/>
            </w:tcBorders>
            <w:vAlign w:val="center"/>
          </w:tcPr>
          <w:p w14:paraId="090B3AAD">
            <w:r>
              <w:rPr>
                <w:rFonts w:hint="eastAsia" w:ascii="宋体" w:hAnsi="宋体"/>
              </w:rPr>
              <w:t>其他（业务服务费）</w:t>
            </w:r>
          </w:p>
        </w:tc>
        <w:tc>
          <w:tcPr>
            <w:tcW w:w="1488" w:type="pct"/>
            <w:tcBorders>
              <w:top w:val="single" w:color="auto" w:sz="4" w:space="0"/>
              <w:left w:val="single" w:color="auto" w:sz="4" w:space="0"/>
              <w:bottom w:val="single" w:color="auto" w:sz="4" w:space="0"/>
              <w:right w:val="single" w:color="auto" w:sz="4" w:space="0"/>
            </w:tcBorders>
            <w:vAlign w:val="center"/>
          </w:tcPr>
          <w:p w14:paraId="0ED6ABA8">
            <w:pPr>
              <w:jc w:val="right"/>
            </w:pPr>
            <w:r>
              <w:t>6,965,280.23</w:t>
            </w:r>
          </w:p>
        </w:tc>
        <w:tc>
          <w:tcPr>
            <w:tcW w:w="1337" w:type="pct"/>
            <w:tcBorders>
              <w:top w:val="single" w:color="auto" w:sz="4" w:space="0"/>
              <w:left w:val="single" w:color="auto" w:sz="4" w:space="0"/>
              <w:bottom w:val="single" w:color="auto" w:sz="4" w:space="0"/>
              <w:right w:val="single" w:color="auto" w:sz="4" w:space="0"/>
            </w:tcBorders>
            <w:vAlign w:val="center"/>
          </w:tcPr>
          <w:p w14:paraId="5C841755">
            <w:pPr>
              <w:jc w:val="right"/>
            </w:pPr>
            <w:r>
              <w:t>7,618,181.60</w:t>
            </w:r>
          </w:p>
        </w:tc>
      </w:tr>
      <w:tr w14:paraId="58B1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tcBorders>
              <w:top w:val="single" w:color="auto" w:sz="4" w:space="0"/>
              <w:left w:val="single" w:color="auto" w:sz="4" w:space="0"/>
              <w:bottom w:val="single" w:color="auto" w:sz="4" w:space="0"/>
              <w:right w:val="single" w:color="auto" w:sz="4" w:space="0"/>
            </w:tcBorders>
            <w:vAlign w:val="center"/>
          </w:tcPr>
          <w:p w14:paraId="733AAA3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488" w:type="pct"/>
            <w:tcBorders>
              <w:top w:val="single" w:color="auto" w:sz="4" w:space="0"/>
              <w:left w:val="single" w:color="auto" w:sz="4" w:space="0"/>
              <w:bottom w:val="single" w:color="auto" w:sz="4" w:space="0"/>
              <w:right w:val="single" w:color="auto" w:sz="4" w:space="0"/>
            </w:tcBorders>
          </w:tcPr>
          <w:p w14:paraId="2C9FDA51">
            <w:pPr>
              <w:jc w:val="right"/>
            </w:pPr>
            <w:r>
              <w:t>14,744,840.83</w:t>
            </w:r>
          </w:p>
        </w:tc>
        <w:tc>
          <w:tcPr>
            <w:tcW w:w="1337" w:type="pct"/>
            <w:tcBorders>
              <w:top w:val="single" w:color="auto" w:sz="4" w:space="0"/>
              <w:left w:val="single" w:color="auto" w:sz="4" w:space="0"/>
              <w:bottom w:val="single" w:color="auto" w:sz="4" w:space="0"/>
              <w:right w:val="single" w:color="auto" w:sz="4" w:space="0"/>
            </w:tcBorders>
          </w:tcPr>
          <w:p w14:paraId="0B87180A">
            <w:pPr>
              <w:jc w:val="right"/>
            </w:pPr>
            <w:r>
              <w:rPr>
                <w:rFonts w:hint="eastAsia"/>
              </w:rPr>
              <w:t>16769832.02</w:t>
            </w:r>
          </w:p>
        </w:tc>
      </w:tr>
    </w:tbl>
    <w:p w14:paraId="3F55A329">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销售费用的其他说明事项"/>
        <w:tag w:val="_GBC_42921bca5478449e9dd3932a8303975a"/>
        <w:id w:val="523675626"/>
        <w:placeholder>
          <w:docPart w:val="GBC22222222222222222222222222222"/>
        </w:placeholder>
      </w:sdtPr>
      <w:sdtEndPr>
        <w:rPr>
          <w:color w:val="000000" w:themeColor="text1"/>
          <w14:textFill>
            <w14:solidFill>
              <w14:schemeClr w14:val="tx1"/>
            </w14:solidFill>
          </w14:textFill>
        </w:rPr>
      </w:sdtEndPr>
      <w:sdtContent>
        <w:p w14:paraId="53612912">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517174D3">
      <w:pPr>
        <w:rPr>
          <w:color w:val="000000" w:themeColor="text1"/>
          <w14:textFill>
            <w14:solidFill>
              <w14:schemeClr w14:val="tx1"/>
            </w14:solidFill>
          </w14:textFill>
        </w:rPr>
      </w:pPr>
    </w:p>
    <w:p w14:paraId="089BA1F7">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管理费用</w:t>
      </w:r>
    </w:p>
    <w:sdt>
      <w:sdtPr>
        <w:rPr>
          <w:color w:val="000000" w:themeColor="text1"/>
          <w14:textFill>
            <w14:solidFill>
              <w14:schemeClr w14:val="tx1"/>
            </w14:solidFill>
          </w14:textFill>
        </w:rPr>
        <w:alias w:val="是否适用：管理费用[双击切换]"/>
        <w:tag w:val="_GBC_864c9dd9adce435698261f1da02ab8fb"/>
        <w:id w:val="325723807"/>
        <w:placeholder>
          <w:docPart w:val="GBC22222222222222222222222222222"/>
        </w:placeholder>
      </w:sdtPr>
      <w:sdtEndPr>
        <w:rPr>
          <w:color w:val="000000" w:themeColor="text1"/>
          <w14:textFill>
            <w14:solidFill>
              <w14:schemeClr w14:val="tx1"/>
            </w14:solidFill>
          </w14:textFill>
        </w:rPr>
      </w:sdtEndPr>
      <w:sdtContent>
        <w:p w14:paraId="55A1360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4A1A3D3">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管理费用"/>
          <w:tag w:val="_GBC_b8198aec3f7748d28785c1eebbf02df7"/>
          <w:id w:val="567484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管理费用"/>
          <w:tag w:val="_GBC_f92af61f8b3b45ba9ec818ede9725428"/>
          <w:id w:val="-8655142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5"/>
        <w:gridCol w:w="2539"/>
        <w:gridCol w:w="2379"/>
      </w:tblGrid>
      <w:tr w14:paraId="408C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249fd0c096ba421285089a0fada9d43a"/>
            <w:id w:val="401722111"/>
          </w:sdtPr>
          <w:sdtContent>
            <w:tc>
              <w:tcPr>
                <w:tcW w:w="2213" w:type="pct"/>
                <w:tcBorders>
                  <w:top w:val="single" w:color="auto" w:sz="4" w:space="0"/>
                  <w:left w:val="single" w:color="auto" w:sz="4" w:space="0"/>
                  <w:bottom w:val="single" w:color="auto" w:sz="4" w:space="0"/>
                  <w:right w:val="single" w:color="auto" w:sz="4" w:space="0"/>
                </w:tcBorders>
              </w:tcPr>
              <w:p w14:paraId="681698D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acf5bcbf929244268be56ad5d0f3ea18"/>
            <w:id w:val="-58095877"/>
          </w:sdtPr>
          <w:sdtContent>
            <w:tc>
              <w:tcPr>
                <w:tcW w:w="1439" w:type="pct"/>
                <w:tcBorders>
                  <w:top w:val="single" w:color="auto" w:sz="4" w:space="0"/>
                  <w:left w:val="single" w:color="auto" w:sz="4" w:space="0"/>
                  <w:bottom w:val="single" w:color="auto" w:sz="4" w:space="0"/>
                  <w:right w:val="single" w:color="auto" w:sz="4" w:space="0"/>
                </w:tcBorders>
              </w:tcPr>
              <w:p w14:paraId="45F32D8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d37d8a59d4d74c26ac22dc33983efa29"/>
            <w:id w:val="-1220287301"/>
          </w:sdtPr>
          <w:sdtContent>
            <w:tc>
              <w:tcPr>
                <w:tcW w:w="1348" w:type="pct"/>
                <w:tcBorders>
                  <w:top w:val="single" w:color="auto" w:sz="4" w:space="0"/>
                  <w:left w:val="single" w:color="auto" w:sz="4" w:space="0"/>
                  <w:bottom w:val="single" w:color="auto" w:sz="4" w:space="0"/>
                  <w:right w:val="single" w:color="auto" w:sz="4" w:space="0"/>
                </w:tcBorders>
              </w:tcPr>
              <w:p w14:paraId="1D2571D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4476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68773520">
            <w:r>
              <w:rPr>
                <w:rFonts w:hint="eastAsia" w:ascii="宋体" w:hAnsi="宋体"/>
              </w:rPr>
              <w:t>办公费</w:t>
            </w:r>
          </w:p>
        </w:tc>
        <w:tc>
          <w:tcPr>
            <w:tcW w:w="1439" w:type="pct"/>
            <w:tcBorders>
              <w:top w:val="single" w:color="auto" w:sz="4" w:space="0"/>
              <w:left w:val="single" w:color="auto" w:sz="4" w:space="0"/>
              <w:bottom w:val="single" w:color="auto" w:sz="4" w:space="0"/>
              <w:right w:val="single" w:color="auto" w:sz="4" w:space="0"/>
            </w:tcBorders>
          </w:tcPr>
          <w:p w14:paraId="403E06E9">
            <w:pPr>
              <w:jc w:val="right"/>
            </w:pPr>
            <w:r>
              <w:t>22,222.63</w:t>
            </w:r>
          </w:p>
        </w:tc>
        <w:tc>
          <w:tcPr>
            <w:tcW w:w="1348" w:type="pct"/>
            <w:tcBorders>
              <w:top w:val="single" w:color="auto" w:sz="4" w:space="0"/>
              <w:left w:val="single" w:color="auto" w:sz="4" w:space="0"/>
              <w:bottom w:val="single" w:color="auto" w:sz="4" w:space="0"/>
              <w:right w:val="single" w:color="auto" w:sz="4" w:space="0"/>
            </w:tcBorders>
          </w:tcPr>
          <w:p w14:paraId="269BDCE8">
            <w:pPr>
              <w:jc w:val="right"/>
            </w:pPr>
            <w:r>
              <w:t>17,287.86</w:t>
            </w:r>
          </w:p>
        </w:tc>
      </w:tr>
      <w:tr w14:paraId="7B0B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0F985BBA">
            <w:r>
              <w:rPr>
                <w:rFonts w:hint="eastAsia" w:ascii="宋体" w:hAnsi="宋体"/>
              </w:rPr>
              <w:t>保险费</w:t>
            </w:r>
          </w:p>
        </w:tc>
        <w:tc>
          <w:tcPr>
            <w:tcW w:w="1439" w:type="pct"/>
            <w:tcBorders>
              <w:top w:val="single" w:color="auto" w:sz="4" w:space="0"/>
              <w:left w:val="single" w:color="auto" w:sz="4" w:space="0"/>
              <w:bottom w:val="single" w:color="auto" w:sz="4" w:space="0"/>
              <w:right w:val="single" w:color="auto" w:sz="4" w:space="0"/>
            </w:tcBorders>
          </w:tcPr>
          <w:p w14:paraId="63039DA0">
            <w:pPr>
              <w:jc w:val="right"/>
            </w:pPr>
            <w:r>
              <w:t>1,214,020.51</w:t>
            </w:r>
          </w:p>
        </w:tc>
        <w:tc>
          <w:tcPr>
            <w:tcW w:w="1348" w:type="pct"/>
            <w:tcBorders>
              <w:top w:val="single" w:color="auto" w:sz="4" w:space="0"/>
              <w:left w:val="single" w:color="auto" w:sz="4" w:space="0"/>
              <w:bottom w:val="single" w:color="auto" w:sz="4" w:space="0"/>
              <w:right w:val="single" w:color="auto" w:sz="4" w:space="0"/>
            </w:tcBorders>
          </w:tcPr>
          <w:p w14:paraId="1CC2DFAA">
            <w:pPr>
              <w:jc w:val="right"/>
            </w:pPr>
            <w:r>
              <w:t>2,146,858.08</w:t>
            </w:r>
          </w:p>
        </w:tc>
      </w:tr>
      <w:tr w14:paraId="4180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56C17D59">
            <w:r>
              <w:rPr>
                <w:rFonts w:hint="eastAsia" w:ascii="宋体" w:hAnsi="宋体"/>
              </w:rPr>
              <w:t>差旅费</w:t>
            </w:r>
          </w:p>
        </w:tc>
        <w:tc>
          <w:tcPr>
            <w:tcW w:w="1439" w:type="pct"/>
            <w:tcBorders>
              <w:top w:val="single" w:color="auto" w:sz="4" w:space="0"/>
              <w:left w:val="single" w:color="auto" w:sz="4" w:space="0"/>
              <w:bottom w:val="single" w:color="auto" w:sz="4" w:space="0"/>
              <w:right w:val="single" w:color="auto" w:sz="4" w:space="0"/>
            </w:tcBorders>
          </w:tcPr>
          <w:p w14:paraId="57F2A23C">
            <w:pPr>
              <w:jc w:val="right"/>
            </w:pPr>
            <w:r>
              <w:t>158,861.47</w:t>
            </w:r>
          </w:p>
        </w:tc>
        <w:tc>
          <w:tcPr>
            <w:tcW w:w="1348" w:type="pct"/>
            <w:tcBorders>
              <w:top w:val="single" w:color="auto" w:sz="4" w:space="0"/>
              <w:left w:val="single" w:color="auto" w:sz="4" w:space="0"/>
              <w:bottom w:val="single" w:color="auto" w:sz="4" w:space="0"/>
              <w:right w:val="single" w:color="auto" w:sz="4" w:space="0"/>
            </w:tcBorders>
          </w:tcPr>
          <w:p w14:paraId="1246CF03">
            <w:pPr>
              <w:jc w:val="right"/>
            </w:pPr>
            <w:r>
              <w:t>254,788.88</w:t>
            </w:r>
          </w:p>
        </w:tc>
      </w:tr>
      <w:tr w14:paraId="5A35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48A29486">
            <w:r>
              <w:rPr>
                <w:rFonts w:hint="eastAsia" w:ascii="宋体" w:hAnsi="宋体"/>
              </w:rPr>
              <w:t>工资及附加</w:t>
            </w:r>
          </w:p>
        </w:tc>
        <w:tc>
          <w:tcPr>
            <w:tcW w:w="1439" w:type="pct"/>
            <w:tcBorders>
              <w:top w:val="single" w:color="auto" w:sz="4" w:space="0"/>
              <w:left w:val="single" w:color="auto" w:sz="4" w:space="0"/>
              <w:bottom w:val="single" w:color="auto" w:sz="4" w:space="0"/>
              <w:right w:val="single" w:color="auto" w:sz="4" w:space="0"/>
            </w:tcBorders>
          </w:tcPr>
          <w:p w14:paraId="2028ADBA">
            <w:pPr>
              <w:jc w:val="right"/>
            </w:pPr>
            <w:r>
              <w:t>12,800,779.39</w:t>
            </w:r>
          </w:p>
        </w:tc>
        <w:tc>
          <w:tcPr>
            <w:tcW w:w="1348" w:type="pct"/>
            <w:tcBorders>
              <w:top w:val="single" w:color="auto" w:sz="4" w:space="0"/>
              <w:left w:val="single" w:color="auto" w:sz="4" w:space="0"/>
              <w:bottom w:val="single" w:color="auto" w:sz="4" w:space="0"/>
              <w:right w:val="single" w:color="auto" w:sz="4" w:space="0"/>
            </w:tcBorders>
          </w:tcPr>
          <w:p w14:paraId="539D7244">
            <w:pPr>
              <w:jc w:val="right"/>
            </w:pPr>
            <w:r>
              <w:t>12,742,351.01</w:t>
            </w:r>
          </w:p>
        </w:tc>
      </w:tr>
      <w:tr w14:paraId="6849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22B97805">
            <w:r>
              <w:rPr>
                <w:rFonts w:hint="eastAsia" w:ascii="宋体" w:hAnsi="宋体"/>
              </w:rPr>
              <w:t>广告宣传费</w:t>
            </w:r>
          </w:p>
        </w:tc>
        <w:tc>
          <w:tcPr>
            <w:tcW w:w="1439" w:type="pct"/>
            <w:tcBorders>
              <w:top w:val="single" w:color="auto" w:sz="4" w:space="0"/>
              <w:left w:val="single" w:color="auto" w:sz="4" w:space="0"/>
              <w:bottom w:val="single" w:color="auto" w:sz="4" w:space="0"/>
              <w:right w:val="single" w:color="auto" w:sz="4" w:space="0"/>
            </w:tcBorders>
          </w:tcPr>
          <w:p w14:paraId="403E2B49">
            <w:pPr>
              <w:jc w:val="right"/>
            </w:pPr>
          </w:p>
        </w:tc>
        <w:tc>
          <w:tcPr>
            <w:tcW w:w="1348" w:type="pct"/>
            <w:tcBorders>
              <w:top w:val="single" w:color="auto" w:sz="4" w:space="0"/>
              <w:left w:val="single" w:color="auto" w:sz="4" w:space="0"/>
              <w:bottom w:val="single" w:color="auto" w:sz="4" w:space="0"/>
              <w:right w:val="single" w:color="auto" w:sz="4" w:space="0"/>
            </w:tcBorders>
          </w:tcPr>
          <w:p w14:paraId="2C0F76B3">
            <w:pPr>
              <w:jc w:val="right"/>
            </w:pPr>
          </w:p>
        </w:tc>
      </w:tr>
      <w:tr w14:paraId="2798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297CEAB2">
            <w:r>
              <w:rPr>
                <w:rFonts w:hint="eastAsia" w:ascii="宋体" w:hAnsi="宋体"/>
              </w:rPr>
              <w:t>车辆费用</w:t>
            </w:r>
          </w:p>
        </w:tc>
        <w:tc>
          <w:tcPr>
            <w:tcW w:w="1439" w:type="pct"/>
            <w:tcBorders>
              <w:top w:val="single" w:color="auto" w:sz="4" w:space="0"/>
              <w:left w:val="single" w:color="auto" w:sz="4" w:space="0"/>
              <w:bottom w:val="single" w:color="auto" w:sz="4" w:space="0"/>
              <w:right w:val="single" w:color="auto" w:sz="4" w:space="0"/>
            </w:tcBorders>
          </w:tcPr>
          <w:p w14:paraId="38446EE1">
            <w:pPr>
              <w:jc w:val="right"/>
            </w:pPr>
            <w:r>
              <w:t>37,589.96</w:t>
            </w:r>
          </w:p>
        </w:tc>
        <w:tc>
          <w:tcPr>
            <w:tcW w:w="1348" w:type="pct"/>
            <w:tcBorders>
              <w:top w:val="single" w:color="auto" w:sz="4" w:space="0"/>
              <w:left w:val="single" w:color="auto" w:sz="4" w:space="0"/>
              <w:bottom w:val="single" w:color="auto" w:sz="4" w:space="0"/>
              <w:right w:val="single" w:color="auto" w:sz="4" w:space="0"/>
            </w:tcBorders>
          </w:tcPr>
          <w:p w14:paraId="345E7AC4">
            <w:pPr>
              <w:jc w:val="right"/>
            </w:pPr>
            <w:r>
              <w:t>62,463.99</w:t>
            </w:r>
          </w:p>
        </w:tc>
      </w:tr>
      <w:tr w14:paraId="624F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5E6A4087">
            <w:r>
              <w:rPr>
                <w:rFonts w:hint="eastAsia" w:ascii="宋体" w:hAnsi="宋体"/>
              </w:rPr>
              <w:t>咨询服务费</w:t>
            </w:r>
          </w:p>
        </w:tc>
        <w:tc>
          <w:tcPr>
            <w:tcW w:w="1439" w:type="pct"/>
            <w:tcBorders>
              <w:top w:val="single" w:color="auto" w:sz="4" w:space="0"/>
              <w:left w:val="single" w:color="auto" w:sz="4" w:space="0"/>
              <w:bottom w:val="single" w:color="auto" w:sz="4" w:space="0"/>
              <w:right w:val="single" w:color="auto" w:sz="4" w:space="0"/>
            </w:tcBorders>
          </w:tcPr>
          <w:p w14:paraId="2D3A703B">
            <w:pPr>
              <w:jc w:val="right"/>
            </w:pPr>
          </w:p>
        </w:tc>
        <w:tc>
          <w:tcPr>
            <w:tcW w:w="1348" w:type="pct"/>
            <w:tcBorders>
              <w:top w:val="single" w:color="auto" w:sz="4" w:space="0"/>
              <w:left w:val="single" w:color="auto" w:sz="4" w:space="0"/>
              <w:bottom w:val="single" w:color="auto" w:sz="4" w:space="0"/>
              <w:right w:val="single" w:color="auto" w:sz="4" w:space="0"/>
            </w:tcBorders>
          </w:tcPr>
          <w:p w14:paraId="35F06492">
            <w:pPr>
              <w:jc w:val="right"/>
            </w:pPr>
          </w:p>
        </w:tc>
      </w:tr>
      <w:tr w14:paraId="761F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5E12B9C0">
            <w:r>
              <w:rPr>
                <w:rFonts w:hint="eastAsia" w:ascii="宋体" w:hAnsi="宋体"/>
              </w:rPr>
              <w:t>税金</w:t>
            </w:r>
          </w:p>
        </w:tc>
        <w:tc>
          <w:tcPr>
            <w:tcW w:w="1439" w:type="pct"/>
            <w:tcBorders>
              <w:top w:val="single" w:color="auto" w:sz="4" w:space="0"/>
              <w:left w:val="single" w:color="auto" w:sz="4" w:space="0"/>
              <w:bottom w:val="single" w:color="auto" w:sz="4" w:space="0"/>
              <w:right w:val="single" w:color="auto" w:sz="4" w:space="0"/>
            </w:tcBorders>
          </w:tcPr>
          <w:p w14:paraId="0F6CE201">
            <w:pPr>
              <w:jc w:val="right"/>
            </w:pPr>
            <w:r>
              <w:t>96,780.55</w:t>
            </w:r>
          </w:p>
        </w:tc>
        <w:tc>
          <w:tcPr>
            <w:tcW w:w="1348" w:type="pct"/>
            <w:tcBorders>
              <w:top w:val="single" w:color="auto" w:sz="4" w:space="0"/>
              <w:left w:val="single" w:color="auto" w:sz="4" w:space="0"/>
              <w:bottom w:val="single" w:color="auto" w:sz="4" w:space="0"/>
              <w:right w:val="single" w:color="auto" w:sz="4" w:space="0"/>
            </w:tcBorders>
          </w:tcPr>
          <w:p w14:paraId="5F26FF60">
            <w:pPr>
              <w:jc w:val="right"/>
            </w:pPr>
            <w:r>
              <w:t>177,346.94</w:t>
            </w:r>
          </w:p>
        </w:tc>
      </w:tr>
      <w:tr w14:paraId="2630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516DAD09">
            <w:r>
              <w:rPr>
                <w:rFonts w:hint="eastAsia" w:ascii="宋体" w:hAnsi="宋体"/>
              </w:rPr>
              <w:t>折旧摊销</w:t>
            </w:r>
          </w:p>
        </w:tc>
        <w:tc>
          <w:tcPr>
            <w:tcW w:w="1439" w:type="pct"/>
            <w:tcBorders>
              <w:top w:val="single" w:color="auto" w:sz="4" w:space="0"/>
              <w:left w:val="single" w:color="auto" w:sz="4" w:space="0"/>
              <w:bottom w:val="single" w:color="auto" w:sz="4" w:space="0"/>
              <w:right w:val="single" w:color="auto" w:sz="4" w:space="0"/>
            </w:tcBorders>
          </w:tcPr>
          <w:p w14:paraId="77942129">
            <w:pPr>
              <w:jc w:val="right"/>
            </w:pPr>
            <w:r>
              <w:t>7,977,733.69</w:t>
            </w:r>
          </w:p>
        </w:tc>
        <w:tc>
          <w:tcPr>
            <w:tcW w:w="1348" w:type="pct"/>
            <w:tcBorders>
              <w:top w:val="single" w:color="auto" w:sz="4" w:space="0"/>
              <w:left w:val="single" w:color="auto" w:sz="4" w:space="0"/>
              <w:bottom w:val="single" w:color="auto" w:sz="4" w:space="0"/>
              <w:right w:val="single" w:color="auto" w:sz="4" w:space="0"/>
            </w:tcBorders>
          </w:tcPr>
          <w:p w14:paraId="08C91B82">
            <w:pPr>
              <w:jc w:val="right"/>
            </w:pPr>
            <w:r>
              <w:t>7,207,990.88</w:t>
            </w:r>
          </w:p>
        </w:tc>
      </w:tr>
      <w:tr w14:paraId="4186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1B57D759">
            <w:r>
              <w:rPr>
                <w:rFonts w:hint="eastAsia" w:ascii="宋体" w:hAnsi="宋体"/>
              </w:rPr>
              <w:t>物料消耗</w:t>
            </w:r>
          </w:p>
        </w:tc>
        <w:tc>
          <w:tcPr>
            <w:tcW w:w="1439" w:type="pct"/>
            <w:tcBorders>
              <w:top w:val="single" w:color="auto" w:sz="4" w:space="0"/>
              <w:left w:val="single" w:color="auto" w:sz="4" w:space="0"/>
              <w:bottom w:val="single" w:color="auto" w:sz="4" w:space="0"/>
              <w:right w:val="single" w:color="auto" w:sz="4" w:space="0"/>
            </w:tcBorders>
          </w:tcPr>
          <w:p w14:paraId="13ED32AC">
            <w:pPr>
              <w:jc w:val="right"/>
            </w:pPr>
            <w:r>
              <w:rPr>
                <w:rFonts w:hint="eastAsia"/>
              </w:rPr>
              <w:t>431.80</w:t>
            </w:r>
          </w:p>
        </w:tc>
        <w:tc>
          <w:tcPr>
            <w:tcW w:w="1348" w:type="pct"/>
            <w:tcBorders>
              <w:top w:val="single" w:color="auto" w:sz="4" w:space="0"/>
              <w:left w:val="single" w:color="auto" w:sz="4" w:space="0"/>
              <w:bottom w:val="single" w:color="auto" w:sz="4" w:space="0"/>
              <w:right w:val="single" w:color="auto" w:sz="4" w:space="0"/>
            </w:tcBorders>
          </w:tcPr>
          <w:p w14:paraId="0DBDB2F3">
            <w:pPr>
              <w:jc w:val="right"/>
            </w:pPr>
            <w:r>
              <w:t>503.99</w:t>
            </w:r>
          </w:p>
        </w:tc>
      </w:tr>
      <w:tr w14:paraId="3A93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2B0841DB">
            <w:r>
              <w:rPr>
                <w:rFonts w:hint="eastAsia" w:ascii="宋体" w:hAnsi="宋体"/>
              </w:rPr>
              <w:t>修理费</w:t>
            </w:r>
          </w:p>
        </w:tc>
        <w:tc>
          <w:tcPr>
            <w:tcW w:w="1439" w:type="pct"/>
            <w:tcBorders>
              <w:top w:val="single" w:color="auto" w:sz="4" w:space="0"/>
              <w:left w:val="single" w:color="auto" w:sz="4" w:space="0"/>
              <w:bottom w:val="single" w:color="auto" w:sz="4" w:space="0"/>
              <w:right w:val="single" w:color="auto" w:sz="4" w:space="0"/>
            </w:tcBorders>
          </w:tcPr>
          <w:p w14:paraId="76D32C26">
            <w:pPr>
              <w:jc w:val="right"/>
            </w:pPr>
            <w:r>
              <w:t>75,843.37</w:t>
            </w:r>
          </w:p>
        </w:tc>
        <w:tc>
          <w:tcPr>
            <w:tcW w:w="1348" w:type="pct"/>
            <w:tcBorders>
              <w:top w:val="single" w:color="auto" w:sz="4" w:space="0"/>
              <w:left w:val="single" w:color="auto" w:sz="4" w:space="0"/>
              <w:bottom w:val="single" w:color="auto" w:sz="4" w:space="0"/>
              <w:right w:val="single" w:color="auto" w:sz="4" w:space="0"/>
            </w:tcBorders>
          </w:tcPr>
          <w:p w14:paraId="1E51937C">
            <w:pPr>
              <w:jc w:val="right"/>
            </w:pPr>
            <w:r>
              <w:t>144,501.73</w:t>
            </w:r>
          </w:p>
        </w:tc>
      </w:tr>
      <w:tr w14:paraId="1D77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25ACC0FD">
            <w:r>
              <w:rPr>
                <w:rFonts w:hint="eastAsia" w:ascii="宋体" w:hAnsi="宋体"/>
              </w:rPr>
              <w:t>业务招待费</w:t>
            </w:r>
          </w:p>
        </w:tc>
        <w:tc>
          <w:tcPr>
            <w:tcW w:w="1439" w:type="pct"/>
            <w:tcBorders>
              <w:top w:val="single" w:color="auto" w:sz="4" w:space="0"/>
              <w:left w:val="single" w:color="auto" w:sz="4" w:space="0"/>
              <w:bottom w:val="single" w:color="auto" w:sz="4" w:space="0"/>
              <w:right w:val="single" w:color="auto" w:sz="4" w:space="0"/>
            </w:tcBorders>
          </w:tcPr>
          <w:p w14:paraId="6F747237">
            <w:pPr>
              <w:jc w:val="right"/>
            </w:pPr>
            <w:r>
              <w:t>6,992,507.34</w:t>
            </w:r>
          </w:p>
        </w:tc>
        <w:tc>
          <w:tcPr>
            <w:tcW w:w="1348" w:type="pct"/>
            <w:tcBorders>
              <w:top w:val="single" w:color="auto" w:sz="4" w:space="0"/>
              <w:left w:val="single" w:color="auto" w:sz="4" w:space="0"/>
              <w:bottom w:val="single" w:color="auto" w:sz="4" w:space="0"/>
              <w:right w:val="single" w:color="auto" w:sz="4" w:space="0"/>
            </w:tcBorders>
          </w:tcPr>
          <w:p w14:paraId="614E8CAF">
            <w:pPr>
              <w:jc w:val="right"/>
            </w:pPr>
            <w:r>
              <w:t>2,743,009.08</w:t>
            </w:r>
          </w:p>
        </w:tc>
      </w:tr>
      <w:tr w14:paraId="45F8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498406A3">
            <w:r>
              <w:rPr>
                <w:rFonts w:hint="eastAsia" w:ascii="宋体" w:hAnsi="宋体"/>
              </w:rPr>
              <w:t>其他</w:t>
            </w:r>
          </w:p>
        </w:tc>
        <w:tc>
          <w:tcPr>
            <w:tcW w:w="1439" w:type="pct"/>
            <w:tcBorders>
              <w:top w:val="single" w:color="auto" w:sz="4" w:space="0"/>
              <w:left w:val="single" w:color="auto" w:sz="4" w:space="0"/>
              <w:bottom w:val="single" w:color="auto" w:sz="4" w:space="0"/>
              <w:right w:val="single" w:color="auto" w:sz="4" w:space="0"/>
            </w:tcBorders>
          </w:tcPr>
          <w:p w14:paraId="68FF7A26">
            <w:pPr>
              <w:jc w:val="right"/>
            </w:pPr>
            <w:r>
              <w:t>5,850,300.36</w:t>
            </w:r>
          </w:p>
        </w:tc>
        <w:tc>
          <w:tcPr>
            <w:tcW w:w="1348" w:type="pct"/>
            <w:tcBorders>
              <w:top w:val="single" w:color="auto" w:sz="4" w:space="0"/>
              <w:left w:val="single" w:color="auto" w:sz="4" w:space="0"/>
              <w:bottom w:val="single" w:color="auto" w:sz="4" w:space="0"/>
              <w:right w:val="single" w:color="auto" w:sz="4" w:space="0"/>
            </w:tcBorders>
          </w:tcPr>
          <w:p w14:paraId="2BFDE2F7">
            <w:pPr>
              <w:jc w:val="right"/>
            </w:pPr>
            <w:r>
              <w:t>7,523,700.97</w:t>
            </w:r>
          </w:p>
        </w:tc>
      </w:tr>
      <w:tr w14:paraId="4E25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5E82380D"/>
        </w:tc>
        <w:tc>
          <w:tcPr>
            <w:tcW w:w="1439" w:type="pct"/>
            <w:tcBorders>
              <w:top w:val="single" w:color="auto" w:sz="4" w:space="0"/>
              <w:left w:val="single" w:color="auto" w:sz="4" w:space="0"/>
              <w:bottom w:val="single" w:color="auto" w:sz="4" w:space="0"/>
              <w:right w:val="single" w:color="auto" w:sz="4" w:space="0"/>
            </w:tcBorders>
          </w:tcPr>
          <w:p w14:paraId="44AD3A11">
            <w:pPr>
              <w:jc w:val="right"/>
            </w:pPr>
          </w:p>
        </w:tc>
        <w:tc>
          <w:tcPr>
            <w:tcW w:w="1348" w:type="pct"/>
            <w:tcBorders>
              <w:top w:val="single" w:color="auto" w:sz="4" w:space="0"/>
              <w:left w:val="single" w:color="auto" w:sz="4" w:space="0"/>
              <w:bottom w:val="single" w:color="auto" w:sz="4" w:space="0"/>
              <w:right w:val="single" w:color="auto" w:sz="4" w:space="0"/>
            </w:tcBorders>
          </w:tcPr>
          <w:p w14:paraId="449974DE">
            <w:pPr>
              <w:jc w:val="right"/>
            </w:pPr>
          </w:p>
        </w:tc>
      </w:tr>
      <w:tr w14:paraId="1B94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tcPr>
          <w:p w14:paraId="792649D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439" w:type="pct"/>
            <w:tcBorders>
              <w:top w:val="single" w:color="auto" w:sz="4" w:space="0"/>
              <w:left w:val="single" w:color="auto" w:sz="4" w:space="0"/>
              <w:bottom w:val="single" w:color="auto" w:sz="4" w:space="0"/>
              <w:right w:val="single" w:color="auto" w:sz="4" w:space="0"/>
            </w:tcBorders>
          </w:tcPr>
          <w:p w14:paraId="4CECCBCC">
            <w:pPr>
              <w:jc w:val="right"/>
            </w:pPr>
            <w:r>
              <w:t>35,227,071.07</w:t>
            </w:r>
          </w:p>
        </w:tc>
        <w:tc>
          <w:tcPr>
            <w:tcW w:w="1348" w:type="pct"/>
            <w:tcBorders>
              <w:top w:val="single" w:color="auto" w:sz="4" w:space="0"/>
              <w:left w:val="single" w:color="auto" w:sz="4" w:space="0"/>
              <w:bottom w:val="single" w:color="auto" w:sz="4" w:space="0"/>
              <w:right w:val="single" w:color="auto" w:sz="4" w:space="0"/>
            </w:tcBorders>
          </w:tcPr>
          <w:p w14:paraId="33533E95">
            <w:pPr>
              <w:jc w:val="right"/>
            </w:pPr>
            <w:r>
              <w:t>33,020,803.41</w:t>
            </w:r>
          </w:p>
        </w:tc>
      </w:tr>
    </w:tbl>
    <w:p w14:paraId="2F340C06">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管理费用的其他说明事项"/>
        <w:tag w:val="_GBC_2ddba7c397f842b2a457e4f7fe020aca"/>
        <w:id w:val="1275990460"/>
        <w:placeholder>
          <w:docPart w:val="GBC22222222222222222222222222222"/>
        </w:placeholder>
      </w:sdtPr>
      <w:sdtEndPr>
        <w:rPr>
          <w:color w:val="000000" w:themeColor="text1"/>
          <w14:textFill>
            <w14:solidFill>
              <w14:schemeClr w14:val="tx1"/>
            </w14:solidFill>
          </w14:textFill>
        </w:rPr>
      </w:sdtEndPr>
      <w:sdtContent>
        <w:p w14:paraId="7ABDFF78">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65FE8EC2">
      <w:pPr>
        <w:rPr>
          <w:color w:val="000000" w:themeColor="text1"/>
          <w14:textFill>
            <w14:solidFill>
              <w14:schemeClr w14:val="tx1"/>
            </w14:solidFill>
          </w14:textFill>
        </w:rPr>
      </w:pPr>
    </w:p>
    <w:p w14:paraId="71B7A587">
      <w:pPr>
        <w:pStyle w:val="4"/>
        <w:numPr>
          <w:ilvl w:val="0"/>
          <w:numId w:val="53"/>
        </w:numPr>
        <w:tabs>
          <w:tab w:val="left" w:pos="504"/>
        </w:tabs>
        <w:rPr>
          <w:rFonts w:hint="eastAsia" w:ascii="宋体" w:hAnsi="宋体"/>
          <w:color w:val="000000" w:themeColor="text1"/>
          <w:szCs w:val="21"/>
          <w14:textFill>
            <w14:solidFill>
              <w14:schemeClr w14:val="tx1"/>
            </w14:solidFill>
          </w14:textFill>
        </w:rPr>
      </w:pPr>
      <w:bookmarkStart w:id="371" w:name="_Hlk10538261"/>
      <w:r>
        <w:rPr>
          <w:rFonts w:hint="eastAsia" w:ascii="宋体" w:hAnsi="宋体"/>
          <w:color w:val="000000" w:themeColor="text1"/>
          <w:szCs w:val="21"/>
          <w14:textFill>
            <w14:solidFill>
              <w14:schemeClr w14:val="tx1"/>
            </w14:solidFill>
          </w14:textFill>
        </w:rPr>
        <w:t>研发费用</w:t>
      </w:r>
    </w:p>
    <w:sdt>
      <w:sdtPr>
        <w:rPr>
          <w:color w:val="000000" w:themeColor="text1"/>
          <w14:textFill>
            <w14:solidFill>
              <w14:schemeClr w14:val="tx1"/>
            </w14:solidFill>
          </w14:textFill>
        </w:rPr>
        <w:alias w:val="是否适用：研发费用[双击切换]"/>
        <w:tag w:val="_GBC_48b4a6beb6f54c3ba7c01af3727337bb"/>
        <w:id w:val="-1841531258"/>
        <w:placeholder>
          <w:docPart w:val="GBC22222222222222222222222222222"/>
        </w:placeholder>
      </w:sdtPr>
      <w:sdtEndPr>
        <w:rPr>
          <w:color w:val="000000" w:themeColor="text1"/>
          <w14:textFill>
            <w14:solidFill>
              <w14:schemeClr w14:val="tx1"/>
            </w14:solidFill>
          </w14:textFill>
        </w:rPr>
      </w:sdtEndPr>
      <w:sdtContent>
        <w:p w14:paraId="2D56325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ED51415">
      <w:pPr>
        <w:pStyle w:val="55"/>
        <w:ind w:left="420" w:firstLine="0" w:firstLineChars="0"/>
        <w:jc w:val="righ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w:t>
      </w:r>
      <w:sdt>
        <w:sdtPr>
          <w:rPr>
            <w:rFonts w:hint="eastAsia" w:ascii="宋体" w:hAnsi="宋体"/>
            <w:color w:val="000000" w:themeColor="text1"/>
            <w:szCs w:val="21"/>
            <w14:textFill>
              <w14:solidFill>
                <w14:schemeClr w14:val="tx1"/>
              </w14:solidFill>
            </w14:textFill>
          </w:rPr>
          <w:alias w:val="单位：研发费用"/>
          <w:tag w:val="_GBC_a0292321d82f46b8823ab163b1084fea"/>
          <w:id w:val="155650840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元</w:t>
          </w:r>
        </w:sdtContent>
      </w:sdt>
      <w:r>
        <w:rPr>
          <w:rFonts w:hint="eastAsia" w:ascii="宋体" w:hAnsi="宋体"/>
          <w:color w:val="000000" w:themeColor="text1"/>
          <w:szCs w:val="21"/>
          <w14:textFill>
            <w14:solidFill>
              <w14:schemeClr w14:val="tx1"/>
            </w14:solidFill>
          </w14:textFill>
        </w:rPr>
        <w:t xml:space="preserve">  币种：</w:t>
      </w:r>
      <w:sdt>
        <w:sdtPr>
          <w:rPr>
            <w:rFonts w:hint="eastAsia" w:ascii="宋体" w:hAnsi="宋体"/>
            <w:color w:val="000000" w:themeColor="text1"/>
            <w:szCs w:val="21"/>
            <w14:textFill>
              <w14:solidFill>
                <w14:schemeClr w14:val="tx1"/>
              </w14:solidFill>
            </w14:textFill>
          </w:rPr>
          <w:alias w:val="币种：研发费用"/>
          <w:tag w:val="_GBC_a0b2b92cacc24641a2d69fc025b920ea"/>
          <w:id w:val="1566609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5"/>
        <w:gridCol w:w="2539"/>
        <w:gridCol w:w="2379"/>
      </w:tblGrid>
      <w:tr w14:paraId="18CE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878c2bf88dff43e8bf48fe187921cf85"/>
            <w:id w:val="-1888406591"/>
          </w:sdtPr>
          <w:sdtContent>
            <w:tc>
              <w:tcPr>
                <w:tcW w:w="2213" w:type="pct"/>
                <w:tcBorders>
                  <w:top w:val="single" w:color="auto" w:sz="4" w:space="0"/>
                  <w:left w:val="single" w:color="auto" w:sz="4" w:space="0"/>
                  <w:bottom w:val="single" w:color="auto" w:sz="4" w:space="0"/>
                  <w:right w:val="single" w:color="auto" w:sz="4" w:space="0"/>
                </w:tcBorders>
              </w:tcPr>
              <w:p w14:paraId="2F704E7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043e1c3ae76a497c9be9c1eef3db33c6"/>
            <w:id w:val="-1175879778"/>
          </w:sdtPr>
          <w:sdtContent>
            <w:tc>
              <w:tcPr>
                <w:tcW w:w="1439" w:type="pct"/>
                <w:tcBorders>
                  <w:top w:val="single" w:color="auto" w:sz="4" w:space="0"/>
                  <w:left w:val="single" w:color="auto" w:sz="4" w:space="0"/>
                  <w:bottom w:val="single" w:color="auto" w:sz="4" w:space="0"/>
                  <w:right w:val="single" w:color="auto" w:sz="4" w:space="0"/>
                </w:tcBorders>
              </w:tcPr>
              <w:p w14:paraId="027FB14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d0588c88282b4dae9e42d7ffd38d27c6"/>
            <w:id w:val="873574187"/>
          </w:sdtPr>
          <w:sdtContent>
            <w:tc>
              <w:tcPr>
                <w:tcW w:w="1348" w:type="pct"/>
                <w:tcBorders>
                  <w:top w:val="single" w:color="auto" w:sz="4" w:space="0"/>
                  <w:left w:val="single" w:color="auto" w:sz="4" w:space="0"/>
                  <w:bottom w:val="single" w:color="auto" w:sz="4" w:space="0"/>
                  <w:right w:val="single" w:color="auto" w:sz="4" w:space="0"/>
                </w:tcBorders>
              </w:tcPr>
              <w:p w14:paraId="77BFEC0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657C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3F7C6DEA">
            <w:r>
              <w:rPr>
                <w:rFonts w:hint="eastAsia" w:ascii="宋体" w:hAnsi="宋体"/>
              </w:rPr>
              <w:t>工资</w:t>
            </w:r>
          </w:p>
        </w:tc>
        <w:tc>
          <w:tcPr>
            <w:tcW w:w="1439" w:type="pct"/>
            <w:tcBorders>
              <w:top w:val="single" w:color="auto" w:sz="4" w:space="0"/>
              <w:left w:val="single" w:color="auto" w:sz="4" w:space="0"/>
              <w:bottom w:val="single" w:color="auto" w:sz="4" w:space="0"/>
              <w:right w:val="single" w:color="auto" w:sz="4" w:space="0"/>
            </w:tcBorders>
          </w:tcPr>
          <w:p w14:paraId="23916EA5">
            <w:pPr>
              <w:jc w:val="right"/>
            </w:pPr>
            <w:r>
              <w:t>1,074,235.27</w:t>
            </w:r>
          </w:p>
        </w:tc>
        <w:tc>
          <w:tcPr>
            <w:tcW w:w="1348" w:type="pct"/>
            <w:tcBorders>
              <w:top w:val="single" w:color="auto" w:sz="4" w:space="0"/>
              <w:left w:val="single" w:color="auto" w:sz="4" w:space="0"/>
              <w:bottom w:val="single" w:color="auto" w:sz="4" w:space="0"/>
              <w:right w:val="single" w:color="auto" w:sz="4" w:space="0"/>
            </w:tcBorders>
          </w:tcPr>
          <w:p w14:paraId="1D4E721B">
            <w:pPr>
              <w:jc w:val="right"/>
            </w:pPr>
            <w:r>
              <w:t>964,970.98</w:t>
            </w:r>
          </w:p>
        </w:tc>
      </w:tr>
      <w:tr w14:paraId="3BF5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6984AD74">
            <w:r>
              <w:rPr>
                <w:rFonts w:hint="eastAsia" w:ascii="宋体" w:hAnsi="宋体"/>
              </w:rPr>
              <w:t>材料</w:t>
            </w:r>
          </w:p>
        </w:tc>
        <w:tc>
          <w:tcPr>
            <w:tcW w:w="1439" w:type="pct"/>
            <w:tcBorders>
              <w:top w:val="single" w:color="auto" w:sz="4" w:space="0"/>
              <w:left w:val="single" w:color="auto" w:sz="4" w:space="0"/>
              <w:bottom w:val="single" w:color="auto" w:sz="4" w:space="0"/>
              <w:right w:val="single" w:color="auto" w:sz="4" w:space="0"/>
            </w:tcBorders>
          </w:tcPr>
          <w:p w14:paraId="21FF2C6F">
            <w:pPr>
              <w:jc w:val="right"/>
            </w:pPr>
            <w:r>
              <w:t>684,926.97</w:t>
            </w:r>
          </w:p>
        </w:tc>
        <w:tc>
          <w:tcPr>
            <w:tcW w:w="1348" w:type="pct"/>
            <w:tcBorders>
              <w:top w:val="single" w:color="auto" w:sz="4" w:space="0"/>
              <w:left w:val="single" w:color="auto" w:sz="4" w:space="0"/>
              <w:bottom w:val="single" w:color="auto" w:sz="4" w:space="0"/>
              <w:right w:val="single" w:color="auto" w:sz="4" w:space="0"/>
            </w:tcBorders>
          </w:tcPr>
          <w:p w14:paraId="55586A60">
            <w:pPr>
              <w:jc w:val="right"/>
            </w:pPr>
            <w:r>
              <w:t>787,575.25</w:t>
            </w:r>
          </w:p>
        </w:tc>
      </w:tr>
      <w:tr w14:paraId="2427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79B1FD86">
            <w:r>
              <w:rPr>
                <w:rFonts w:hint="eastAsia" w:ascii="宋体" w:hAnsi="宋体"/>
              </w:rPr>
              <w:t>折旧</w:t>
            </w:r>
          </w:p>
        </w:tc>
        <w:tc>
          <w:tcPr>
            <w:tcW w:w="1439" w:type="pct"/>
            <w:tcBorders>
              <w:top w:val="single" w:color="auto" w:sz="4" w:space="0"/>
              <w:left w:val="single" w:color="auto" w:sz="4" w:space="0"/>
              <w:bottom w:val="single" w:color="auto" w:sz="4" w:space="0"/>
              <w:right w:val="single" w:color="auto" w:sz="4" w:space="0"/>
            </w:tcBorders>
          </w:tcPr>
          <w:p w14:paraId="3C5809A5">
            <w:pPr>
              <w:jc w:val="right"/>
            </w:pPr>
            <w:r>
              <w:t>1,159,083.72</w:t>
            </w:r>
          </w:p>
        </w:tc>
        <w:tc>
          <w:tcPr>
            <w:tcW w:w="1348" w:type="pct"/>
            <w:tcBorders>
              <w:top w:val="single" w:color="auto" w:sz="4" w:space="0"/>
              <w:left w:val="single" w:color="auto" w:sz="4" w:space="0"/>
              <w:bottom w:val="single" w:color="auto" w:sz="4" w:space="0"/>
              <w:right w:val="single" w:color="auto" w:sz="4" w:space="0"/>
            </w:tcBorders>
          </w:tcPr>
          <w:p w14:paraId="1876E479">
            <w:pPr>
              <w:jc w:val="right"/>
            </w:pPr>
            <w:r>
              <w:t>948,912.46</w:t>
            </w:r>
          </w:p>
        </w:tc>
      </w:tr>
      <w:tr w14:paraId="703E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24BFBB68">
            <w:r>
              <w:rPr>
                <w:rFonts w:hint="eastAsia" w:ascii="宋体" w:hAnsi="宋体"/>
              </w:rPr>
              <w:t>其他</w:t>
            </w:r>
          </w:p>
        </w:tc>
        <w:tc>
          <w:tcPr>
            <w:tcW w:w="1439" w:type="pct"/>
            <w:tcBorders>
              <w:top w:val="single" w:color="auto" w:sz="4" w:space="0"/>
              <w:left w:val="single" w:color="auto" w:sz="4" w:space="0"/>
              <w:bottom w:val="single" w:color="auto" w:sz="4" w:space="0"/>
              <w:right w:val="single" w:color="auto" w:sz="4" w:space="0"/>
            </w:tcBorders>
          </w:tcPr>
          <w:p w14:paraId="6A854E0F">
            <w:pPr>
              <w:jc w:val="right"/>
            </w:pPr>
            <w:r>
              <w:t>534,019.48</w:t>
            </w:r>
          </w:p>
        </w:tc>
        <w:tc>
          <w:tcPr>
            <w:tcW w:w="1348" w:type="pct"/>
            <w:tcBorders>
              <w:top w:val="single" w:color="auto" w:sz="4" w:space="0"/>
              <w:left w:val="single" w:color="auto" w:sz="4" w:space="0"/>
              <w:bottom w:val="single" w:color="auto" w:sz="4" w:space="0"/>
              <w:right w:val="single" w:color="auto" w:sz="4" w:space="0"/>
            </w:tcBorders>
          </w:tcPr>
          <w:p w14:paraId="17108804">
            <w:pPr>
              <w:jc w:val="right"/>
            </w:pPr>
            <w:r>
              <w:t>1,312,778.20</w:t>
            </w:r>
          </w:p>
        </w:tc>
      </w:tr>
      <w:tr w14:paraId="258D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5FBBCBF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439" w:type="pct"/>
            <w:tcBorders>
              <w:top w:val="single" w:color="auto" w:sz="4" w:space="0"/>
              <w:left w:val="single" w:color="auto" w:sz="4" w:space="0"/>
              <w:bottom w:val="single" w:color="auto" w:sz="4" w:space="0"/>
              <w:right w:val="single" w:color="auto" w:sz="4" w:space="0"/>
            </w:tcBorders>
          </w:tcPr>
          <w:p w14:paraId="428CBF1D">
            <w:pPr>
              <w:jc w:val="right"/>
            </w:pPr>
            <w:r>
              <w:t>3,452,265.44</w:t>
            </w:r>
          </w:p>
        </w:tc>
        <w:tc>
          <w:tcPr>
            <w:tcW w:w="1348" w:type="pct"/>
            <w:tcBorders>
              <w:top w:val="single" w:color="auto" w:sz="4" w:space="0"/>
              <w:left w:val="single" w:color="auto" w:sz="4" w:space="0"/>
              <w:bottom w:val="single" w:color="auto" w:sz="4" w:space="0"/>
              <w:right w:val="single" w:color="auto" w:sz="4" w:space="0"/>
            </w:tcBorders>
          </w:tcPr>
          <w:p w14:paraId="2C8C8318">
            <w:pPr>
              <w:jc w:val="right"/>
            </w:pPr>
            <w:r>
              <w:t>4,014,236.89</w:t>
            </w:r>
          </w:p>
        </w:tc>
      </w:tr>
    </w:tbl>
    <w:p w14:paraId="5200C7ED">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研发费用其他说明"/>
        <w:tag w:val="_GBC_f09ad1e9748e43059f8db34f9454426c"/>
        <w:id w:val="1847749792"/>
        <w:placeholder>
          <w:docPart w:val="GBC22222222222222222222222222222"/>
        </w:placeholder>
      </w:sdtPr>
      <w:sdtEndPr>
        <w:rPr>
          <w:color w:val="000000" w:themeColor="text1"/>
          <w14:textFill>
            <w14:solidFill>
              <w14:schemeClr w14:val="tx1"/>
            </w14:solidFill>
          </w14:textFill>
        </w:rPr>
      </w:sdtEndPr>
      <w:sdtContent>
        <w:p w14:paraId="0302B501">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19E69C0A">
      <w:pPr>
        <w:rPr>
          <w:color w:val="000000" w:themeColor="text1"/>
          <w14:textFill>
            <w14:solidFill>
              <w14:schemeClr w14:val="tx1"/>
            </w14:solidFill>
          </w14:textFill>
        </w:rPr>
      </w:pPr>
    </w:p>
    <w:bookmarkEnd w:id="371"/>
    <w:p w14:paraId="3EFCF9B6">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财务费用</w:t>
      </w:r>
    </w:p>
    <w:sdt>
      <w:sdtPr>
        <w:rPr>
          <w:color w:val="000000" w:themeColor="text1"/>
          <w14:textFill>
            <w14:solidFill>
              <w14:schemeClr w14:val="tx1"/>
            </w14:solidFill>
          </w14:textFill>
        </w:rPr>
        <w:alias w:val="是否适用：财务费用[双击切换]"/>
        <w:tag w:val="_GBC_699d8bdb2f1f4504a0ea4ccbc8889cfa"/>
        <w:id w:val="-1614288653"/>
        <w:placeholder>
          <w:docPart w:val="GBC22222222222222222222222222222"/>
        </w:placeholder>
      </w:sdtPr>
      <w:sdtEndPr>
        <w:rPr>
          <w:color w:val="000000" w:themeColor="text1"/>
          <w14:textFill>
            <w14:solidFill>
              <w14:schemeClr w14:val="tx1"/>
            </w14:solidFill>
          </w14:textFill>
        </w:rPr>
      </w:sdtEndPr>
      <w:sdtContent>
        <w:p w14:paraId="0A048FF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C12B557">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费用"/>
          <w:tag w:val="_GBC_eb9e02dce68144759561a3427fb3099a"/>
          <w:id w:val="3668101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费用"/>
          <w:tag w:val="_GBC_8e992a76854b4bd0a3f5cd49b31a4604"/>
          <w:id w:val="-19667212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5"/>
        <w:gridCol w:w="2539"/>
        <w:gridCol w:w="2379"/>
      </w:tblGrid>
      <w:tr w14:paraId="5E4D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c57c227174f044c4bfa2c0fda1e37156"/>
            <w:id w:val="25998146"/>
          </w:sdtPr>
          <w:sdtContent>
            <w:tc>
              <w:tcPr>
                <w:tcW w:w="2213" w:type="pct"/>
                <w:tcBorders>
                  <w:top w:val="single" w:color="auto" w:sz="4" w:space="0"/>
                  <w:left w:val="single" w:color="auto" w:sz="4" w:space="0"/>
                  <w:bottom w:val="single" w:color="auto" w:sz="4" w:space="0"/>
                  <w:right w:val="single" w:color="auto" w:sz="4" w:space="0"/>
                </w:tcBorders>
              </w:tcPr>
              <w:p w14:paraId="24C3AB9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d7b23aa0bcb6433894875c858270ab7f"/>
            <w:id w:val="1578474426"/>
          </w:sdtPr>
          <w:sdtContent>
            <w:tc>
              <w:tcPr>
                <w:tcW w:w="1439" w:type="pct"/>
                <w:tcBorders>
                  <w:top w:val="single" w:color="auto" w:sz="4" w:space="0"/>
                  <w:left w:val="single" w:color="auto" w:sz="4" w:space="0"/>
                  <w:bottom w:val="single" w:color="auto" w:sz="4" w:space="0"/>
                  <w:right w:val="single" w:color="auto" w:sz="4" w:space="0"/>
                </w:tcBorders>
              </w:tcPr>
              <w:p w14:paraId="01998EF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d79245f93e3d475b953b3e44bb1c6425"/>
            <w:id w:val="-1623446943"/>
          </w:sdtPr>
          <w:sdtContent>
            <w:tc>
              <w:tcPr>
                <w:tcW w:w="1348" w:type="pct"/>
                <w:tcBorders>
                  <w:top w:val="single" w:color="auto" w:sz="4" w:space="0"/>
                  <w:left w:val="single" w:color="auto" w:sz="4" w:space="0"/>
                  <w:bottom w:val="single" w:color="auto" w:sz="4" w:space="0"/>
                  <w:right w:val="single" w:color="auto" w:sz="4" w:space="0"/>
                </w:tcBorders>
              </w:tcPr>
              <w:p w14:paraId="7B0DDFB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08EB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4EC005D7">
            <w:r>
              <w:rPr>
                <w:rFonts w:hint="eastAsia" w:ascii="宋体" w:hAnsi="宋体"/>
              </w:rPr>
              <w:t>利息支出</w:t>
            </w:r>
          </w:p>
        </w:tc>
        <w:tc>
          <w:tcPr>
            <w:tcW w:w="1439" w:type="pct"/>
            <w:tcBorders>
              <w:top w:val="single" w:color="auto" w:sz="4" w:space="0"/>
              <w:left w:val="single" w:color="auto" w:sz="4" w:space="0"/>
              <w:bottom w:val="single" w:color="auto" w:sz="4" w:space="0"/>
              <w:right w:val="single" w:color="auto" w:sz="4" w:space="0"/>
            </w:tcBorders>
          </w:tcPr>
          <w:p w14:paraId="37ACF959">
            <w:pPr>
              <w:jc w:val="right"/>
            </w:pPr>
            <w:r>
              <w:t>66,764,084.75</w:t>
            </w:r>
          </w:p>
        </w:tc>
        <w:tc>
          <w:tcPr>
            <w:tcW w:w="1348" w:type="pct"/>
            <w:tcBorders>
              <w:top w:val="single" w:color="auto" w:sz="4" w:space="0"/>
              <w:left w:val="single" w:color="auto" w:sz="4" w:space="0"/>
              <w:bottom w:val="single" w:color="auto" w:sz="4" w:space="0"/>
              <w:right w:val="single" w:color="auto" w:sz="4" w:space="0"/>
            </w:tcBorders>
          </w:tcPr>
          <w:p w14:paraId="01E6A8EC">
            <w:pPr>
              <w:jc w:val="right"/>
            </w:pPr>
            <w:r>
              <w:t>78,409,785.72</w:t>
            </w:r>
          </w:p>
        </w:tc>
      </w:tr>
      <w:tr w14:paraId="45B7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3D7266F5">
            <w:r>
              <w:rPr>
                <w:rFonts w:hint="eastAsia" w:ascii="宋体" w:hAnsi="宋体"/>
              </w:rPr>
              <w:t>利息收入</w:t>
            </w:r>
          </w:p>
        </w:tc>
        <w:tc>
          <w:tcPr>
            <w:tcW w:w="1439" w:type="pct"/>
            <w:tcBorders>
              <w:top w:val="single" w:color="auto" w:sz="4" w:space="0"/>
              <w:left w:val="single" w:color="auto" w:sz="4" w:space="0"/>
              <w:bottom w:val="single" w:color="auto" w:sz="4" w:space="0"/>
              <w:right w:val="single" w:color="auto" w:sz="4" w:space="0"/>
            </w:tcBorders>
          </w:tcPr>
          <w:p w14:paraId="68E49697">
            <w:pPr>
              <w:jc w:val="right"/>
            </w:pPr>
            <w:r>
              <w:t>-3,701,322.32</w:t>
            </w:r>
          </w:p>
        </w:tc>
        <w:tc>
          <w:tcPr>
            <w:tcW w:w="1348" w:type="pct"/>
            <w:tcBorders>
              <w:top w:val="single" w:color="auto" w:sz="4" w:space="0"/>
              <w:left w:val="single" w:color="auto" w:sz="4" w:space="0"/>
              <w:bottom w:val="single" w:color="auto" w:sz="4" w:space="0"/>
              <w:right w:val="single" w:color="auto" w:sz="4" w:space="0"/>
            </w:tcBorders>
          </w:tcPr>
          <w:p w14:paraId="2472085B">
            <w:pPr>
              <w:jc w:val="right"/>
            </w:pPr>
            <w:r>
              <w:t>-7,212,634.89</w:t>
            </w:r>
          </w:p>
        </w:tc>
      </w:tr>
      <w:tr w14:paraId="72C8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311498FB">
            <w:r>
              <w:rPr>
                <w:rFonts w:hint="eastAsia" w:ascii="宋体" w:hAnsi="宋体"/>
              </w:rPr>
              <w:t>汇总损益</w:t>
            </w:r>
          </w:p>
        </w:tc>
        <w:tc>
          <w:tcPr>
            <w:tcW w:w="1439" w:type="pct"/>
            <w:tcBorders>
              <w:top w:val="single" w:color="auto" w:sz="4" w:space="0"/>
              <w:left w:val="single" w:color="auto" w:sz="4" w:space="0"/>
              <w:bottom w:val="single" w:color="auto" w:sz="4" w:space="0"/>
              <w:right w:val="single" w:color="auto" w:sz="4" w:space="0"/>
            </w:tcBorders>
          </w:tcPr>
          <w:p w14:paraId="7E3DB53D">
            <w:pPr>
              <w:jc w:val="right"/>
            </w:pPr>
            <w:r>
              <w:t>1,411,383.65</w:t>
            </w:r>
          </w:p>
        </w:tc>
        <w:tc>
          <w:tcPr>
            <w:tcW w:w="1348" w:type="pct"/>
            <w:tcBorders>
              <w:top w:val="single" w:color="auto" w:sz="4" w:space="0"/>
              <w:left w:val="single" w:color="auto" w:sz="4" w:space="0"/>
              <w:bottom w:val="single" w:color="auto" w:sz="4" w:space="0"/>
              <w:right w:val="single" w:color="auto" w:sz="4" w:space="0"/>
            </w:tcBorders>
          </w:tcPr>
          <w:p w14:paraId="205EE01F">
            <w:pPr>
              <w:jc w:val="right"/>
            </w:pPr>
            <w:r>
              <w:t>-1,498,462.85</w:t>
            </w:r>
          </w:p>
        </w:tc>
      </w:tr>
      <w:tr w14:paraId="1AF9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677042BC">
            <w:r>
              <w:rPr>
                <w:rFonts w:hint="eastAsia" w:ascii="宋体" w:hAnsi="宋体"/>
              </w:rPr>
              <w:t>其他费用</w:t>
            </w:r>
          </w:p>
        </w:tc>
        <w:tc>
          <w:tcPr>
            <w:tcW w:w="1439" w:type="pct"/>
            <w:tcBorders>
              <w:top w:val="single" w:color="auto" w:sz="4" w:space="0"/>
              <w:left w:val="single" w:color="auto" w:sz="4" w:space="0"/>
              <w:bottom w:val="single" w:color="auto" w:sz="4" w:space="0"/>
              <w:right w:val="single" w:color="auto" w:sz="4" w:space="0"/>
            </w:tcBorders>
          </w:tcPr>
          <w:p w14:paraId="58BD0E72">
            <w:pPr>
              <w:jc w:val="right"/>
            </w:pPr>
            <w:r>
              <w:t>8,288,743.38</w:t>
            </w:r>
          </w:p>
        </w:tc>
        <w:tc>
          <w:tcPr>
            <w:tcW w:w="1348" w:type="pct"/>
            <w:tcBorders>
              <w:top w:val="single" w:color="auto" w:sz="4" w:space="0"/>
              <w:left w:val="single" w:color="auto" w:sz="4" w:space="0"/>
              <w:bottom w:val="single" w:color="auto" w:sz="4" w:space="0"/>
              <w:right w:val="single" w:color="auto" w:sz="4" w:space="0"/>
            </w:tcBorders>
          </w:tcPr>
          <w:p w14:paraId="67E017AF">
            <w:pPr>
              <w:jc w:val="right"/>
            </w:pPr>
            <w:r>
              <w:t>6,426,960.47</w:t>
            </w:r>
          </w:p>
        </w:tc>
      </w:tr>
      <w:tr w14:paraId="23FA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tcPr>
          <w:p w14:paraId="2636ADC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439" w:type="pct"/>
            <w:tcBorders>
              <w:top w:val="single" w:color="auto" w:sz="4" w:space="0"/>
              <w:left w:val="single" w:color="auto" w:sz="4" w:space="0"/>
              <w:bottom w:val="single" w:color="auto" w:sz="4" w:space="0"/>
              <w:right w:val="single" w:color="auto" w:sz="4" w:space="0"/>
            </w:tcBorders>
          </w:tcPr>
          <w:p w14:paraId="1AB5A175">
            <w:pPr>
              <w:jc w:val="right"/>
            </w:pPr>
            <w:r>
              <w:t>72,762,889.46</w:t>
            </w:r>
          </w:p>
        </w:tc>
        <w:tc>
          <w:tcPr>
            <w:tcW w:w="1348" w:type="pct"/>
            <w:tcBorders>
              <w:top w:val="single" w:color="auto" w:sz="4" w:space="0"/>
              <w:left w:val="single" w:color="auto" w:sz="4" w:space="0"/>
              <w:bottom w:val="single" w:color="auto" w:sz="4" w:space="0"/>
              <w:right w:val="single" w:color="auto" w:sz="4" w:space="0"/>
            </w:tcBorders>
          </w:tcPr>
          <w:p w14:paraId="44FFCA23">
            <w:pPr>
              <w:jc w:val="right"/>
            </w:pPr>
            <w:r>
              <w:t>76,125,648.45</w:t>
            </w:r>
          </w:p>
        </w:tc>
      </w:tr>
    </w:tbl>
    <w:p w14:paraId="5D6FD1E9">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财务费用的其他说明事项"/>
        <w:tag w:val="_GBC_5bd15645edcc4a51b94ddca48ee9be98"/>
        <w:id w:val="207696345"/>
        <w:placeholder>
          <w:docPart w:val="GBC22222222222222222222222222222"/>
        </w:placeholder>
      </w:sdtPr>
      <w:sdtEndPr>
        <w:rPr>
          <w:color w:val="000000" w:themeColor="text1"/>
          <w14:textFill>
            <w14:solidFill>
              <w14:schemeClr w14:val="tx1"/>
            </w14:solidFill>
          </w14:textFill>
        </w:rPr>
      </w:sdtEndPr>
      <w:sdtContent>
        <w:p w14:paraId="25D4AEF0">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6B47F81D">
      <w:pPr>
        <w:rPr>
          <w:color w:val="000000" w:themeColor="text1"/>
          <w14:textFill>
            <w14:solidFill>
              <w14:schemeClr w14:val="tx1"/>
            </w14:solidFill>
          </w14:textFill>
        </w:rPr>
      </w:pPr>
    </w:p>
    <w:p w14:paraId="430662F3">
      <w:pPr>
        <w:pStyle w:val="4"/>
        <w:numPr>
          <w:ilvl w:val="0"/>
          <w:numId w:val="53"/>
        </w:numPr>
        <w:tabs>
          <w:tab w:val="left" w:pos="504"/>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其他收益</w:t>
      </w:r>
    </w:p>
    <w:sdt>
      <w:sdtPr>
        <w:rPr>
          <w:color w:val="000000" w:themeColor="text1"/>
          <w14:textFill>
            <w14:solidFill>
              <w14:schemeClr w14:val="tx1"/>
            </w14:solidFill>
          </w14:textFill>
        </w:rPr>
        <w:alias w:val="是否适用：财务报表其他收益[双击切换]"/>
        <w:tag w:val="_GBC_86fde94b0d4e4b1f997adc6f063babf7"/>
        <w:id w:val="-1660227028"/>
        <w:placeholder>
          <w:docPart w:val="GBC22222222222222222222222222222"/>
        </w:placeholder>
      </w:sdtPr>
      <w:sdtEndPr>
        <w:rPr>
          <w:color w:val="000000" w:themeColor="text1"/>
          <w14:textFill>
            <w14:solidFill>
              <w14:schemeClr w14:val="tx1"/>
            </w14:solidFill>
          </w14:textFill>
        </w:rPr>
      </w:sdtEndPr>
      <w:sdtContent>
        <w:p w14:paraId="670EEC3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2885E42">
      <w:pPr>
        <w:jc w:val="right"/>
        <w:rPr>
          <w:rFonts w:cstheme="minorBidi"/>
          <w:bCs w:val="0"/>
          <w:color w:val="000000" w:themeColor="text1"/>
          <w:szCs w:val="22"/>
          <w14:textFill>
            <w14:solidFill>
              <w14:schemeClr w14:val="tx1"/>
            </w14:solidFill>
          </w14:textFill>
        </w:rPr>
      </w:pPr>
      <w:r>
        <w:rPr>
          <w:rFonts w:cstheme="minorBidi"/>
          <w:color w:val="000000" w:themeColor="text1"/>
          <w:szCs w:val="22"/>
          <w14:textFill>
            <w14:solidFill>
              <w14:schemeClr w14:val="tx1"/>
            </w14:solidFill>
          </w14:textFill>
        </w:rPr>
        <w:t>单位：</w:t>
      </w:r>
      <w:sdt>
        <w:sdtPr>
          <w:rPr>
            <w:rFonts w:cstheme="minorBidi"/>
            <w:bCs w:val="0"/>
            <w:color w:val="000000" w:themeColor="text1"/>
            <w:szCs w:val="22"/>
            <w14:textFill>
              <w14:solidFill>
                <w14:schemeClr w14:val="tx1"/>
              </w14:solidFill>
            </w14:textFill>
          </w:rPr>
          <w:alias w:val="单位：财务报表其他收益明细"/>
          <w:tag w:val="_GBC_12755937dc3b48a489abda6cc5cda8d6"/>
          <w:id w:val="-1037676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cstheme="minorBidi"/>
            <w:bCs w:val="0"/>
            <w:color w:val="000000" w:themeColor="text1"/>
            <w:szCs w:val="22"/>
            <w14:textFill>
              <w14:solidFill>
                <w14:schemeClr w14:val="tx1"/>
              </w14:solidFill>
            </w14:textFill>
          </w:rPr>
        </w:sdtEndPr>
        <w:sdtContent>
          <w:r>
            <w:rPr>
              <w:rFonts w:cstheme="minorBidi"/>
              <w:bCs w:val="0"/>
              <w:color w:val="000000" w:themeColor="text1"/>
              <w:szCs w:val="22"/>
              <w14:textFill>
                <w14:solidFill>
                  <w14:schemeClr w14:val="tx1"/>
                </w14:solidFill>
              </w14:textFill>
            </w:rPr>
            <w:t>元</w:t>
          </w:r>
        </w:sdtContent>
      </w:sdt>
      <w:r>
        <w:rPr>
          <w:rFonts w:cstheme="minorBidi"/>
          <w:color w:val="000000" w:themeColor="text1"/>
          <w:szCs w:val="22"/>
          <w14:textFill>
            <w14:solidFill>
              <w14:schemeClr w14:val="tx1"/>
            </w14:solidFill>
          </w14:textFill>
        </w:rPr>
        <w:t xml:space="preserve">  币种：</w:t>
      </w:r>
      <w:sdt>
        <w:sdtPr>
          <w:rPr>
            <w:rFonts w:cstheme="minorBidi"/>
            <w:bCs w:val="0"/>
            <w:color w:val="000000" w:themeColor="text1"/>
            <w:szCs w:val="22"/>
            <w14:textFill>
              <w14:solidFill>
                <w14:schemeClr w14:val="tx1"/>
              </w14:solidFill>
            </w14:textFill>
          </w:rPr>
          <w:alias w:val="币种：财务报表其他收益明细"/>
          <w:tag w:val="_GBC_3daaaf66c73e4201b067378f3d17e13f"/>
          <w:id w:val="-146473431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cstheme="minorBidi"/>
            <w:bCs w:val="0"/>
            <w:color w:val="000000" w:themeColor="text1"/>
            <w:szCs w:val="22"/>
            <w14:textFill>
              <w14:solidFill>
                <w14:schemeClr w14:val="tx1"/>
              </w14:solidFill>
            </w14:textFill>
          </w:rPr>
        </w:sdtEndPr>
        <w:sdtContent>
          <w:r>
            <w:rPr>
              <w:rFonts w:cstheme="minorBidi"/>
              <w:bCs w:val="0"/>
              <w:color w:val="000000" w:themeColor="text1"/>
              <w:szCs w:val="22"/>
              <w14:textFill>
                <w14:solidFill>
                  <w14:schemeClr w14:val="tx1"/>
                </w14:solidFill>
              </w14:textFill>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7"/>
        <w:gridCol w:w="2482"/>
        <w:gridCol w:w="2384"/>
      </w:tblGrid>
      <w:tr w14:paraId="72BA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tcPr>
          <w:sdt>
            <w:sdtPr>
              <w:tag w:val="_PLD_92b33ced889140b7b84894c5f486f4e6"/>
              <w:id w:val="112338476"/>
            </w:sdtPr>
            <w:sdtContent>
              <w:p w14:paraId="0494DBE1">
                <w:pPr>
                  <w:widowControl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按性质分类</w:t>
                </w:r>
              </w:p>
            </w:sdtContent>
          </w:sdt>
        </w:tc>
        <w:tc>
          <w:tcPr>
            <w:tcW w:w="2482" w:type="dxa"/>
          </w:tcPr>
          <w:sdt>
            <w:sdtPr>
              <w:tag w:val="_PLD_73b3023fbaed423bbb8ca1ec42a2eaf9"/>
              <w:id w:val="-1197160570"/>
            </w:sdtPr>
            <w:sdtContent>
              <w:p w14:paraId="5DC3E84E">
                <w:pPr>
                  <w:widowControl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sdtContent>
          </w:sdt>
        </w:tc>
        <w:tc>
          <w:tcPr>
            <w:tcW w:w="2384" w:type="dxa"/>
          </w:tcPr>
          <w:sdt>
            <w:sdtPr>
              <w:tag w:val="_PLD_9f39351a333c497da22a0955aff07b4c"/>
              <w:id w:val="-979379863"/>
            </w:sdtPr>
            <w:sdtContent>
              <w:p w14:paraId="3FB3E090">
                <w:pPr>
                  <w:widowControl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sdtContent>
          </w:sdt>
        </w:tc>
      </w:tr>
      <w:tr w14:paraId="67BD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tcPr>
          <w:p w14:paraId="01923638">
            <w:pPr>
              <w:widowControl w:val="0"/>
              <w:jc w:val="both"/>
            </w:pPr>
            <w:r>
              <w:rPr>
                <w:rFonts w:hint="eastAsia"/>
              </w:rPr>
              <w:t>政府补助</w:t>
            </w:r>
          </w:p>
        </w:tc>
        <w:tc>
          <w:tcPr>
            <w:tcW w:w="2482" w:type="dxa"/>
          </w:tcPr>
          <w:p w14:paraId="6136A57C">
            <w:pPr>
              <w:widowControl w:val="0"/>
              <w:jc w:val="right"/>
            </w:pPr>
            <w:r>
              <w:t>21,121,233.18</w:t>
            </w:r>
          </w:p>
        </w:tc>
        <w:tc>
          <w:tcPr>
            <w:tcW w:w="2384" w:type="dxa"/>
          </w:tcPr>
          <w:p w14:paraId="08776729">
            <w:pPr>
              <w:widowControl w:val="0"/>
              <w:jc w:val="right"/>
            </w:pPr>
            <w:r>
              <w:t>7,367,823.37</w:t>
            </w:r>
          </w:p>
        </w:tc>
      </w:tr>
      <w:tr w14:paraId="6B25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tcPr>
          <w:p w14:paraId="1A4DA115">
            <w:pPr>
              <w:widowControl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2482" w:type="dxa"/>
          </w:tcPr>
          <w:p w14:paraId="2F297534">
            <w:pPr>
              <w:widowControl w:val="0"/>
              <w:jc w:val="right"/>
            </w:pPr>
            <w:r>
              <w:t>21,121,233.18</w:t>
            </w:r>
          </w:p>
        </w:tc>
        <w:tc>
          <w:tcPr>
            <w:tcW w:w="2384" w:type="dxa"/>
          </w:tcPr>
          <w:p w14:paraId="648205CF">
            <w:pPr>
              <w:widowControl w:val="0"/>
              <w:jc w:val="right"/>
            </w:pPr>
            <w:r>
              <w:t>7,367,823.37</w:t>
            </w:r>
          </w:p>
        </w:tc>
      </w:tr>
    </w:tbl>
    <w:p w14:paraId="22380647">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r>
        <w:rPr>
          <w:color w:val="000000" w:themeColor="text1"/>
          <w14:textFill>
            <w14:solidFill>
              <w14:schemeClr w14:val="tx1"/>
            </w14:solidFill>
          </w14:textFill>
        </w:rPr>
        <w:t>说明：</w:t>
      </w:r>
    </w:p>
    <w:sdt>
      <w:sdtPr>
        <w:rPr>
          <w:color w:val="000000" w:themeColor="text1"/>
          <w14:textFill>
            <w14:solidFill>
              <w14:schemeClr w14:val="tx1"/>
            </w14:solidFill>
          </w14:textFill>
        </w:rPr>
        <w:alias w:val="财务报表其他收益其他说明"/>
        <w:tag w:val="_GBC_9489a93c45754a9ea78d3a872093a735"/>
        <w:id w:val="-53164166"/>
        <w:placeholder>
          <w:docPart w:val="GBC22222222222222222222222222222"/>
        </w:placeholder>
      </w:sdtPr>
      <w:sdtEndPr>
        <w:rPr>
          <w:color w:val="000000" w:themeColor="text1"/>
          <w14:textFill>
            <w14:solidFill>
              <w14:schemeClr w14:val="tx1"/>
            </w14:solidFill>
          </w14:textFill>
        </w:rPr>
      </w:sdtEndPr>
      <w:sdtContent>
        <w:p w14:paraId="5A5599F3">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20FFD60C">
      <w:pPr>
        <w:rPr>
          <w:color w:val="000000" w:themeColor="text1"/>
          <w14:textFill>
            <w14:solidFill>
              <w14:schemeClr w14:val="tx1"/>
            </w14:solidFill>
          </w14:textFill>
        </w:rPr>
      </w:pPr>
    </w:p>
    <w:p w14:paraId="11C34AE0">
      <w:pPr>
        <w:pStyle w:val="4"/>
        <w:numPr>
          <w:ilvl w:val="0"/>
          <w:numId w:val="53"/>
        </w:numPr>
        <w:tabs>
          <w:tab w:val="left" w:pos="504"/>
        </w:tabs>
        <w:rPr>
          <w:rFonts w:hint="eastAsia" w:ascii="宋体" w:hAnsi="宋体"/>
          <w:color w:val="000000" w:themeColor="text1"/>
          <w:szCs w:val="21"/>
          <w14:textFill>
            <w14:solidFill>
              <w14:schemeClr w14:val="tx1"/>
            </w14:solidFill>
          </w14:textFill>
        </w:rPr>
      </w:pPr>
      <w:bookmarkStart w:id="372" w:name="_Hlk11857276"/>
      <w:r>
        <w:rPr>
          <w:rFonts w:hint="eastAsia" w:ascii="宋体" w:hAnsi="宋体"/>
          <w:color w:val="000000" w:themeColor="text1"/>
          <w:szCs w:val="21"/>
          <w14:textFill>
            <w14:solidFill>
              <w14:schemeClr w14:val="tx1"/>
            </w14:solidFill>
          </w14:textFill>
        </w:rPr>
        <w:t>投资收益</w:t>
      </w:r>
    </w:p>
    <w:sdt>
      <w:sdtPr>
        <w:rPr>
          <w:color w:val="000000" w:themeColor="text1"/>
          <w14:textFill>
            <w14:solidFill>
              <w14:schemeClr w14:val="tx1"/>
            </w14:solidFill>
          </w14:textFill>
        </w:rPr>
        <w:alias w:val="是否适用：投资收益[双击切换]"/>
        <w:tag w:val="_GBC_39356fd9dd9e4f5497d61d781210b2fe"/>
        <w:id w:val="115500829"/>
        <w:placeholder>
          <w:docPart w:val="GBC22222222222222222222222222222"/>
        </w:placeholder>
      </w:sdtPr>
      <w:sdtEndPr>
        <w:rPr>
          <w:color w:val="000000" w:themeColor="text1"/>
          <w14:textFill>
            <w14:solidFill>
              <w14:schemeClr w14:val="tx1"/>
            </w14:solidFill>
          </w14:textFill>
        </w:rPr>
      </w:sdtEndPr>
      <w:sdtContent>
        <w:p w14:paraId="0C1C35E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14D10E0">
      <w:pPr>
        <w:jc w:val="right"/>
        <w:rPr>
          <w:b/>
          <w:color w:val="000000" w:themeColor="text1"/>
          <w14:textFill>
            <w14:solidFill>
              <w14:schemeClr w14:val="tx1"/>
            </w14:solidFill>
          </w14:textFill>
        </w:rPr>
      </w:pPr>
      <w:bookmarkStart w:id="373" w:name="_Hlk10538462"/>
      <w:r>
        <w:rPr>
          <w:color w:val="000000" w:themeColor="text1"/>
          <w14:textFill>
            <w14:solidFill>
              <w14:schemeClr w14:val="tx1"/>
            </w14:solidFill>
          </w14:textFill>
        </w:rPr>
        <w:t>单位</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单位：财务附注：会计报表中的投资收益项目增加"/>
          <w:tag w:val="_GBC_8785b82a02ca4b0db1de3227128775b4"/>
          <w:id w:val="37905159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会计报表中的投资收益项目增加"/>
          <w:tag w:val="_GBC_c4394dc445a94e9a8a4b83889c79fcb1"/>
          <w:id w:val="57231453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61"/>
        <w:gridCol w:w="2626"/>
        <w:gridCol w:w="2636"/>
      </w:tblGrid>
      <w:tr w14:paraId="5A6D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2fef67a5db2c453288257a2dfe03fd6e"/>
            <w:id w:val="1914514893"/>
          </w:sdtPr>
          <w:sdtContent>
            <w:tc>
              <w:tcPr>
                <w:tcW w:w="2018" w:type="pct"/>
                <w:vAlign w:val="center"/>
              </w:tcPr>
              <w:p w14:paraId="748D240F">
                <w:pPr>
                  <w:ind w:left="420" w:hanging="42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3f927d0ff25c47abb0f9b18794554af6"/>
            <w:id w:val="1614944637"/>
          </w:sdtPr>
          <w:sdtContent>
            <w:tc>
              <w:tcPr>
                <w:tcW w:w="1488" w:type="pct"/>
                <w:vAlign w:val="center"/>
              </w:tcPr>
              <w:p w14:paraId="65AD469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a6cbfed1438f48b7947079a5821a9eba"/>
            <w:id w:val="751624686"/>
          </w:sdtPr>
          <w:sdtContent>
            <w:tc>
              <w:tcPr>
                <w:tcW w:w="1494" w:type="pct"/>
                <w:vAlign w:val="center"/>
              </w:tcPr>
              <w:p w14:paraId="437AD5E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17C6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32F73C79">
            <w:pPr>
              <w:rPr>
                <w:color w:val="000000" w:themeColor="text1"/>
                <w14:textFill>
                  <w14:solidFill>
                    <w14:schemeClr w14:val="tx1"/>
                  </w14:solidFill>
                </w14:textFill>
              </w:rPr>
            </w:pPr>
            <w:r>
              <w:rPr>
                <w:rFonts w:hint="eastAsia"/>
                <w:color w:val="000000" w:themeColor="text1"/>
                <w14:textFill>
                  <w14:solidFill>
                    <w14:schemeClr w14:val="tx1"/>
                  </w14:solidFill>
                </w14:textFill>
              </w:rPr>
              <w:t>权益法核算的长期股权投资收益</w:t>
            </w:r>
          </w:p>
        </w:tc>
        <w:tc>
          <w:tcPr>
            <w:tcW w:w="1488" w:type="pct"/>
          </w:tcPr>
          <w:p w14:paraId="51D7B909">
            <w:pPr>
              <w:jc w:val="right"/>
            </w:pPr>
          </w:p>
        </w:tc>
        <w:tc>
          <w:tcPr>
            <w:tcW w:w="1494" w:type="pct"/>
          </w:tcPr>
          <w:p w14:paraId="5BE26842">
            <w:pPr>
              <w:jc w:val="right"/>
            </w:pPr>
          </w:p>
        </w:tc>
      </w:tr>
      <w:tr w14:paraId="223F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36E5CAA4">
            <w:pPr>
              <w:rPr>
                <w:color w:val="000000" w:themeColor="text1"/>
                <w14:textFill>
                  <w14:solidFill>
                    <w14:schemeClr w14:val="tx1"/>
                  </w14:solidFill>
                </w14:textFill>
              </w:rPr>
            </w:pPr>
            <w:r>
              <w:rPr>
                <w:rFonts w:hint="eastAsia"/>
                <w:color w:val="000000" w:themeColor="text1"/>
                <w14:textFill>
                  <w14:solidFill>
                    <w14:schemeClr w14:val="tx1"/>
                  </w14:solidFill>
                </w14:textFill>
              </w:rPr>
              <w:t>处置长期股权投资产生的投资收益</w:t>
            </w:r>
          </w:p>
        </w:tc>
        <w:tc>
          <w:tcPr>
            <w:tcW w:w="1488" w:type="pct"/>
          </w:tcPr>
          <w:p w14:paraId="289BC48E">
            <w:pPr>
              <w:jc w:val="right"/>
            </w:pPr>
          </w:p>
        </w:tc>
        <w:tc>
          <w:tcPr>
            <w:tcW w:w="1494" w:type="pct"/>
          </w:tcPr>
          <w:p w14:paraId="7AD0404B">
            <w:pPr>
              <w:jc w:val="right"/>
            </w:pPr>
          </w:p>
        </w:tc>
      </w:tr>
      <w:tr w14:paraId="0B6D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763B7349">
            <w:pPr>
              <w:rPr>
                <w:color w:val="000000" w:themeColor="text1"/>
                <w14:textFill>
                  <w14:solidFill>
                    <w14:schemeClr w14:val="tx1"/>
                  </w14:solidFill>
                </w14:textFill>
              </w:rPr>
            </w:pPr>
            <w:r>
              <w:rPr>
                <w:rFonts w:hint="eastAsia"/>
                <w:color w:val="000000" w:themeColor="text1"/>
                <w14:textFill>
                  <w14:solidFill>
                    <w14:schemeClr w14:val="tx1"/>
                  </w14:solidFill>
                </w14:textFill>
              </w:rPr>
              <w:t>交易性金融资产在持有期间的投资收益</w:t>
            </w:r>
          </w:p>
        </w:tc>
        <w:tc>
          <w:tcPr>
            <w:tcW w:w="1488" w:type="pct"/>
          </w:tcPr>
          <w:p w14:paraId="61C2B58C">
            <w:pPr>
              <w:jc w:val="right"/>
            </w:pPr>
          </w:p>
        </w:tc>
        <w:tc>
          <w:tcPr>
            <w:tcW w:w="1494" w:type="pct"/>
          </w:tcPr>
          <w:p w14:paraId="05BBA9C8">
            <w:pPr>
              <w:jc w:val="right"/>
            </w:pPr>
          </w:p>
        </w:tc>
      </w:tr>
      <w:tr w14:paraId="6BAD0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74E6181D">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其他权益工具投资在持有期间取得的股利收入</w:t>
            </w:r>
          </w:p>
        </w:tc>
        <w:tc>
          <w:tcPr>
            <w:tcW w:w="1488" w:type="pct"/>
          </w:tcPr>
          <w:p w14:paraId="3A37F670">
            <w:pPr>
              <w:jc w:val="right"/>
            </w:pPr>
          </w:p>
        </w:tc>
        <w:tc>
          <w:tcPr>
            <w:tcW w:w="1494" w:type="pct"/>
          </w:tcPr>
          <w:p w14:paraId="0FF601BB">
            <w:pPr>
              <w:jc w:val="right"/>
            </w:pPr>
          </w:p>
        </w:tc>
      </w:tr>
      <w:tr w14:paraId="63EA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687E401E">
            <w:pPr>
              <w:rPr>
                <w:color w:val="000000" w:themeColor="text1"/>
                <w14:textFill>
                  <w14:solidFill>
                    <w14:schemeClr w14:val="tx1"/>
                  </w14:solidFill>
                </w14:textFill>
              </w:rPr>
            </w:pPr>
            <w:r>
              <w:rPr>
                <w:rFonts w:hint="eastAsia"/>
                <w:color w:val="000000" w:themeColor="text1"/>
                <w14:textFill>
                  <w14:solidFill>
                    <w14:schemeClr w14:val="tx1"/>
                  </w14:solidFill>
                </w14:textFill>
              </w:rPr>
              <w:t>债权投资在持有期间取得的利息收入</w:t>
            </w:r>
          </w:p>
        </w:tc>
        <w:tc>
          <w:tcPr>
            <w:tcW w:w="1488" w:type="pct"/>
          </w:tcPr>
          <w:p w14:paraId="4E6EB98E">
            <w:pPr>
              <w:jc w:val="right"/>
            </w:pPr>
          </w:p>
        </w:tc>
        <w:tc>
          <w:tcPr>
            <w:tcW w:w="1494" w:type="pct"/>
          </w:tcPr>
          <w:p w14:paraId="08D163B1">
            <w:pPr>
              <w:jc w:val="right"/>
            </w:pPr>
          </w:p>
        </w:tc>
      </w:tr>
      <w:tr w14:paraId="3C6B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2A02181B">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其他债权投资在持有期间取得的利息收入</w:t>
            </w:r>
          </w:p>
        </w:tc>
        <w:tc>
          <w:tcPr>
            <w:tcW w:w="1488" w:type="pct"/>
          </w:tcPr>
          <w:p w14:paraId="2D63879F">
            <w:pPr>
              <w:jc w:val="right"/>
            </w:pPr>
          </w:p>
        </w:tc>
        <w:tc>
          <w:tcPr>
            <w:tcW w:w="1494" w:type="pct"/>
          </w:tcPr>
          <w:p w14:paraId="5E56A0FF">
            <w:pPr>
              <w:jc w:val="right"/>
            </w:pPr>
          </w:p>
        </w:tc>
      </w:tr>
      <w:tr w14:paraId="6010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7A76E43A">
            <w:pPr>
              <w:rPr>
                <w:color w:val="000000" w:themeColor="text1"/>
                <w14:textFill>
                  <w14:solidFill>
                    <w14:schemeClr w14:val="tx1"/>
                  </w14:solidFill>
                </w14:textFill>
              </w:rPr>
            </w:pPr>
            <w:r>
              <w:rPr>
                <w:rFonts w:hint="eastAsia"/>
                <w:color w:val="000000" w:themeColor="text1"/>
                <w14:textFill>
                  <w14:solidFill>
                    <w14:schemeClr w14:val="tx1"/>
                  </w14:solidFill>
                </w14:textFill>
              </w:rPr>
              <w:t>处置交易性金融资产取得的投资收益</w:t>
            </w:r>
          </w:p>
        </w:tc>
        <w:tc>
          <w:tcPr>
            <w:tcW w:w="1488" w:type="pct"/>
          </w:tcPr>
          <w:p w14:paraId="3E1E76BD">
            <w:pPr>
              <w:jc w:val="right"/>
            </w:pPr>
          </w:p>
        </w:tc>
        <w:tc>
          <w:tcPr>
            <w:tcW w:w="1494" w:type="pct"/>
          </w:tcPr>
          <w:p w14:paraId="31BDF944">
            <w:pPr>
              <w:jc w:val="right"/>
            </w:pPr>
          </w:p>
        </w:tc>
      </w:tr>
      <w:tr w14:paraId="1127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74082885">
            <w:pPr>
              <w:rPr>
                <w:color w:val="000000" w:themeColor="text1"/>
                <w14:textFill>
                  <w14:solidFill>
                    <w14:schemeClr w14:val="tx1"/>
                  </w14:solidFill>
                </w14:textFill>
              </w:rPr>
            </w:pPr>
            <w:r>
              <w:rPr>
                <w:rFonts w:hint="eastAsia"/>
                <w:color w:val="000000" w:themeColor="text1"/>
                <w14:textFill>
                  <w14:solidFill>
                    <w14:schemeClr w14:val="tx1"/>
                  </w14:solidFill>
                </w14:textFill>
              </w:rPr>
              <w:t>处置其他权益工具投资取得的投资收益</w:t>
            </w:r>
          </w:p>
        </w:tc>
        <w:tc>
          <w:tcPr>
            <w:tcW w:w="1488" w:type="pct"/>
          </w:tcPr>
          <w:p w14:paraId="78076176">
            <w:pPr>
              <w:jc w:val="right"/>
            </w:pPr>
          </w:p>
        </w:tc>
        <w:tc>
          <w:tcPr>
            <w:tcW w:w="1494" w:type="pct"/>
          </w:tcPr>
          <w:p w14:paraId="4E32E27A">
            <w:pPr>
              <w:jc w:val="right"/>
            </w:pPr>
          </w:p>
        </w:tc>
      </w:tr>
      <w:tr w14:paraId="0199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2C551EE0">
            <w:pPr>
              <w:rPr>
                <w:color w:val="000000" w:themeColor="text1"/>
                <w14:textFill>
                  <w14:solidFill>
                    <w14:schemeClr w14:val="tx1"/>
                  </w14:solidFill>
                </w14:textFill>
              </w:rPr>
            </w:pPr>
            <w:r>
              <w:rPr>
                <w:rFonts w:hint="eastAsia"/>
                <w:color w:val="000000" w:themeColor="text1"/>
                <w14:textFill>
                  <w14:solidFill>
                    <w14:schemeClr w14:val="tx1"/>
                  </w14:solidFill>
                </w14:textFill>
              </w:rPr>
              <w:t>处置债权投资取得的投资收益</w:t>
            </w:r>
          </w:p>
        </w:tc>
        <w:tc>
          <w:tcPr>
            <w:tcW w:w="1488" w:type="pct"/>
          </w:tcPr>
          <w:p w14:paraId="588E37E3">
            <w:pPr>
              <w:jc w:val="right"/>
            </w:pPr>
          </w:p>
        </w:tc>
        <w:tc>
          <w:tcPr>
            <w:tcW w:w="1494" w:type="pct"/>
          </w:tcPr>
          <w:p w14:paraId="6302E85D">
            <w:pPr>
              <w:jc w:val="right"/>
            </w:pPr>
          </w:p>
        </w:tc>
      </w:tr>
      <w:tr w14:paraId="799AB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69FAE523">
            <w:pPr>
              <w:rPr>
                <w:color w:val="000000" w:themeColor="text1"/>
                <w14:textFill>
                  <w14:solidFill>
                    <w14:schemeClr w14:val="tx1"/>
                  </w14:solidFill>
                </w14:textFill>
              </w:rPr>
            </w:pPr>
            <w:r>
              <w:rPr>
                <w:rFonts w:hint="eastAsia"/>
                <w:color w:val="000000" w:themeColor="text1"/>
                <w14:textFill>
                  <w14:solidFill>
                    <w14:schemeClr w14:val="tx1"/>
                  </w14:solidFill>
                </w14:textFill>
              </w:rPr>
              <w:t>处置其他债权投资取得的投资收益</w:t>
            </w:r>
          </w:p>
        </w:tc>
        <w:tc>
          <w:tcPr>
            <w:tcW w:w="1488" w:type="pct"/>
          </w:tcPr>
          <w:p w14:paraId="593562E1">
            <w:pPr>
              <w:jc w:val="right"/>
            </w:pPr>
          </w:p>
        </w:tc>
        <w:tc>
          <w:tcPr>
            <w:tcW w:w="1494" w:type="pct"/>
          </w:tcPr>
          <w:p w14:paraId="701F3E02">
            <w:pPr>
              <w:jc w:val="right"/>
            </w:pPr>
          </w:p>
        </w:tc>
      </w:tr>
      <w:tr w14:paraId="415A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408FC92E">
            <w:pPr>
              <w:rPr>
                <w:color w:val="000000" w:themeColor="text1"/>
                <w14:textFill>
                  <w14:solidFill>
                    <w14:schemeClr w14:val="tx1"/>
                  </w14:solidFill>
                </w14:textFill>
              </w:rPr>
            </w:pPr>
            <w:r>
              <w:rPr>
                <w:rFonts w:hint="eastAsia"/>
                <w:color w:val="000000" w:themeColor="text1"/>
                <w14:textFill>
                  <w14:solidFill>
                    <w14:schemeClr w14:val="tx1"/>
                  </w14:solidFill>
                </w14:textFill>
              </w:rPr>
              <w:t>债务重组收益</w:t>
            </w:r>
          </w:p>
        </w:tc>
        <w:tc>
          <w:tcPr>
            <w:tcW w:w="1488" w:type="pct"/>
          </w:tcPr>
          <w:p w14:paraId="6725C772">
            <w:pPr>
              <w:jc w:val="right"/>
            </w:pPr>
          </w:p>
        </w:tc>
        <w:tc>
          <w:tcPr>
            <w:tcW w:w="1494" w:type="pct"/>
          </w:tcPr>
          <w:p w14:paraId="2F61432C">
            <w:pPr>
              <w:jc w:val="right"/>
            </w:pPr>
          </w:p>
        </w:tc>
      </w:tr>
      <w:tr w14:paraId="2584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1A2B1B2C">
            <w:pPr>
              <w:rPr>
                <w:color w:val="000000" w:themeColor="text1"/>
                <w14:textFill>
                  <w14:solidFill>
                    <w14:schemeClr w14:val="tx1"/>
                  </w14:solidFill>
                </w14:textFill>
              </w:rPr>
            </w:pPr>
            <w:r>
              <w:rPr>
                <w:rFonts w:hint="eastAsia"/>
                <w:color w:val="000000" w:themeColor="text1"/>
                <w14:textFill>
                  <w14:solidFill>
                    <w14:schemeClr w14:val="tx1"/>
                  </w14:solidFill>
                </w14:textFill>
              </w:rPr>
              <w:t>威海商业银行分红收益</w:t>
            </w:r>
          </w:p>
        </w:tc>
        <w:tc>
          <w:tcPr>
            <w:tcW w:w="1488" w:type="pct"/>
          </w:tcPr>
          <w:p w14:paraId="02BE1E83">
            <w:pPr>
              <w:jc w:val="right"/>
            </w:pPr>
            <w:r>
              <w:t>7,146,354.60</w:t>
            </w:r>
          </w:p>
        </w:tc>
        <w:tc>
          <w:tcPr>
            <w:tcW w:w="1494" w:type="pct"/>
          </w:tcPr>
          <w:p w14:paraId="52A52B8E">
            <w:pPr>
              <w:jc w:val="right"/>
            </w:pPr>
            <w:r>
              <w:t>7,146,354.60</w:t>
            </w:r>
          </w:p>
        </w:tc>
      </w:tr>
      <w:tr w14:paraId="5414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5D539895">
            <w:pPr>
              <w:rPr>
                <w:color w:val="000000" w:themeColor="text1"/>
                <w14:textFill>
                  <w14:solidFill>
                    <w14:schemeClr w14:val="tx1"/>
                  </w14:solidFill>
                </w14:textFill>
              </w:rPr>
            </w:pPr>
            <w:r>
              <w:rPr>
                <w:rFonts w:hint="eastAsia"/>
                <w:color w:val="000000" w:themeColor="text1"/>
                <w14:textFill>
                  <w14:solidFill>
                    <w14:schemeClr w14:val="tx1"/>
                  </w14:solidFill>
                </w14:textFill>
              </w:rPr>
              <w:t>处置子公司收益</w:t>
            </w:r>
          </w:p>
        </w:tc>
        <w:tc>
          <w:tcPr>
            <w:tcW w:w="1488" w:type="pct"/>
          </w:tcPr>
          <w:p w14:paraId="6B11690A">
            <w:pPr>
              <w:jc w:val="right"/>
            </w:pPr>
            <w:r>
              <w:t>1,906,811.18</w:t>
            </w:r>
          </w:p>
        </w:tc>
        <w:tc>
          <w:tcPr>
            <w:tcW w:w="1494" w:type="pct"/>
          </w:tcPr>
          <w:p w14:paraId="15F78777">
            <w:pPr>
              <w:jc w:val="right"/>
            </w:pPr>
            <w:r>
              <w:t>2,287,169.16</w:t>
            </w:r>
          </w:p>
        </w:tc>
      </w:tr>
      <w:tr w14:paraId="062A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vAlign w:val="center"/>
          </w:tcPr>
          <w:p w14:paraId="50CA707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488" w:type="pct"/>
          </w:tcPr>
          <w:p w14:paraId="0149D4C9">
            <w:pPr>
              <w:jc w:val="right"/>
            </w:pPr>
            <w:r>
              <w:t>9,053,165.78</w:t>
            </w:r>
          </w:p>
        </w:tc>
        <w:tc>
          <w:tcPr>
            <w:tcW w:w="1494" w:type="pct"/>
          </w:tcPr>
          <w:p w14:paraId="0874DC0B">
            <w:pPr>
              <w:jc w:val="right"/>
            </w:pPr>
            <w:r>
              <w:t>9,433,523.76</w:t>
            </w:r>
          </w:p>
        </w:tc>
      </w:tr>
      <w:bookmarkEnd w:id="373"/>
    </w:tbl>
    <w:p w14:paraId="20086100">
      <w:pPr>
        <w:spacing w:before="60" w:after="60" w:line="36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rFonts w:hint="eastAsia"/>
          <w:color w:val="000000" w:themeColor="text1"/>
          <w14:textFill>
            <w14:solidFill>
              <w14:schemeClr w14:val="tx1"/>
            </w14:solidFill>
          </w14:textFill>
        </w:rPr>
        <w:alias w:val="投资收益说明"/>
        <w:tag w:val="_GBC_911712f239a14e98b4c6c89180ceef27"/>
        <w:id w:val="-584223065"/>
        <w:placeholder>
          <w:docPart w:val="GBC22222222222222222222222222222"/>
        </w:placeholder>
      </w:sdtPr>
      <w:sdtEndPr>
        <w:rPr>
          <w:rFonts w:hint="eastAsia"/>
          <w:color w:val="000000" w:themeColor="text1"/>
          <w14:textFill>
            <w14:solidFill>
              <w14:schemeClr w14:val="tx1"/>
            </w14:solidFill>
          </w14:textFill>
        </w:rPr>
      </w:sdtEndPr>
      <w:sdtContent>
        <w:p w14:paraId="7C7E0F3B">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bookmarkEnd w:id="372"/>
    <w:p w14:paraId="0B1B44E8">
      <w:pPr>
        <w:autoSpaceDE w:val="0"/>
        <w:autoSpaceDN w:val="0"/>
        <w:adjustRightInd w:val="0"/>
        <w:rPr>
          <w:color w:val="000000" w:themeColor="text1"/>
          <w14:textFill>
            <w14:solidFill>
              <w14:schemeClr w14:val="tx1"/>
            </w14:solidFill>
          </w14:textFill>
        </w:rPr>
      </w:pPr>
    </w:p>
    <w:p w14:paraId="302F3AE5">
      <w:pPr>
        <w:pStyle w:val="4"/>
        <w:numPr>
          <w:ilvl w:val="0"/>
          <w:numId w:val="53"/>
        </w:numPr>
        <w:tabs>
          <w:tab w:val="left" w:pos="504"/>
        </w:tabs>
        <w:rPr>
          <w:rFonts w:hint="eastAsia" w:ascii="宋体" w:hAnsi="宋体"/>
          <w:color w:val="000000" w:themeColor="text1"/>
          <w:szCs w:val="21"/>
          <w14:textFill>
            <w14:solidFill>
              <w14:schemeClr w14:val="tx1"/>
            </w14:solidFill>
          </w14:textFill>
        </w:rPr>
      </w:pPr>
      <w:bookmarkStart w:id="374" w:name="_Hlk10538831"/>
      <w:r>
        <w:rPr>
          <w:rFonts w:hint="eastAsia" w:ascii="宋体" w:hAnsi="宋体"/>
          <w:color w:val="000000" w:themeColor="text1"/>
          <w:szCs w:val="21"/>
          <w14:textFill>
            <w14:solidFill>
              <w14:schemeClr w14:val="tx1"/>
            </w14:solidFill>
          </w14:textFill>
        </w:rPr>
        <w:t>净敞口套期收益</w:t>
      </w:r>
    </w:p>
    <w:sdt>
      <w:sdtPr>
        <w:rPr>
          <w:color w:val="000000" w:themeColor="text1"/>
          <w14:textFill>
            <w14:solidFill>
              <w14:schemeClr w14:val="tx1"/>
            </w14:solidFill>
          </w14:textFill>
        </w:rPr>
        <w:alias w:val="是否适用：净敞口套期收益[双击切换]"/>
        <w:tag w:val="_GBC_33e106b71ec640cd9126570421557bda"/>
        <w:id w:val="814916781"/>
        <w:placeholder>
          <w:docPart w:val="GBC22222222222222222222222222222"/>
        </w:placeholder>
      </w:sdtPr>
      <w:sdtEndPr>
        <w:rPr>
          <w:color w:val="000000" w:themeColor="text1"/>
          <w14:textFill>
            <w14:solidFill>
              <w14:schemeClr w14:val="tx1"/>
            </w14:solidFill>
          </w14:textFill>
        </w:rPr>
      </w:sdtEndPr>
      <w:sdtContent>
        <w:p w14:paraId="1EF3290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7818BE5">
      <w:pPr>
        <w:autoSpaceDE w:val="0"/>
        <w:autoSpaceDN w:val="0"/>
        <w:adjustRightInd w:val="0"/>
        <w:rPr>
          <w:color w:val="000000" w:themeColor="text1"/>
          <w14:textFill>
            <w14:solidFill>
              <w14:schemeClr w14:val="tx1"/>
            </w14:solidFill>
          </w14:textFill>
        </w:rPr>
      </w:pPr>
    </w:p>
    <w:bookmarkEnd w:id="374"/>
    <w:p w14:paraId="0FE07895">
      <w:pPr>
        <w:rPr>
          <w:color w:val="000000" w:themeColor="text1"/>
          <w14:textFill>
            <w14:solidFill>
              <w14:schemeClr w14:val="tx1"/>
            </w14:solidFill>
          </w14:textFill>
        </w:rPr>
      </w:pPr>
    </w:p>
    <w:p w14:paraId="317E9BEF">
      <w:pPr>
        <w:pStyle w:val="4"/>
        <w:numPr>
          <w:ilvl w:val="0"/>
          <w:numId w:val="53"/>
        </w:numPr>
        <w:tabs>
          <w:tab w:val="left" w:pos="504"/>
        </w:tabs>
        <w:rPr>
          <w:rFonts w:hint="eastAsia" w:ascii="宋体" w:hAnsi="宋体"/>
          <w:color w:val="000000" w:themeColor="text1"/>
          <w:szCs w:val="21"/>
          <w14:textFill>
            <w14:solidFill>
              <w14:schemeClr w14:val="tx1"/>
            </w14:solidFill>
          </w14:textFill>
        </w:rPr>
      </w:pPr>
      <w:bookmarkStart w:id="375" w:name="_Hlk10538896"/>
      <w:r>
        <w:rPr>
          <w:rFonts w:hint="eastAsia" w:ascii="宋体" w:hAnsi="宋体"/>
          <w:color w:val="000000" w:themeColor="text1"/>
          <w:szCs w:val="21"/>
          <w14:textFill>
            <w14:solidFill>
              <w14:schemeClr w14:val="tx1"/>
            </w14:solidFill>
          </w14:textFill>
        </w:rPr>
        <w:t>公允价值变动收益</w:t>
      </w:r>
    </w:p>
    <w:sdt>
      <w:sdtPr>
        <w:rPr>
          <w:color w:val="000000" w:themeColor="text1"/>
          <w14:textFill>
            <w14:solidFill>
              <w14:schemeClr w14:val="tx1"/>
            </w14:solidFill>
          </w14:textFill>
        </w:rPr>
        <w:alias w:val="是否适用：公允价值变动收益[双击切换]"/>
        <w:tag w:val="_GBC_21669fdeb74c4273a55facece1a56109"/>
        <w:id w:val="773210381"/>
        <w:placeholder>
          <w:docPart w:val="GBC22222222222222222222222222222"/>
        </w:placeholder>
      </w:sdtPr>
      <w:sdtEndPr>
        <w:rPr>
          <w:color w:val="000000" w:themeColor="text1"/>
          <w14:textFill>
            <w14:solidFill>
              <w14:schemeClr w14:val="tx1"/>
            </w14:solidFill>
          </w14:textFill>
        </w:rPr>
      </w:sdtEndPr>
      <w:sdtContent>
        <w:p w14:paraId="6130F55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70A935E">
      <w:pPr>
        <w:rPr>
          <w:color w:val="000000" w:themeColor="text1"/>
          <w14:textFill>
            <w14:solidFill>
              <w14:schemeClr w14:val="tx1"/>
            </w14:solidFill>
          </w14:textFill>
        </w:rPr>
      </w:pPr>
    </w:p>
    <w:bookmarkEnd w:id="375"/>
    <w:p w14:paraId="1BC45F9B">
      <w:pPr>
        <w:rPr>
          <w:color w:val="000000" w:themeColor="text1"/>
          <w14:textFill>
            <w14:solidFill>
              <w14:schemeClr w14:val="tx1"/>
            </w14:solidFill>
          </w14:textFill>
        </w:rPr>
      </w:pPr>
    </w:p>
    <w:p w14:paraId="57948AB5">
      <w:pPr>
        <w:pStyle w:val="4"/>
        <w:numPr>
          <w:ilvl w:val="0"/>
          <w:numId w:val="53"/>
        </w:numPr>
        <w:tabs>
          <w:tab w:val="left" w:pos="504"/>
        </w:tabs>
        <w:rPr>
          <w:color w:val="000000" w:themeColor="text1"/>
          <w14:textFill>
            <w14:solidFill>
              <w14:schemeClr w14:val="tx1"/>
            </w14:solidFill>
          </w14:textFill>
        </w:rPr>
      </w:pPr>
      <w:bookmarkStart w:id="376" w:name="_Hlk167969990"/>
      <w:r>
        <w:rPr>
          <w:rFonts w:hint="eastAsia"/>
          <w:color w:val="000000" w:themeColor="text1"/>
          <w14:textFill>
            <w14:solidFill>
              <w14:schemeClr w14:val="tx1"/>
            </w14:solidFill>
          </w14:textFill>
        </w:rPr>
        <w:t>信用减值损失</w:t>
      </w:r>
    </w:p>
    <w:sdt>
      <w:sdtPr>
        <w:rPr>
          <w:color w:val="000000" w:themeColor="text1"/>
          <w14:textFill>
            <w14:solidFill>
              <w14:schemeClr w14:val="tx1"/>
            </w14:solidFill>
          </w14:textFill>
        </w:rPr>
        <w:alias w:val="是否适用：信用减值损失[双击切换]"/>
        <w:tag w:val="_GBC_7f51453d7f2c4601a61d6f9899836b88"/>
        <w:id w:val="118578745"/>
        <w:placeholder>
          <w:docPart w:val="GBC22222222222222222222222222222"/>
        </w:placeholder>
      </w:sdtPr>
      <w:sdtEndPr>
        <w:rPr>
          <w:color w:val="000000" w:themeColor="text1"/>
          <w14:textFill>
            <w14:solidFill>
              <w14:schemeClr w14:val="tx1"/>
            </w14:solidFill>
          </w14:textFill>
        </w:rPr>
      </w:sdtEndPr>
      <w:sdtContent>
        <w:p w14:paraId="789A33F1">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F24533F"/>
    <w:p w14:paraId="32E7E825">
      <w:pPr>
        <w:rPr>
          <w:color w:val="000000" w:themeColor="text1"/>
          <w14:textFill>
            <w14:solidFill>
              <w14:schemeClr w14:val="tx1"/>
            </w14:solidFill>
          </w14:textFill>
        </w:rPr>
      </w:pPr>
    </w:p>
    <w:p w14:paraId="05C1AA83">
      <w:pPr>
        <w:rPr>
          <w:color w:val="000000" w:themeColor="text1"/>
          <w14:textFill>
            <w14:solidFill>
              <w14:schemeClr w14:val="tx1"/>
            </w14:solidFill>
          </w14:textFill>
        </w:rPr>
      </w:pPr>
    </w:p>
    <w:bookmarkEnd w:id="376"/>
    <w:p w14:paraId="71B7199C">
      <w:pPr>
        <w:pStyle w:val="4"/>
        <w:numPr>
          <w:ilvl w:val="0"/>
          <w:numId w:val="53"/>
        </w:numPr>
        <w:tabs>
          <w:tab w:val="left" w:pos="504"/>
        </w:tabs>
        <w:rPr>
          <w:rFonts w:hint="eastAsia" w:ascii="宋体" w:hAnsi="宋体"/>
          <w:color w:val="000000" w:themeColor="text1"/>
          <w:szCs w:val="21"/>
          <w14:textFill>
            <w14:solidFill>
              <w14:schemeClr w14:val="tx1"/>
            </w14:solidFill>
          </w14:textFill>
        </w:rPr>
      </w:pPr>
      <w:bookmarkStart w:id="377" w:name="_Hlk167970079"/>
      <w:r>
        <w:rPr>
          <w:rFonts w:hint="eastAsia" w:ascii="宋体" w:hAnsi="宋体"/>
          <w:color w:val="000000" w:themeColor="text1"/>
          <w:szCs w:val="21"/>
          <w14:textFill>
            <w14:solidFill>
              <w14:schemeClr w14:val="tx1"/>
            </w14:solidFill>
          </w14:textFill>
        </w:rPr>
        <w:t>资产减值</w:t>
      </w:r>
      <w:r>
        <w:rPr>
          <w:rFonts w:hint="eastAsia" w:ascii="宋体" w:hAnsi="宋体" w:cs="宋体"/>
          <w:color w:val="000000" w:themeColor="text1"/>
          <w:kern w:val="0"/>
          <w:szCs w:val="24"/>
          <w14:textFill>
            <w14:solidFill>
              <w14:schemeClr w14:val="tx1"/>
            </w14:solidFill>
          </w14:textFill>
        </w:rPr>
        <w:t>损失</w:t>
      </w:r>
    </w:p>
    <w:sdt>
      <w:sdtPr>
        <w:rPr>
          <w:color w:val="000000" w:themeColor="text1"/>
          <w14:textFill>
            <w14:solidFill>
              <w14:schemeClr w14:val="tx1"/>
            </w14:solidFill>
          </w14:textFill>
        </w:rPr>
        <w:alias w:val="是否适用：资产减值损失[双击切换]"/>
        <w:tag w:val="_GBC_d729834ad00147fc807d3aad7ca8698d"/>
        <w:id w:val="-602339472"/>
        <w:placeholder>
          <w:docPart w:val="GBC22222222222222222222222222222"/>
        </w:placeholder>
      </w:sdtPr>
      <w:sdtEndPr>
        <w:rPr>
          <w:color w:val="000000" w:themeColor="text1"/>
          <w14:textFill>
            <w14:solidFill>
              <w14:schemeClr w14:val="tx1"/>
            </w14:solidFill>
          </w14:textFill>
        </w:rPr>
      </w:sdtEndPr>
      <w:sdtContent>
        <w:p w14:paraId="185E747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E3D1C80">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资产减值损失"/>
          <w:tag w:val="_GBC_5d74a968092c4c99a3fdb43c04a992ef"/>
          <w:id w:val="-1710552472"/>
          <w:placeholder>
            <w:docPart w:val="BEAC0488BF174F79840A0BC29F3B06E0"/>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资产减值损失"/>
          <w:tag w:val="_GBC_9cac437936ec413c943d5e1475abfd21"/>
          <w:id w:val="-2035798853"/>
          <w:placeholder>
            <w:docPart w:val="BEAC0488BF174F79840A0BC29F3B06E0"/>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4"/>
        <w:gridCol w:w="2509"/>
        <w:gridCol w:w="3000"/>
      </w:tblGrid>
      <w:tr w14:paraId="40C8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3f6f45e6360d44d4b7b42549a3560832"/>
            <w:id w:val="1082874706"/>
          </w:sdtPr>
          <w:sdtContent>
            <w:tc>
              <w:tcPr>
                <w:tcW w:w="1878" w:type="pct"/>
                <w:tcBorders>
                  <w:top w:val="single" w:color="auto" w:sz="4" w:space="0"/>
                  <w:left w:val="single" w:color="auto" w:sz="4" w:space="0"/>
                  <w:bottom w:val="single" w:color="auto" w:sz="4" w:space="0"/>
                  <w:right w:val="single" w:color="auto" w:sz="4" w:space="0"/>
                </w:tcBorders>
                <w:vAlign w:val="center"/>
              </w:tcPr>
              <w:p w14:paraId="597B0CC7">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3f2aa2c829b6428e99a0c7c8da36e428"/>
            <w:id w:val="-1089693642"/>
          </w:sdtPr>
          <w:sdtContent>
            <w:tc>
              <w:tcPr>
                <w:tcW w:w="1422" w:type="pct"/>
                <w:tcBorders>
                  <w:top w:val="single" w:color="auto" w:sz="4" w:space="0"/>
                  <w:left w:val="single" w:color="auto" w:sz="4" w:space="0"/>
                  <w:bottom w:val="single" w:color="auto" w:sz="4" w:space="0"/>
                  <w:right w:val="single" w:color="auto" w:sz="4" w:space="0"/>
                </w:tcBorders>
                <w:vAlign w:val="center"/>
              </w:tcPr>
              <w:p w14:paraId="60A6038F">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071b09715e3b43be922c6fbde3b45eb6"/>
            <w:id w:val="-1168550124"/>
          </w:sdtPr>
          <w:sdtContent>
            <w:tc>
              <w:tcPr>
                <w:tcW w:w="1700" w:type="pct"/>
                <w:tcBorders>
                  <w:top w:val="single" w:color="auto" w:sz="4" w:space="0"/>
                  <w:left w:val="single" w:color="auto" w:sz="4" w:space="0"/>
                  <w:bottom w:val="single" w:color="auto" w:sz="4" w:space="0"/>
                  <w:right w:val="single" w:color="auto" w:sz="4" w:space="0"/>
                </w:tcBorders>
                <w:vAlign w:val="center"/>
              </w:tcPr>
              <w:p w14:paraId="5BE379E9">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0063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pct"/>
            <w:tcBorders>
              <w:top w:val="single" w:color="auto" w:sz="4" w:space="0"/>
              <w:left w:val="single" w:color="auto" w:sz="4" w:space="0"/>
              <w:bottom w:val="single" w:color="auto" w:sz="4" w:space="0"/>
              <w:right w:val="single" w:color="auto" w:sz="4" w:space="0"/>
            </w:tcBorders>
          </w:tcPr>
          <w:p w14:paraId="729CD7E5">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一、坏账损失</w:t>
            </w:r>
          </w:p>
        </w:tc>
        <w:tc>
          <w:tcPr>
            <w:tcW w:w="1422" w:type="pct"/>
            <w:tcBorders>
              <w:top w:val="single" w:color="auto" w:sz="4" w:space="0"/>
              <w:left w:val="single" w:color="auto" w:sz="4" w:space="0"/>
              <w:bottom w:val="single" w:color="auto" w:sz="4" w:space="0"/>
              <w:right w:val="single" w:color="auto" w:sz="4" w:space="0"/>
            </w:tcBorders>
          </w:tcPr>
          <w:p w14:paraId="06134EF3">
            <w:pPr>
              <w:jc w:val="right"/>
            </w:pPr>
            <w:r>
              <w:t>4,724,243.03</w:t>
            </w:r>
          </w:p>
        </w:tc>
        <w:tc>
          <w:tcPr>
            <w:tcW w:w="1700" w:type="pct"/>
            <w:tcBorders>
              <w:top w:val="single" w:color="auto" w:sz="4" w:space="0"/>
              <w:left w:val="single" w:color="auto" w:sz="4" w:space="0"/>
              <w:bottom w:val="single" w:color="auto" w:sz="4" w:space="0"/>
              <w:right w:val="single" w:color="auto" w:sz="4" w:space="0"/>
            </w:tcBorders>
          </w:tcPr>
          <w:p w14:paraId="2DC88357">
            <w:pPr>
              <w:jc w:val="right"/>
            </w:pPr>
            <w:r>
              <w:t>732,363.74</w:t>
            </w:r>
          </w:p>
        </w:tc>
      </w:tr>
      <w:tr w14:paraId="785C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pct"/>
            <w:tcBorders>
              <w:top w:val="single" w:color="auto" w:sz="4" w:space="0"/>
              <w:left w:val="single" w:color="auto" w:sz="4" w:space="0"/>
              <w:bottom w:val="single" w:color="auto" w:sz="4" w:space="0"/>
              <w:right w:val="single" w:color="auto" w:sz="4" w:space="0"/>
            </w:tcBorders>
          </w:tcPr>
          <w:p w14:paraId="00E1F5AC">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二、存货跌价损失及合同履约成本减值损失</w:t>
            </w:r>
          </w:p>
        </w:tc>
        <w:tc>
          <w:tcPr>
            <w:tcW w:w="1422" w:type="pct"/>
            <w:tcBorders>
              <w:top w:val="single" w:color="auto" w:sz="4" w:space="0"/>
              <w:left w:val="single" w:color="auto" w:sz="4" w:space="0"/>
              <w:bottom w:val="single" w:color="auto" w:sz="4" w:space="0"/>
              <w:right w:val="single" w:color="auto" w:sz="4" w:space="0"/>
            </w:tcBorders>
          </w:tcPr>
          <w:p w14:paraId="779A708B">
            <w:pPr>
              <w:jc w:val="right"/>
            </w:pPr>
            <w:r>
              <w:t>-378,314.43</w:t>
            </w:r>
          </w:p>
        </w:tc>
        <w:tc>
          <w:tcPr>
            <w:tcW w:w="1700" w:type="pct"/>
            <w:tcBorders>
              <w:top w:val="single" w:color="auto" w:sz="4" w:space="0"/>
              <w:left w:val="single" w:color="auto" w:sz="4" w:space="0"/>
              <w:bottom w:val="single" w:color="auto" w:sz="4" w:space="0"/>
              <w:right w:val="single" w:color="auto" w:sz="4" w:space="0"/>
            </w:tcBorders>
          </w:tcPr>
          <w:p w14:paraId="7ADC8163">
            <w:pPr>
              <w:jc w:val="right"/>
            </w:pPr>
          </w:p>
        </w:tc>
      </w:tr>
      <w:tr w14:paraId="03B4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pct"/>
            <w:tcBorders>
              <w:top w:val="single" w:color="auto" w:sz="4" w:space="0"/>
              <w:left w:val="single" w:color="auto" w:sz="4" w:space="0"/>
              <w:bottom w:val="single" w:color="auto" w:sz="4" w:space="0"/>
              <w:right w:val="single" w:color="auto" w:sz="4" w:space="0"/>
            </w:tcBorders>
          </w:tcPr>
          <w:p w14:paraId="14726B7A">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三、长期股权投资减值损失</w:t>
            </w:r>
          </w:p>
        </w:tc>
        <w:tc>
          <w:tcPr>
            <w:tcW w:w="1422" w:type="pct"/>
            <w:tcBorders>
              <w:top w:val="single" w:color="auto" w:sz="4" w:space="0"/>
              <w:left w:val="single" w:color="auto" w:sz="4" w:space="0"/>
              <w:bottom w:val="single" w:color="auto" w:sz="4" w:space="0"/>
              <w:right w:val="single" w:color="auto" w:sz="4" w:space="0"/>
            </w:tcBorders>
          </w:tcPr>
          <w:p w14:paraId="0491F493">
            <w:pPr>
              <w:autoSpaceDE w:val="0"/>
              <w:autoSpaceDN w:val="0"/>
              <w:adjustRightInd w:val="0"/>
              <w:jc w:val="right"/>
            </w:pPr>
          </w:p>
        </w:tc>
        <w:tc>
          <w:tcPr>
            <w:tcW w:w="1700" w:type="pct"/>
            <w:tcBorders>
              <w:top w:val="single" w:color="auto" w:sz="4" w:space="0"/>
              <w:left w:val="single" w:color="auto" w:sz="4" w:space="0"/>
              <w:bottom w:val="single" w:color="auto" w:sz="4" w:space="0"/>
              <w:right w:val="single" w:color="auto" w:sz="4" w:space="0"/>
            </w:tcBorders>
          </w:tcPr>
          <w:p w14:paraId="6E60694A">
            <w:pPr>
              <w:autoSpaceDE w:val="0"/>
              <w:autoSpaceDN w:val="0"/>
              <w:adjustRightInd w:val="0"/>
              <w:jc w:val="right"/>
            </w:pPr>
          </w:p>
        </w:tc>
      </w:tr>
      <w:tr w14:paraId="4301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pct"/>
            <w:tcBorders>
              <w:top w:val="single" w:color="auto" w:sz="4" w:space="0"/>
              <w:left w:val="single" w:color="auto" w:sz="4" w:space="0"/>
              <w:bottom w:val="single" w:color="auto" w:sz="4" w:space="0"/>
              <w:right w:val="single" w:color="auto" w:sz="4" w:space="0"/>
            </w:tcBorders>
          </w:tcPr>
          <w:p w14:paraId="34A5A769">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四、投资性房地产减值损失</w:t>
            </w:r>
          </w:p>
        </w:tc>
        <w:tc>
          <w:tcPr>
            <w:tcW w:w="1422" w:type="pct"/>
            <w:tcBorders>
              <w:top w:val="single" w:color="auto" w:sz="4" w:space="0"/>
              <w:left w:val="single" w:color="auto" w:sz="4" w:space="0"/>
              <w:bottom w:val="single" w:color="auto" w:sz="4" w:space="0"/>
              <w:right w:val="single" w:color="auto" w:sz="4" w:space="0"/>
            </w:tcBorders>
          </w:tcPr>
          <w:p w14:paraId="52144A0D">
            <w:pPr>
              <w:jc w:val="right"/>
            </w:pPr>
          </w:p>
        </w:tc>
        <w:tc>
          <w:tcPr>
            <w:tcW w:w="1700" w:type="pct"/>
            <w:tcBorders>
              <w:top w:val="single" w:color="auto" w:sz="4" w:space="0"/>
              <w:left w:val="single" w:color="auto" w:sz="4" w:space="0"/>
              <w:bottom w:val="single" w:color="auto" w:sz="4" w:space="0"/>
              <w:right w:val="single" w:color="auto" w:sz="4" w:space="0"/>
            </w:tcBorders>
          </w:tcPr>
          <w:p w14:paraId="6F69A591">
            <w:pPr>
              <w:jc w:val="right"/>
            </w:pPr>
          </w:p>
        </w:tc>
      </w:tr>
      <w:tr w14:paraId="6AED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pct"/>
            <w:tcBorders>
              <w:top w:val="single" w:color="auto" w:sz="4" w:space="0"/>
              <w:left w:val="single" w:color="auto" w:sz="4" w:space="0"/>
              <w:bottom w:val="single" w:color="auto" w:sz="4" w:space="0"/>
              <w:right w:val="single" w:color="auto" w:sz="4" w:space="0"/>
            </w:tcBorders>
          </w:tcPr>
          <w:p w14:paraId="321D4935">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五、固定资产减值损失</w:t>
            </w:r>
          </w:p>
        </w:tc>
        <w:tc>
          <w:tcPr>
            <w:tcW w:w="1422" w:type="pct"/>
            <w:tcBorders>
              <w:top w:val="single" w:color="auto" w:sz="4" w:space="0"/>
              <w:left w:val="single" w:color="auto" w:sz="4" w:space="0"/>
              <w:bottom w:val="single" w:color="auto" w:sz="4" w:space="0"/>
              <w:right w:val="single" w:color="auto" w:sz="4" w:space="0"/>
            </w:tcBorders>
          </w:tcPr>
          <w:p w14:paraId="288E4BD3">
            <w:pPr>
              <w:jc w:val="right"/>
            </w:pPr>
          </w:p>
        </w:tc>
        <w:tc>
          <w:tcPr>
            <w:tcW w:w="1700" w:type="pct"/>
            <w:tcBorders>
              <w:top w:val="single" w:color="auto" w:sz="4" w:space="0"/>
              <w:left w:val="single" w:color="auto" w:sz="4" w:space="0"/>
              <w:bottom w:val="single" w:color="auto" w:sz="4" w:space="0"/>
              <w:right w:val="single" w:color="auto" w:sz="4" w:space="0"/>
            </w:tcBorders>
          </w:tcPr>
          <w:p w14:paraId="75FFA1C2">
            <w:pPr>
              <w:jc w:val="right"/>
            </w:pPr>
          </w:p>
        </w:tc>
      </w:tr>
      <w:tr w14:paraId="05EB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pct"/>
            <w:tcBorders>
              <w:top w:val="single" w:color="auto" w:sz="4" w:space="0"/>
              <w:left w:val="single" w:color="auto" w:sz="4" w:space="0"/>
              <w:bottom w:val="single" w:color="auto" w:sz="4" w:space="0"/>
              <w:right w:val="single" w:color="auto" w:sz="4" w:space="0"/>
            </w:tcBorders>
          </w:tcPr>
          <w:p w14:paraId="3751B083">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六、工程物资减值损失</w:t>
            </w:r>
          </w:p>
        </w:tc>
        <w:tc>
          <w:tcPr>
            <w:tcW w:w="1422" w:type="pct"/>
            <w:tcBorders>
              <w:top w:val="single" w:color="auto" w:sz="4" w:space="0"/>
              <w:left w:val="single" w:color="auto" w:sz="4" w:space="0"/>
              <w:bottom w:val="single" w:color="auto" w:sz="4" w:space="0"/>
              <w:right w:val="single" w:color="auto" w:sz="4" w:space="0"/>
            </w:tcBorders>
          </w:tcPr>
          <w:p w14:paraId="53ED6655">
            <w:pPr>
              <w:jc w:val="right"/>
            </w:pPr>
          </w:p>
        </w:tc>
        <w:tc>
          <w:tcPr>
            <w:tcW w:w="1700" w:type="pct"/>
            <w:tcBorders>
              <w:top w:val="single" w:color="auto" w:sz="4" w:space="0"/>
              <w:left w:val="single" w:color="auto" w:sz="4" w:space="0"/>
              <w:bottom w:val="single" w:color="auto" w:sz="4" w:space="0"/>
              <w:right w:val="single" w:color="auto" w:sz="4" w:space="0"/>
            </w:tcBorders>
          </w:tcPr>
          <w:p w14:paraId="557BB56D">
            <w:pPr>
              <w:jc w:val="right"/>
            </w:pPr>
          </w:p>
        </w:tc>
      </w:tr>
      <w:tr w14:paraId="0BEE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pct"/>
            <w:tcBorders>
              <w:top w:val="single" w:color="auto" w:sz="4" w:space="0"/>
              <w:left w:val="single" w:color="auto" w:sz="4" w:space="0"/>
              <w:bottom w:val="single" w:color="auto" w:sz="4" w:space="0"/>
              <w:right w:val="single" w:color="auto" w:sz="4" w:space="0"/>
            </w:tcBorders>
          </w:tcPr>
          <w:p w14:paraId="4922F6F6">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七、在建工程减值损失</w:t>
            </w:r>
          </w:p>
        </w:tc>
        <w:tc>
          <w:tcPr>
            <w:tcW w:w="1422" w:type="pct"/>
            <w:tcBorders>
              <w:top w:val="single" w:color="auto" w:sz="4" w:space="0"/>
              <w:left w:val="single" w:color="auto" w:sz="4" w:space="0"/>
              <w:bottom w:val="single" w:color="auto" w:sz="4" w:space="0"/>
              <w:right w:val="single" w:color="auto" w:sz="4" w:space="0"/>
            </w:tcBorders>
          </w:tcPr>
          <w:p w14:paraId="5D691069">
            <w:pPr>
              <w:jc w:val="right"/>
            </w:pPr>
          </w:p>
        </w:tc>
        <w:tc>
          <w:tcPr>
            <w:tcW w:w="1700" w:type="pct"/>
            <w:tcBorders>
              <w:top w:val="single" w:color="auto" w:sz="4" w:space="0"/>
              <w:left w:val="single" w:color="auto" w:sz="4" w:space="0"/>
              <w:bottom w:val="single" w:color="auto" w:sz="4" w:space="0"/>
              <w:right w:val="single" w:color="auto" w:sz="4" w:space="0"/>
            </w:tcBorders>
          </w:tcPr>
          <w:p w14:paraId="22A76C34">
            <w:pPr>
              <w:jc w:val="right"/>
            </w:pPr>
          </w:p>
        </w:tc>
      </w:tr>
      <w:tr w14:paraId="27AA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pct"/>
            <w:tcBorders>
              <w:top w:val="single" w:color="auto" w:sz="4" w:space="0"/>
              <w:left w:val="single" w:color="auto" w:sz="4" w:space="0"/>
              <w:bottom w:val="single" w:color="auto" w:sz="4" w:space="0"/>
              <w:right w:val="single" w:color="auto" w:sz="4" w:space="0"/>
            </w:tcBorders>
          </w:tcPr>
          <w:p w14:paraId="656700A8">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八、生产性生物资产减值损失</w:t>
            </w:r>
          </w:p>
        </w:tc>
        <w:tc>
          <w:tcPr>
            <w:tcW w:w="1422" w:type="pct"/>
            <w:tcBorders>
              <w:top w:val="single" w:color="auto" w:sz="4" w:space="0"/>
              <w:left w:val="single" w:color="auto" w:sz="4" w:space="0"/>
              <w:bottom w:val="single" w:color="auto" w:sz="4" w:space="0"/>
              <w:right w:val="single" w:color="auto" w:sz="4" w:space="0"/>
            </w:tcBorders>
          </w:tcPr>
          <w:p w14:paraId="3B911A5A">
            <w:pPr>
              <w:jc w:val="right"/>
            </w:pPr>
          </w:p>
        </w:tc>
        <w:tc>
          <w:tcPr>
            <w:tcW w:w="1700" w:type="pct"/>
            <w:tcBorders>
              <w:top w:val="single" w:color="auto" w:sz="4" w:space="0"/>
              <w:left w:val="single" w:color="auto" w:sz="4" w:space="0"/>
              <w:bottom w:val="single" w:color="auto" w:sz="4" w:space="0"/>
              <w:right w:val="single" w:color="auto" w:sz="4" w:space="0"/>
            </w:tcBorders>
          </w:tcPr>
          <w:p w14:paraId="48ACC90F">
            <w:pPr>
              <w:jc w:val="right"/>
            </w:pPr>
          </w:p>
        </w:tc>
      </w:tr>
      <w:tr w14:paraId="1980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pct"/>
            <w:tcBorders>
              <w:top w:val="single" w:color="auto" w:sz="4" w:space="0"/>
              <w:left w:val="single" w:color="auto" w:sz="4" w:space="0"/>
              <w:bottom w:val="single" w:color="auto" w:sz="4" w:space="0"/>
              <w:right w:val="single" w:color="auto" w:sz="4" w:space="0"/>
            </w:tcBorders>
          </w:tcPr>
          <w:p w14:paraId="44AF0AAD">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九、油气资产减值损失</w:t>
            </w:r>
          </w:p>
        </w:tc>
        <w:tc>
          <w:tcPr>
            <w:tcW w:w="1422" w:type="pct"/>
            <w:tcBorders>
              <w:top w:val="single" w:color="auto" w:sz="4" w:space="0"/>
              <w:left w:val="single" w:color="auto" w:sz="4" w:space="0"/>
              <w:bottom w:val="single" w:color="auto" w:sz="4" w:space="0"/>
              <w:right w:val="single" w:color="auto" w:sz="4" w:space="0"/>
            </w:tcBorders>
          </w:tcPr>
          <w:p w14:paraId="0A395FB3">
            <w:pPr>
              <w:jc w:val="right"/>
            </w:pPr>
          </w:p>
        </w:tc>
        <w:tc>
          <w:tcPr>
            <w:tcW w:w="1700" w:type="pct"/>
            <w:tcBorders>
              <w:top w:val="single" w:color="auto" w:sz="4" w:space="0"/>
              <w:left w:val="single" w:color="auto" w:sz="4" w:space="0"/>
              <w:bottom w:val="single" w:color="auto" w:sz="4" w:space="0"/>
              <w:right w:val="single" w:color="auto" w:sz="4" w:space="0"/>
            </w:tcBorders>
          </w:tcPr>
          <w:p w14:paraId="56190921">
            <w:pPr>
              <w:jc w:val="right"/>
            </w:pPr>
          </w:p>
        </w:tc>
      </w:tr>
      <w:tr w14:paraId="4233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pct"/>
            <w:tcBorders>
              <w:top w:val="single" w:color="auto" w:sz="4" w:space="0"/>
              <w:left w:val="single" w:color="auto" w:sz="4" w:space="0"/>
              <w:bottom w:val="single" w:color="auto" w:sz="4" w:space="0"/>
              <w:right w:val="single" w:color="auto" w:sz="4" w:space="0"/>
            </w:tcBorders>
          </w:tcPr>
          <w:p w14:paraId="60602EB4">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十、无形资产减值损失</w:t>
            </w:r>
          </w:p>
        </w:tc>
        <w:tc>
          <w:tcPr>
            <w:tcW w:w="1422" w:type="pct"/>
            <w:tcBorders>
              <w:top w:val="single" w:color="auto" w:sz="4" w:space="0"/>
              <w:left w:val="single" w:color="auto" w:sz="4" w:space="0"/>
              <w:bottom w:val="single" w:color="auto" w:sz="4" w:space="0"/>
              <w:right w:val="single" w:color="auto" w:sz="4" w:space="0"/>
            </w:tcBorders>
          </w:tcPr>
          <w:p w14:paraId="64ECA21B">
            <w:pPr>
              <w:jc w:val="right"/>
            </w:pPr>
          </w:p>
        </w:tc>
        <w:tc>
          <w:tcPr>
            <w:tcW w:w="1700" w:type="pct"/>
            <w:tcBorders>
              <w:top w:val="single" w:color="auto" w:sz="4" w:space="0"/>
              <w:left w:val="single" w:color="auto" w:sz="4" w:space="0"/>
              <w:bottom w:val="single" w:color="auto" w:sz="4" w:space="0"/>
              <w:right w:val="single" w:color="auto" w:sz="4" w:space="0"/>
            </w:tcBorders>
          </w:tcPr>
          <w:p w14:paraId="6513C32B">
            <w:pPr>
              <w:jc w:val="right"/>
            </w:pPr>
          </w:p>
        </w:tc>
      </w:tr>
      <w:tr w14:paraId="24FC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pct"/>
            <w:tcBorders>
              <w:top w:val="single" w:color="auto" w:sz="4" w:space="0"/>
              <w:left w:val="single" w:color="auto" w:sz="4" w:space="0"/>
              <w:bottom w:val="single" w:color="auto" w:sz="4" w:space="0"/>
              <w:right w:val="single" w:color="auto" w:sz="4" w:space="0"/>
            </w:tcBorders>
          </w:tcPr>
          <w:p w14:paraId="409B0512">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十一、商誉减值损失</w:t>
            </w:r>
          </w:p>
        </w:tc>
        <w:tc>
          <w:tcPr>
            <w:tcW w:w="1422" w:type="pct"/>
            <w:tcBorders>
              <w:top w:val="single" w:color="auto" w:sz="4" w:space="0"/>
              <w:left w:val="single" w:color="auto" w:sz="4" w:space="0"/>
              <w:bottom w:val="single" w:color="auto" w:sz="4" w:space="0"/>
              <w:right w:val="single" w:color="auto" w:sz="4" w:space="0"/>
            </w:tcBorders>
          </w:tcPr>
          <w:p w14:paraId="161E6360">
            <w:pPr>
              <w:jc w:val="right"/>
            </w:pPr>
          </w:p>
        </w:tc>
        <w:tc>
          <w:tcPr>
            <w:tcW w:w="1700" w:type="pct"/>
            <w:tcBorders>
              <w:top w:val="single" w:color="auto" w:sz="4" w:space="0"/>
              <w:left w:val="single" w:color="auto" w:sz="4" w:space="0"/>
              <w:bottom w:val="single" w:color="auto" w:sz="4" w:space="0"/>
              <w:right w:val="single" w:color="auto" w:sz="4" w:space="0"/>
            </w:tcBorders>
          </w:tcPr>
          <w:p w14:paraId="26D71991">
            <w:pPr>
              <w:jc w:val="right"/>
            </w:pPr>
          </w:p>
        </w:tc>
      </w:tr>
      <w:tr w14:paraId="468A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pct"/>
            <w:tcBorders>
              <w:top w:val="single" w:color="auto" w:sz="4" w:space="0"/>
              <w:left w:val="single" w:color="auto" w:sz="4" w:space="0"/>
              <w:bottom w:val="single" w:color="auto" w:sz="4" w:space="0"/>
              <w:right w:val="single" w:color="auto" w:sz="4" w:space="0"/>
            </w:tcBorders>
          </w:tcPr>
          <w:p w14:paraId="0884E6B8">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十二、其他</w:t>
            </w:r>
          </w:p>
        </w:tc>
        <w:tc>
          <w:tcPr>
            <w:tcW w:w="1422" w:type="pct"/>
            <w:tcBorders>
              <w:top w:val="single" w:color="auto" w:sz="4" w:space="0"/>
              <w:left w:val="single" w:color="auto" w:sz="4" w:space="0"/>
              <w:bottom w:val="single" w:color="auto" w:sz="4" w:space="0"/>
              <w:right w:val="single" w:color="auto" w:sz="4" w:space="0"/>
            </w:tcBorders>
          </w:tcPr>
          <w:p w14:paraId="6D93DF68">
            <w:pPr>
              <w:jc w:val="right"/>
            </w:pPr>
          </w:p>
        </w:tc>
        <w:tc>
          <w:tcPr>
            <w:tcW w:w="1700" w:type="pct"/>
            <w:tcBorders>
              <w:top w:val="single" w:color="auto" w:sz="4" w:space="0"/>
              <w:left w:val="single" w:color="auto" w:sz="4" w:space="0"/>
              <w:bottom w:val="single" w:color="auto" w:sz="4" w:space="0"/>
              <w:right w:val="single" w:color="auto" w:sz="4" w:space="0"/>
            </w:tcBorders>
          </w:tcPr>
          <w:p w14:paraId="5CEE8C52">
            <w:pPr>
              <w:jc w:val="right"/>
            </w:pPr>
          </w:p>
        </w:tc>
      </w:tr>
      <w:tr w14:paraId="2E13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pct"/>
            <w:tcBorders>
              <w:top w:val="single" w:color="auto" w:sz="4" w:space="0"/>
              <w:left w:val="single" w:color="auto" w:sz="4" w:space="0"/>
              <w:bottom w:val="single" w:color="auto" w:sz="4" w:space="0"/>
              <w:right w:val="single" w:color="auto" w:sz="4" w:space="0"/>
            </w:tcBorders>
          </w:tcPr>
          <w:p w14:paraId="5629151C">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422" w:type="pct"/>
            <w:tcBorders>
              <w:top w:val="single" w:color="auto" w:sz="4" w:space="0"/>
              <w:left w:val="single" w:color="auto" w:sz="4" w:space="0"/>
              <w:bottom w:val="single" w:color="auto" w:sz="4" w:space="0"/>
              <w:right w:val="single" w:color="auto" w:sz="4" w:space="0"/>
            </w:tcBorders>
          </w:tcPr>
          <w:p w14:paraId="011BA72C">
            <w:pPr>
              <w:jc w:val="right"/>
            </w:pPr>
            <w:r>
              <w:t>4,345,928.60</w:t>
            </w:r>
          </w:p>
        </w:tc>
        <w:tc>
          <w:tcPr>
            <w:tcW w:w="1700" w:type="pct"/>
            <w:tcBorders>
              <w:top w:val="single" w:color="auto" w:sz="4" w:space="0"/>
              <w:left w:val="single" w:color="auto" w:sz="4" w:space="0"/>
              <w:bottom w:val="single" w:color="auto" w:sz="4" w:space="0"/>
              <w:right w:val="single" w:color="auto" w:sz="4" w:space="0"/>
            </w:tcBorders>
          </w:tcPr>
          <w:p w14:paraId="1CE8E7DA">
            <w:pPr>
              <w:jc w:val="right"/>
            </w:pPr>
            <w:r>
              <w:t>732,363.74</w:t>
            </w:r>
          </w:p>
        </w:tc>
      </w:tr>
    </w:tbl>
    <w:p w14:paraId="371A9058">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资产减值损失的说明"/>
        <w:tag w:val="_GBC_72181df9e6ac4b4492c9dfa445964871"/>
        <w:id w:val="-578832820"/>
        <w:placeholder>
          <w:docPart w:val="BEAC0488BF174F79840A0BC29F3B06E0"/>
        </w:placeholder>
      </w:sdtPr>
      <w:sdtEndPr>
        <w:rPr>
          <w:color w:val="000000" w:themeColor="text1"/>
          <w14:textFill>
            <w14:solidFill>
              <w14:schemeClr w14:val="tx1"/>
            </w14:solidFill>
          </w14:textFill>
        </w:rPr>
      </w:sdtEndPr>
      <w:sdtContent>
        <w:p w14:paraId="11206084">
          <w:r>
            <w:rPr>
              <w:rFonts w:hint="eastAsia"/>
              <w:color w:val="000000" w:themeColor="text1"/>
              <w14:textFill>
                <w14:solidFill>
                  <w14:schemeClr w14:val="tx1"/>
                </w14:solidFill>
              </w14:textFill>
            </w:rPr>
            <w:t>无</w:t>
          </w:r>
        </w:p>
      </w:sdtContent>
    </w:sdt>
    <w:p w14:paraId="746FF2B4">
      <w:pPr>
        <w:rPr>
          <w:color w:val="000000" w:themeColor="text1"/>
          <w14:textFill>
            <w14:solidFill>
              <w14:schemeClr w14:val="tx1"/>
            </w14:solidFill>
          </w14:textFill>
        </w:rPr>
      </w:pPr>
    </w:p>
    <w:p w14:paraId="05BEEADD">
      <w:pPr>
        <w:rPr>
          <w:rFonts w:asciiTheme="minorHAnsi" w:hAnsiTheme="minorHAnsi" w:eastAsiaTheme="minorEastAsia"/>
          <w:color w:val="000000" w:themeColor="text1"/>
          <w:szCs w:val="22"/>
          <w14:textFill>
            <w14:solidFill>
              <w14:schemeClr w14:val="tx1"/>
            </w14:solidFill>
          </w14:textFill>
        </w:rPr>
      </w:pPr>
    </w:p>
    <w:bookmarkEnd w:id="377"/>
    <w:p w14:paraId="0844E35A">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资产处置收益</w:t>
      </w:r>
    </w:p>
    <w:sdt>
      <w:sdtPr>
        <w:rPr>
          <w:rFonts w:hint="eastAsia"/>
          <w:color w:val="000000" w:themeColor="text1"/>
          <w14:textFill>
            <w14:solidFill>
              <w14:schemeClr w14:val="tx1"/>
            </w14:solidFill>
          </w14:textFill>
        </w:rPr>
        <w:alias w:val="是否适用：资产处置收益[双击切换]"/>
        <w:tag w:val="_GBC_9e584d6f46c648d195946caa434a4619"/>
        <w:id w:val="-222914974"/>
        <w:placeholder>
          <w:docPart w:val="GBC22222222222222222222222222222"/>
        </w:placeholder>
      </w:sdtPr>
      <w:sdtEndPr>
        <w:rPr>
          <w:rFonts w:hint="eastAsia"/>
          <w:color w:val="000000" w:themeColor="text1"/>
          <w14:textFill>
            <w14:solidFill>
              <w14:schemeClr w14:val="tx1"/>
            </w14:solidFill>
          </w14:textFill>
        </w:rPr>
      </w:sdtEndPr>
      <w:sdtContent>
        <w:p w14:paraId="55D2969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7F12BE1">
      <w:pPr>
        <w:rPr>
          <w:color w:val="000000" w:themeColor="text1"/>
          <w14:textFill>
            <w14:solidFill>
              <w14:schemeClr w14:val="tx1"/>
            </w14:solidFill>
          </w14:textFill>
        </w:rPr>
      </w:pPr>
    </w:p>
    <w:p w14:paraId="5A2D37B2">
      <w:pPr>
        <w:rPr>
          <w:color w:val="000000" w:themeColor="text1"/>
          <w14:textFill>
            <w14:solidFill>
              <w14:schemeClr w14:val="tx1"/>
            </w14:solidFill>
          </w14:textFill>
        </w:rPr>
      </w:pPr>
    </w:p>
    <w:p w14:paraId="13BE8328">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营业外收入</w:t>
      </w:r>
    </w:p>
    <w:sdt>
      <w:sdtPr>
        <w:rPr>
          <w:rFonts w:hint="eastAsia" w:cstheme="minorBidi"/>
          <w:bCs w:val="0"/>
          <w:color w:val="000000" w:themeColor="text1"/>
          <w:szCs w:val="22"/>
          <w14:textFill>
            <w14:solidFill>
              <w14:schemeClr w14:val="tx1"/>
            </w14:solidFill>
          </w14:textFill>
        </w:rPr>
        <w:alias w:val="是否适用：营业外收入情况 [双击切换]"/>
        <w:tag w:val="_GBC_b6e9df1124844122abb2dde58392c605"/>
        <w:id w:val="970250381"/>
        <w:lock w:val="contentLocked"/>
        <w:placeholder>
          <w:docPart w:val="GBC22222222222222222222222222222"/>
        </w:placeholder>
      </w:sdtPr>
      <w:sdtEndPr>
        <w:rPr>
          <w:rFonts w:hint="eastAsia" w:cstheme="minorBidi"/>
          <w:bCs w:val="0"/>
          <w:color w:val="000000" w:themeColor="text1"/>
          <w:szCs w:val="22"/>
          <w14:textFill>
            <w14:solidFill>
              <w14:schemeClr w14:val="tx1"/>
            </w14:solidFill>
          </w14:textFill>
        </w:rPr>
      </w:sdtEndPr>
      <w:sdtContent>
        <w:p w14:paraId="0EBA40B1">
          <w:pPr>
            <w:rPr>
              <w:rFonts w:cstheme="minorBidi"/>
              <w:bCs w:val="0"/>
              <w:color w:val="000000" w:themeColor="text1"/>
              <w:szCs w:val="22"/>
              <w14:textFill>
                <w14:solidFill>
                  <w14:schemeClr w14:val="tx1"/>
                </w14:solidFill>
              </w14:textFill>
            </w:rPr>
          </w:pPr>
          <w:r>
            <w:rPr>
              <w:rFonts w:ascii="宋体" w:hAnsi="宋体" w:cstheme="minorBidi"/>
              <w:bCs w:val="0"/>
              <w:color w:val="000000" w:themeColor="text1"/>
              <w:szCs w:val="22"/>
              <w14:textFill>
                <w14:solidFill>
                  <w14:schemeClr w14:val="tx1"/>
                </w14:solidFill>
              </w14:textFill>
            </w:rPr>
            <w:fldChar w:fldCharType="begin"/>
          </w:r>
          <w:r>
            <w:rPr>
              <w:rFonts w:ascii="宋体" w:hAnsi="宋体" w:cstheme="minorBidi"/>
              <w:color w:val="000000" w:themeColor="text1"/>
              <w:szCs w:val="22"/>
              <w14:textFill>
                <w14:solidFill>
                  <w14:schemeClr w14:val="tx1"/>
                </w14:solidFill>
              </w14:textFill>
            </w:rPr>
            <w:instrText xml:space="preserve"> </w:instrText>
          </w:r>
          <w:r>
            <w:rPr>
              <w:rFonts w:hint="eastAsia" w:ascii="宋体" w:hAnsi="宋体" w:cstheme="minorBidi"/>
              <w:color w:val="000000" w:themeColor="text1"/>
              <w:szCs w:val="22"/>
              <w14:textFill>
                <w14:solidFill>
                  <w14:schemeClr w14:val="tx1"/>
                </w14:solidFill>
              </w14:textFill>
            </w:rPr>
            <w:instrText xml:space="preserve">MACROBUTTON  SnrToggleCheckbox √适用</w:instrText>
          </w:r>
          <w:r>
            <w:rPr>
              <w:rFonts w:ascii="宋体" w:hAnsi="宋体" w:cstheme="minorBidi"/>
              <w:color w:val="000000" w:themeColor="text1"/>
              <w:szCs w:val="22"/>
              <w14:textFill>
                <w14:solidFill>
                  <w14:schemeClr w14:val="tx1"/>
                </w14:solidFill>
              </w14:textFill>
            </w:rPr>
            <w:instrText xml:space="preserve"> </w:instrText>
          </w:r>
          <w:r>
            <w:rPr>
              <w:rFonts w:ascii="宋体" w:hAnsi="宋体" w:cstheme="minorBidi"/>
              <w:bCs w:val="0"/>
              <w:color w:val="000000" w:themeColor="text1"/>
              <w:szCs w:val="22"/>
              <w14:textFill>
                <w14:solidFill>
                  <w14:schemeClr w14:val="tx1"/>
                </w14:solidFill>
              </w14:textFill>
            </w:rPr>
            <w:fldChar w:fldCharType="end"/>
          </w:r>
          <w:r>
            <w:rPr>
              <w:rFonts w:ascii="宋体" w:hAnsi="宋体" w:cstheme="minorBidi"/>
              <w:bCs w:val="0"/>
              <w:color w:val="000000" w:themeColor="text1"/>
              <w:szCs w:val="22"/>
              <w14:textFill>
                <w14:solidFill>
                  <w14:schemeClr w14:val="tx1"/>
                </w14:solidFill>
              </w14:textFill>
            </w:rPr>
            <w:fldChar w:fldCharType="begin"/>
          </w:r>
          <w:r>
            <w:rPr>
              <w:rFonts w:ascii="宋体" w:hAnsi="宋体" w:cstheme="minorBidi"/>
              <w:color w:val="000000" w:themeColor="text1"/>
              <w:szCs w:val="22"/>
              <w14:textFill>
                <w14:solidFill>
                  <w14:schemeClr w14:val="tx1"/>
                </w14:solidFill>
              </w14:textFill>
            </w:rPr>
            <w:instrText xml:space="preserve"> MACROBUTTON  SnrToggleCheckbox □不适用 </w:instrText>
          </w:r>
          <w:r>
            <w:rPr>
              <w:rFonts w:ascii="宋体" w:hAnsi="宋体" w:cstheme="minorBidi"/>
              <w:bCs w:val="0"/>
              <w:color w:val="000000" w:themeColor="text1"/>
              <w:szCs w:val="22"/>
              <w14:textFill>
                <w14:solidFill>
                  <w14:schemeClr w14:val="tx1"/>
                </w14:solidFill>
              </w14:textFill>
            </w:rPr>
            <w:fldChar w:fldCharType="end"/>
          </w:r>
        </w:p>
      </w:sdtContent>
    </w:sdt>
    <w:p w14:paraId="1A5091C2">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营业外收入"/>
          <w:tag w:val="_GBC_dd93a692e0c045038f9ddf46f86e7289"/>
          <w:id w:val="2995101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营业外收入"/>
          <w:tag w:val="_GBC_598cac7504eb4ef39ddc19fb969bdd53"/>
          <w:id w:val="13130600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405" w:type="pct"/>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3"/>
        <w:gridCol w:w="2249"/>
        <w:gridCol w:w="2257"/>
        <w:gridCol w:w="2259"/>
      </w:tblGrid>
      <w:tr w14:paraId="1F60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d649e0d07dd047a497e69591bf3e322c"/>
            <w:id w:val="192270609"/>
          </w:sdtPr>
          <w:sdtContent>
            <w:tc>
              <w:tcPr>
                <w:tcW w:w="1454" w:type="pct"/>
                <w:tcBorders>
                  <w:top w:val="single" w:color="auto" w:sz="4" w:space="0"/>
                  <w:left w:val="single" w:color="auto" w:sz="4" w:space="0"/>
                  <w:bottom w:val="single" w:color="auto" w:sz="4" w:space="0"/>
                  <w:right w:val="single" w:color="auto" w:sz="4" w:space="0"/>
                </w:tcBorders>
                <w:vAlign w:val="center"/>
              </w:tcPr>
              <w:p w14:paraId="1FF46F95">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eabf358cb2c947a9b4e7bacb394074db"/>
            <w:id w:val="-775176362"/>
          </w:sdtPr>
          <w:sdtContent>
            <w:tc>
              <w:tcPr>
                <w:tcW w:w="1179" w:type="pct"/>
                <w:tcBorders>
                  <w:top w:val="single" w:color="auto" w:sz="4" w:space="0"/>
                  <w:left w:val="single" w:color="auto" w:sz="4" w:space="0"/>
                  <w:bottom w:val="single" w:color="auto" w:sz="4" w:space="0"/>
                  <w:right w:val="single" w:color="auto" w:sz="4" w:space="0"/>
                </w:tcBorders>
                <w:vAlign w:val="center"/>
              </w:tcPr>
              <w:p w14:paraId="7F697221">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0469d808d7334ff0ab3460273b0c8f8f"/>
            <w:id w:val="-1629928652"/>
          </w:sdtPr>
          <w:sdtContent>
            <w:tc>
              <w:tcPr>
                <w:tcW w:w="1183" w:type="pct"/>
                <w:tcBorders>
                  <w:top w:val="single" w:color="auto" w:sz="4" w:space="0"/>
                  <w:left w:val="single" w:color="auto" w:sz="4" w:space="0"/>
                  <w:bottom w:val="single" w:color="auto" w:sz="4" w:space="0"/>
                  <w:right w:val="single" w:color="auto" w:sz="4" w:space="0"/>
                </w:tcBorders>
                <w:vAlign w:val="center"/>
              </w:tcPr>
              <w:p w14:paraId="0B4C5560">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sdt>
          <w:sdtPr>
            <w:tag w:val="_PLD_121bda757dda46918753fabf9329298f"/>
            <w:id w:val="-2035404894"/>
          </w:sdtPr>
          <w:sdtContent>
            <w:tc>
              <w:tcPr>
                <w:tcW w:w="1184" w:type="pct"/>
                <w:tcBorders>
                  <w:top w:val="single" w:color="auto" w:sz="4" w:space="0"/>
                  <w:left w:val="single" w:color="auto" w:sz="4" w:space="0"/>
                  <w:bottom w:val="single" w:color="auto" w:sz="4" w:space="0"/>
                  <w:right w:val="single" w:color="auto" w:sz="4" w:space="0"/>
                </w:tcBorders>
                <w:vAlign w:val="center"/>
              </w:tcPr>
              <w:p w14:paraId="0A74013F">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计入当期非经常性损益的金额</w:t>
                </w:r>
              </w:p>
            </w:tc>
          </w:sdtContent>
        </w:sdt>
      </w:tr>
      <w:tr w14:paraId="1A97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4" w:type="pct"/>
            <w:tcBorders>
              <w:top w:val="single" w:color="auto" w:sz="4" w:space="0"/>
              <w:left w:val="single" w:color="auto" w:sz="4" w:space="0"/>
              <w:bottom w:val="single" w:color="auto" w:sz="4" w:space="0"/>
              <w:right w:val="single" w:color="auto" w:sz="4" w:space="0"/>
            </w:tcBorders>
          </w:tcPr>
          <w:p w14:paraId="52F3CE1B">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非流动资产处置利得合计</w:t>
            </w:r>
          </w:p>
        </w:tc>
        <w:tc>
          <w:tcPr>
            <w:tcW w:w="1179" w:type="pct"/>
            <w:tcBorders>
              <w:top w:val="single" w:color="auto" w:sz="4" w:space="0"/>
              <w:left w:val="single" w:color="auto" w:sz="4" w:space="0"/>
              <w:bottom w:val="single" w:color="auto" w:sz="4" w:space="0"/>
              <w:right w:val="single" w:color="auto" w:sz="4" w:space="0"/>
            </w:tcBorders>
          </w:tcPr>
          <w:p w14:paraId="6E36BB1F">
            <w:pPr>
              <w:jc w:val="right"/>
            </w:pPr>
            <w:r>
              <w:t>759,729.65</w:t>
            </w:r>
          </w:p>
        </w:tc>
        <w:tc>
          <w:tcPr>
            <w:tcW w:w="1183" w:type="pct"/>
            <w:tcBorders>
              <w:top w:val="single" w:color="auto" w:sz="4" w:space="0"/>
              <w:left w:val="single" w:color="auto" w:sz="4" w:space="0"/>
              <w:bottom w:val="single" w:color="auto" w:sz="4" w:space="0"/>
              <w:right w:val="single" w:color="auto" w:sz="4" w:space="0"/>
            </w:tcBorders>
          </w:tcPr>
          <w:p w14:paraId="44B581E2">
            <w:pPr>
              <w:jc w:val="right"/>
            </w:pPr>
            <w:r>
              <w:t>7,728.90</w:t>
            </w:r>
          </w:p>
        </w:tc>
        <w:tc>
          <w:tcPr>
            <w:tcW w:w="1184" w:type="pct"/>
            <w:tcBorders>
              <w:top w:val="single" w:color="auto" w:sz="4" w:space="0"/>
              <w:left w:val="single" w:color="auto" w:sz="4" w:space="0"/>
              <w:bottom w:val="single" w:color="auto" w:sz="4" w:space="0"/>
              <w:right w:val="single" w:color="auto" w:sz="4" w:space="0"/>
            </w:tcBorders>
          </w:tcPr>
          <w:p w14:paraId="02448B0E">
            <w:pPr>
              <w:autoSpaceDE w:val="0"/>
              <w:autoSpaceDN w:val="0"/>
              <w:adjustRightInd w:val="0"/>
              <w:jc w:val="right"/>
            </w:pPr>
            <w:r>
              <w:t>759,729.65</w:t>
            </w:r>
          </w:p>
        </w:tc>
      </w:tr>
      <w:tr w14:paraId="088F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4" w:type="pct"/>
            <w:tcBorders>
              <w:top w:val="single" w:color="auto" w:sz="4" w:space="0"/>
              <w:left w:val="single" w:color="auto" w:sz="4" w:space="0"/>
              <w:bottom w:val="single" w:color="auto" w:sz="4" w:space="0"/>
              <w:right w:val="single" w:color="auto" w:sz="4" w:space="0"/>
            </w:tcBorders>
          </w:tcPr>
          <w:p w14:paraId="3823D188">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其中：固定资产处置利得</w:t>
            </w:r>
          </w:p>
        </w:tc>
        <w:tc>
          <w:tcPr>
            <w:tcW w:w="1179" w:type="pct"/>
            <w:tcBorders>
              <w:top w:val="single" w:color="auto" w:sz="4" w:space="0"/>
              <w:left w:val="single" w:color="auto" w:sz="4" w:space="0"/>
              <w:bottom w:val="single" w:color="auto" w:sz="4" w:space="0"/>
              <w:right w:val="single" w:color="auto" w:sz="4" w:space="0"/>
            </w:tcBorders>
          </w:tcPr>
          <w:p w14:paraId="512A288B">
            <w:pPr>
              <w:jc w:val="right"/>
            </w:pPr>
            <w:r>
              <w:t>759,729.65</w:t>
            </w:r>
          </w:p>
        </w:tc>
        <w:tc>
          <w:tcPr>
            <w:tcW w:w="1183" w:type="pct"/>
            <w:tcBorders>
              <w:top w:val="single" w:color="auto" w:sz="4" w:space="0"/>
              <w:left w:val="single" w:color="auto" w:sz="4" w:space="0"/>
              <w:bottom w:val="single" w:color="auto" w:sz="4" w:space="0"/>
              <w:right w:val="single" w:color="auto" w:sz="4" w:space="0"/>
            </w:tcBorders>
          </w:tcPr>
          <w:p w14:paraId="59624A0A">
            <w:pPr>
              <w:jc w:val="right"/>
            </w:pPr>
            <w:r>
              <w:t>7,728.90</w:t>
            </w:r>
          </w:p>
        </w:tc>
        <w:tc>
          <w:tcPr>
            <w:tcW w:w="1184" w:type="pct"/>
            <w:tcBorders>
              <w:top w:val="single" w:color="auto" w:sz="4" w:space="0"/>
              <w:left w:val="single" w:color="auto" w:sz="4" w:space="0"/>
              <w:bottom w:val="single" w:color="auto" w:sz="4" w:space="0"/>
              <w:right w:val="single" w:color="auto" w:sz="4" w:space="0"/>
            </w:tcBorders>
          </w:tcPr>
          <w:p w14:paraId="2ABF50E7">
            <w:pPr>
              <w:autoSpaceDE w:val="0"/>
              <w:autoSpaceDN w:val="0"/>
              <w:adjustRightInd w:val="0"/>
              <w:jc w:val="right"/>
            </w:pPr>
            <w:r>
              <w:t>759,729.65</w:t>
            </w:r>
          </w:p>
        </w:tc>
      </w:tr>
      <w:tr w14:paraId="0BE0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4" w:type="pct"/>
            <w:tcBorders>
              <w:top w:val="single" w:color="auto" w:sz="4" w:space="0"/>
              <w:left w:val="single" w:color="auto" w:sz="4" w:space="0"/>
              <w:bottom w:val="single" w:color="auto" w:sz="4" w:space="0"/>
              <w:right w:val="single" w:color="auto" w:sz="4" w:space="0"/>
            </w:tcBorders>
          </w:tcPr>
          <w:p w14:paraId="03D3E09D">
            <w:pPr>
              <w:autoSpaceDE w:val="0"/>
              <w:autoSpaceDN w:val="0"/>
              <w:adjustRightInd w:val="0"/>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无形资产处置利得</w:t>
            </w:r>
          </w:p>
        </w:tc>
        <w:tc>
          <w:tcPr>
            <w:tcW w:w="1179" w:type="pct"/>
            <w:tcBorders>
              <w:top w:val="single" w:color="auto" w:sz="4" w:space="0"/>
              <w:left w:val="single" w:color="auto" w:sz="4" w:space="0"/>
              <w:bottom w:val="single" w:color="auto" w:sz="4" w:space="0"/>
              <w:right w:val="single" w:color="auto" w:sz="4" w:space="0"/>
            </w:tcBorders>
          </w:tcPr>
          <w:p w14:paraId="725C86F4">
            <w:pPr>
              <w:jc w:val="right"/>
            </w:pPr>
          </w:p>
        </w:tc>
        <w:tc>
          <w:tcPr>
            <w:tcW w:w="1183" w:type="pct"/>
            <w:tcBorders>
              <w:top w:val="single" w:color="auto" w:sz="4" w:space="0"/>
              <w:left w:val="single" w:color="auto" w:sz="4" w:space="0"/>
              <w:bottom w:val="single" w:color="auto" w:sz="4" w:space="0"/>
              <w:right w:val="single" w:color="auto" w:sz="4" w:space="0"/>
            </w:tcBorders>
          </w:tcPr>
          <w:p w14:paraId="62B22704">
            <w:pPr>
              <w:jc w:val="right"/>
            </w:pPr>
          </w:p>
        </w:tc>
        <w:tc>
          <w:tcPr>
            <w:tcW w:w="1184" w:type="pct"/>
            <w:tcBorders>
              <w:top w:val="single" w:color="auto" w:sz="4" w:space="0"/>
              <w:left w:val="single" w:color="auto" w:sz="4" w:space="0"/>
              <w:bottom w:val="single" w:color="auto" w:sz="4" w:space="0"/>
              <w:right w:val="single" w:color="auto" w:sz="4" w:space="0"/>
            </w:tcBorders>
          </w:tcPr>
          <w:p w14:paraId="678F9F57">
            <w:pPr>
              <w:autoSpaceDE w:val="0"/>
              <w:autoSpaceDN w:val="0"/>
              <w:adjustRightInd w:val="0"/>
              <w:jc w:val="right"/>
            </w:pPr>
          </w:p>
        </w:tc>
      </w:tr>
      <w:tr w14:paraId="358FE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4" w:type="pct"/>
            <w:tcBorders>
              <w:top w:val="single" w:color="auto" w:sz="4" w:space="0"/>
              <w:left w:val="single" w:color="auto" w:sz="4" w:space="0"/>
              <w:bottom w:val="single" w:color="auto" w:sz="4" w:space="0"/>
              <w:right w:val="single" w:color="auto" w:sz="4" w:space="0"/>
            </w:tcBorders>
          </w:tcPr>
          <w:p w14:paraId="4643FF3B">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债务重组利得</w:t>
            </w:r>
          </w:p>
        </w:tc>
        <w:tc>
          <w:tcPr>
            <w:tcW w:w="1179" w:type="pct"/>
            <w:tcBorders>
              <w:top w:val="single" w:color="auto" w:sz="4" w:space="0"/>
              <w:left w:val="single" w:color="auto" w:sz="4" w:space="0"/>
              <w:bottom w:val="single" w:color="auto" w:sz="4" w:space="0"/>
              <w:right w:val="single" w:color="auto" w:sz="4" w:space="0"/>
            </w:tcBorders>
          </w:tcPr>
          <w:p w14:paraId="39A34DE8">
            <w:pPr>
              <w:jc w:val="right"/>
            </w:pPr>
          </w:p>
        </w:tc>
        <w:tc>
          <w:tcPr>
            <w:tcW w:w="1183" w:type="pct"/>
            <w:tcBorders>
              <w:top w:val="single" w:color="auto" w:sz="4" w:space="0"/>
              <w:left w:val="single" w:color="auto" w:sz="4" w:space="0"/>
              <w:bottom w:val="single" w:color="auto" w:sz="4" w:space="0"/>
              <w:right w:val="single" w:color="auto" w:sz="4" w:space="0"/>
            </w:tcBorders>
          </w:tcPr>
          <w:p w14:paraId="48F07E18">
            <w:pPr>
              <w:jc w:val="right"/>
            </w:pPr>
          </w:p>
        </w:tc>
        <w:tc>
          <w:tcPr>
            <w:tcW w:w="1184" w:type="pct"/>
            <w:tcBorders>
              <w:top w:val="single" w:color="auto" w:sz="4" w:space="0"/>
              <w:left w:val="single" w:color="auto" w:sz="4" w:space="0"/>
              <w:bottom w:val="single" w:color="auto" w:sz="4" w:space="0"/>
              <w:right w:val="single" w:color="auto" w:sz="4" w:space="0"/>
            </w:tcBorders>
          </w:tcPr>
          <w:p w14:paraId="4D223D21">
            <w:pPr>
              <w:autoSpaceDE w:val="0"/>
              <w:autoSpaceDN w:val="0"/>
              <w:adjustRightInd w:val="0"/>
              <w:jc w:val="right"/>
            </w:pPr>
          </w:p>
        </w:tc>
      </w:tr>
      <w:tr w14:paraId="1AA1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4" w:type="pct"/>
            <w:tcBorders>
              <w:top w:val="single" w:color="auto" w:sz="4" w:space="0"/>
              <w:left w:val="single" w:color="auto" w:sz="4" w:space="0"/>
              <w:bottom w:val="single" w:color="auto" w:sz="4" w:space="0"/>
              <w:right w:val="single" w:color="auto" w:sz="4" w:space="0"/>
            </w:tcBorders>
          </w:tcPr>
          <w:p w14:paraId="6DECC37B">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非货币性资产交换利得</w:t>
            </w:r>
          </w:p>
        </w:tc>
        <w:tc>
          <w:tcPr>
            <w:tcW w:w="1179" w:type="pct"/>
            <w:tcBorders>
              <w:top w:val="single" w:color="auto" w:sz="4" w:space="0"/>
              <w:left w:val="single" w:color="auto" w:sz="4" w:space="0"/>
              <w:bottom w:val="single" w:color="auto" w:sz="4" w:space="0"/>
              <w:right w:val="single" w:color="auto" w:sz="4" w:space="0"/>
            </w:tcBorders>
          </w:tcPr>
          <w:p w14:paraId="2F142AC3">
            <w:pPr>
              <w:jc w:val="right"/>
            </w:pPr>
          </w:p>
        </w:tc>
        <w:tc>
          <w:tcPr>
            <w:tcW w:w="1183" w:type="pct"/>
            <w:tcBorders>
              <w:top w:val="single" w:color="auto" w:sz="4" w:space="0"/>
              <w:left w:val="single" w:color="auto" w:sz="4" w:space="0"/>
              <w:bottom w:val="single" w:color="auto" w:sz="4" w:space="0"/>
              <w:right w:val="single" w:color="auto" w:sz="4" w:space="0"/>
            </w:tcBorders>
          </w:tcPr>
          <w:p w14:paraId="33B95607">
            <w:pPr>
              <w:jc w:val="right"/>
            </w:pPr>
          </w:p>
        </w:tc>
        <w:tc>
          <w:tcPr>
            <w:tcW w:w="1184" w:type="pct"/>
            <w:tcBorders>
              <w:top w:val="single" w:color="auto" w:sz="4" w:space="0"/>
              <w:left w:val="single" w:color="auto" w:sz="4" w:space="0"/>
              <w:bottom w:val="single" w:color="auto" w:sz="4" w:space="0"/>
              <w:right w:val="single" w:color="auto" w:sz="4" w:space="0"/>
            </w:tcBorders>
          </w:tcPr>
          <w:p w14:paraId="6826268E">
            <w:pPr>
              <w:autoSpaceDE w:val="0"/>
              <w:autoSpaceDN w:val="0"/>
              <w:adjustRightInd w:val="0"/>
              <w:jc w:val="right"/>
            </w:pPr>
          </w:p>
        </w:tc>
      </w:tr>
      <w:tr w14:paraId="455F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4" w:type="pct"/>
            <w:tcBorders>
              <w:top w:val="single" w:color="auto" w:sz="4" w:space="0"/>
              <w:left w:val="single" w:color="auto" w:sz="4" w:space="0"/>
              <w:bottom w:val="single" w:color="auto" w:sz="4" w:space="0"/>
              <w:right w:val="single" w:color="auto" w:sz="4" w:space="0"/>
            </w:tcBorders>
          </w:tcPr>
          <w:p w14:paraId="51BB76A6">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接受捐赠</w:t>
            </w:r>
          </w:p>
        </w:tc>
        <w:tc>
          <w:tcPr>
            <w:tcW w:w="1179" w:type="pct"/>
            <w:tcBorders>
              <w:top w:val="single" w:color="auto" w:sz="4" w:space="0"/>
              <w:left w:val="single" w:color="auto" w:sz="4" w:space="0"/>
              <w:bottom w:val="single" w:color="auto" w:sz="4" w:space="0"/>
              <w:right w:val="single" w:color="auto" w:sz="4" w:space="0"/>
            </w:tcBorders>
          </w:tcPr>
          <w:p w14:paraId="1FC39766">
            <w:pPr>
              <w:jc w:val="right"/>
            </w:pPr>
          </w:p>
        </w:tc>
        <w:tc>
          <w:tcPr>
            <w:tcW w:w="1183" w:type="pct"/>
            <w:tcBorders>
              <w:top w:val="single" w:color="auto" w:sz="4" w:space="0"/>
              <w:left w:val="single" w:color="auto" w:sz="4" w:space="0"/>
              <w:bottom w:val="single" w:color="auto" w:sz="4" w:space="0"/>
              <w:right w:val="single" w:color="auto" w:sz="4" w:space="0"/>
            </w:tcBorders>
          </w:tcPr>
          <w:p w14:paraId="2D93D668">
            <w:pPr>
              <w:jc w:val="right"/>
            </w:pPr>
          </w:p>
        </w:tc>
        <w:tc>
          <w:tcPr>
            <w:tcW w:w="1184" w:type="pct"/>
            <w:tcBorders>
              <w:top w:val="single" w:color="auto" w:sz="4" w:space="0"/>
              <w:left w:val="single" w:color="auto" w:sz="4" w:space="0"/>
              <w:bottom w:val="single" w:color="auto" w:sz="4" w:space="0"/>
              <w:right w:val="single" w:color="auto" w:sz="4" w:space="0"/>
            </w:tcBorders>
          </w:tcPr>
          <w:p w14:paraId="1B953005">
            <w:pPr>
              <w:autoSpaceDE w:val="0"/>
              <w:autoSpaceDN w:val="0"/>
              <w:adjustRightInd w:val="0"/>
              <w:jc w:val="right"/>
            </w:pPr>
          </w:p>
        </w:tc>
      </w:tr>
      <w:tr w14:paraId="5CA8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4" w:type="pct"/>
            <w:tcBorders>
              <w:top w:val="single" w:color="auto" w:sz="4" w:space="0"/>
              <w:left w:val="single" w:color="auto" w:sz="4" w:space="0"/>
              <w:bottom w:val="single" w:color="auto" w:sz="4" w:space="0"/>
              <w:right w:val="single" w:color="auto" w:sz="4" w:space="0"/>
            </w:tcBorders>
          </w:tcPr>
          <w:p w14:paraId="0E11FE38">
            <w:pPr>
              <w:ind w:right="6"/>
              <w:rPr>
                <w:bCs w:val="0"/>
                <w:color w:val="000000" w:themeColor="text1"/>
                <w14:textFill>
                  <w14:solidFill>
                    <w14:schemeClr w14:val="tx1"/>
                  </w14:solidFill>
                </w14:textFill>
              </w:rPr>
            </w:pPr>
            <w:r>
              <w:rPr>
                <w:rFonts w:hint="eastAsia"/>
                <w:color w:val="000000" w:themeColor="text1"/>
                <w14:textFill>
                  <w14:solidFill>
                    <w14:schemeClr w14:val="tx1"/>
                  </w14:solidFill>
                </w14:textFill>
              </w:rPr>
              <w:t>政府补助</w:t>
            </w:r>
          </w:p>
        </w:tc>
        <w:tc>
          <w:tcPr>
            <w:tcW w:w="1179" w:type="pct"/>
            <w:tcBorders>
              <w:top w:val="single" w:color="auto" w:sz="4" w:space="0"/>
              <w:left w:val="single" w:color="auto" w:sz="4" w:space="0"/>
              <w:bottom w:val="single" w:color="auto" w:sz="4" w:space="0"/>
              <w:right w:val="single" w:color="auto" w:sz="4" w:space="0"/>
            </w:tcBorders>
          </w:tcPr>
          <w:p w14:paraId="63525E31">
            <w:pPr>
              <w:jc w:val="right"/>
            </w:pPr>
          </w:p>
        </w:tc>
        <w:tc>
          <w:tcPr>
            <w:tcW w:w="1183" w:type="pct"/>
            <w:tcBorders>
              <w:top w:val="single" w:color="auto" w:sz="4" w:space="0"/>
              <w:left w:val="single" w:color="auto" w:sz="4" w:space="0"/>
              <w:bottom w:val="single" w:color="auto" w:sz="4" w:space="0"/>
              <w:right w:val="single" w:color="auto" w:sz="4" w:space="0"/>
            </w:tcBorders>
          </w:tcPr>
          <w:p w14:paraId="69F47250">
            <w:pPr>
              <w:jc w:val="right"/>
            </w:pPr>
          </w:p>
        </w:tc>
        <w:tc>
          <w:tcPr>
            <w:tcW w:w="1184" w:type="pct"/>
            <w:tcBorders>
              <w:top w:val="single" w:color="auto" w:sz="4" w:space="0"/>
              <w:left w:val="single" w:color="auto" w:sz="4" w:space="0"/>
              <w:bottom w:val="single" w:color="auto" w:sz="4" w:space="0"/>
              <w:right w:val="single" w:color="auto" w:sz="4" w:space="0"/>
            </w:tcBorders>
          </w:tcPr>
          <w:p w14:paraId="61D25235">
            <w:pPr>
              <w:autoSpaceDE w:val="0"/>
              <w:autoSpaceDN w:val="0"/>
              <w:adjustRightInd w:val="0"/>
              <w:jc w:val="right"/>
            </w:pPr>
          </w:p>
        </w:tc>
      </w:tr>
      <w:tr w14:paraId="590D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4" w:type="pct"/>
            <w:tcBorders>
              <w:top w:val="single" w:color="auto" w:sz="4" w:space="0"/>
              <w:left w:val="single" w:color="auto" w:sz="4" w:space="0"/>
              <w:bottom w:val="single" w:color="auto" w:sz="4" w:space="0"/>
              <w:right w:val="single" w:color="auto" w:sz="4" w:space="0"/>
            </w:tcBorders>
          </w:tcPr>
          <w:p w14:paraId="75E9AA06">
            <w:pPr>
              <w:ind w:right="6"/>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tc>
          <w:tcPr>
            <w:tcW w:w="1179" w:type="pct"/>
            <w:tcBorders>
              <w:top w:val="single" w:color="auto" w:sz="4" w:space="0"/>
              <w:left w:val="single" w:color="auto" w:sz="4" w:space="0"/>
              <w:bottom w:val="single" w:color="auto" w:sz="4" w:space="0"/>
              <w:right w:val="single" w:color="auto" w:sz="4" w:space="0"/>
            </w:tcBorders>
          </w:tcPr>
          <w:p w14:paraId="202CA90F">
            <w:pPr>
              <w:jc w:val="right"/>
            </w:pPr>
            <w:r>
              <w:t>330,542.94</w:t>
            </w:r>
          </w:p>
        </w:tc>
        <w:tc>
          <w:tcPr>
            <w:tcW w:w="1183" w:type="pct"/>
            <w:tcBorders>
              <w:top w:val="single" w:color="auto" w:sz="4" w:space="0"/>
              <w:left w:val="single" w:color="auto" w:sz="4" w:space="0"/>
              <w:bottom w:val="single" w:color="auto" w:sz="4" w:space="0"/>
              <w:right w:val="single" w:color="auto" w:sz="4" w:space="0"/>
            </w:tcBorders>
          </w:tcPr>
          <w:p w14:paraId="6C5E681B">
            <w:pPr>
              <w:jc w:val="right"/>
            </w:pPr>
            <w:r>
              <w:t>926,440.32</w:t>
            </w:r>
          </w:p>
        </w:tc>
        <w:tc>
          <w:tcPr>
            <w:tcW w:w="1184" w:type="pct"/>
            <w:tcBorders>
              <w:top w:val="single" w:color="auto" w:sz="4" w:space="0"/>
              <w:left w:val="single" w:color="auto" w:sz="4" w:space="0"/>
              <w:bottom w:val="single" w:color="auto" w:sz="4" w:space="0"/>
              <w:right w:val="single" w:color="auto" w:sz="4" w:space="0"/>
            </w:tcBorders>
          </w:tcPr>
          <w:p w14:paraId="7CCCD4D5">
            <w:pPr>
              <w:autoSpaceDE w:val="0"/>
              <w:autoSpaceDN w:val="0"/>
              <w:adjustRightInd w:val="0"/>
              <w:jc w:val="right"/>
            </w:pPr>
            <w:r>
              <w:t>330,542.94</w:t>
            </w:r>
          </w:p>
        </w:tc>
      </w:tr>
      <w:tr w14:paraId="2E45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4" w:type="pct"/>
            <w:tcBorders>
              <w:top w:val="single" w:color="auto" w:sz="4" w:space="0"/>
              <w:left w:val="single" w:color="auto" w:sz="4" w:space="0"/>
              <w:bottom w:val="single" w:color="auto" w:sz="4" w:space="0"/>
              <w:right w:val="single" w:color="auto" w:sz="4" w:space="0"/>
            </w:tcBorders>
            <w:vAlign w:val="center"/>
          </w:tcPr>
          <w:p w14:paraId="317F1F6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179" w:type="pct"/>
            <w:tcBorders>
              <w:top w:val="single" w:color="auto" w:sz="4" w:space="0"/>
              <w:left w:val="single" w:color="auto" w:sz="4" w:space="0"/>
              <w:bottom w:val="single" w:color="auto" w:sz="4" w:space="0"/>
              <w:right w:val="single" w:color="auto" w:sz="4" w:space="0"/>
            </w:tcBorders>
          </w:tcPr>
          <w:p w14:paraId="74E5482D">
            <w:pPr>
              <w:jc w:val="right"/>
            </w:pPr>
            <w:r>
              <w:t>1,090,272.59</w:t>
            </w:r>
          </w:p>
        </w:tc>
        <w:tc>
          <w:tcPr>
            <w:tcW w:w="1183" w:type="pct"/>
            <w:tcBorders>
              <w:top w:val="single" w:color="auto" w:sz="4" w:space="0"/>
              <w:left w:val="single" w:color="auto" w:sz="4" w:space="0"/>
              <w:bottom w:val="single" w:color="auto" w:sz="4" w:space="0"/>
              <w:right w:val="single" w:color="auto" w:sz="4" w:space="0"/>
            </w:tcBorders>
          </w:tcPr>
          <w:p w14:paraId="1B0ECD4D">
            <w:pPr>
              <w:jc w:val="right"/>
            </w:pPr>
            <w:r>
              <w:t>934,169.22</w:t>
            </w:r>
          </w:p>
        </w:tc>
        <w:tc>
          <w:tcPr>
            <w:tcW w:w="1184" w:type="pct"/>
            <w:tcBorders>
              <w:top w:val="single" w:color="auto" w:sz="4" w:space="0"/>
              <w:left w:val="single" w:color="auto" w:sz="4" w:space="0"/>
              <w:bottom w:val="single" w:color="auto" w:sz="4" w:space="0"/>
              <w:right w:val="single" w:color="auto" w:sz="4" w:space="0"/>
            </w:tcBorders>
          </w:tcPr>
          <w:p w14:paraId="21E6CCA1">
            <w:pPr>
              <w:autoSpaceDE w:val="0"/>
              <w:autoSpaceDN w:val="0"/>
              <w:adjustRightInd w:val="0"/>
              <w:jc w:val="right"/>
            </w:pPr>
            <w:r>
              <w:t>1,090,272.59</w:t>
            </w:r>
          </w:p>
        </w:tc>
      </w:tr>
    </w:tbl>
    <w:p w14:paraId="28E423CE">
      <w:pPr>
        <w:rPr>
          <w:color w:val="000000" w:themeColor="text1"/>
          <w14:textFill>
            <w14:solidFill>
              <w14:schemeClr w14:val="tx1"/>
            </w14:solidFill>
          </w14:textFill>
        </w:rPr>
      </w:pPr>
    </w:p>
    <w:p w14:paraId="533E5FDD">
      <w:pPr>
        <w:spacing w:line="36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营业外收入说明[双击切换]"/>
        <w:tag w:val="_GBC_9bd4fc9f0fcc4e85bee85b3ce60c8b2c"/>
        <w:id w:val="-1657295820"/>
        <w:placeholder>
          <w:docPart w:val="GBC22222222222222222222222222222"/>
        </w:placeholder>
      </w:sdtPr>
      <w:sdtEndPr>
        <w:rPr>
          <w:color w:val="000000" w:themeColor="text1"/>
          <w14:textFill>
            <w14:solidFill>
              <w14:schemeClr w14:val="tx1"/>
            </w14:solidFill>
          </w14:textFill>
        </w:rPr>
      </w:sdtEndPr>
      <w:sdtContent>
        <w:p w14:paraId="1956ADC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D557732">
      <w:pPr>
        <w:rPr>
          <w:color w:val="000000" w:themeColor="text1"/>
          <w14:textFill>
            <w14:solidFill>
              <w14:schemeClr w14:val="tx1"/>
            </w14:solidFill>
          </w14:textFill>
        </w:rPr>
      </w:pPr>
    </w:p>
    <w:p w14:paraId="42CA9314">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营业外支出</w:t>
      </w:r>
    </w:p>
    <w:sdt>
      <w:sdtPr>
        <w:rPr>
          <w:color w:val="000000" w:themeColor="text1"/>
          <w14:textFill>
            <w14:solidFill>
              <w14:schemeClr w14:val="tx1"/>
            </w14:solidFill>
          </w14:textFill>
        </w:rPr>
        <w:alias w:val="是否适用：营业外支出[双击切换]"/>
        <w:tag w:val="_GBC_6d4b8ac674ce425b8c798e92aa1fe455"/>
        <w:id w:val="388779582"/>
        <w:placeholder>
          <w:docPart w:val="GBC22222222222222222222222222222"/>
        </w:placeholder>
      </w:sdtPr>
      <w:sdtEndPr>
        <w:rPr>
          <w:color w:val="000000" w:themeColor="text1"/>
          <w14:textFill>
            <w14:solidFill>
              <w14:schemeClr w14:val="tx1"/>
            </w14:solidFill>
          </w14:textFill>
        </w:rPr>
      </w:sdtEndPr>
      <w:sdtContent>
        <w:p w14:paraId="70793EE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66F1F8C">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营业外支出"/>
          <w:tag w:val="_GBC_f8678a9a1bbf4b0697744c5d21146839"/>
          <w:id w:val="-3304556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营业外支出"/>
          <w:tag w:val="_GBC_61e3e82ad5404a9987623525ac03d95e"/>
          <w:id w:val="-3703067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405" w:type="pct"/>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2318"/>
        <w:gridCol w:w="2272"/>
        <w:gridCol w:w="2259"/>
      </w:tblGrid>
      <w:tr w14:paraId="5D09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6abf292cb0a7463788e39d1bdabb85fc"/>
            <w:id w:val="-1864886108"/>
          </w:sdtPr>
          <w:sdtContent>
            <w:tc>
              <w:tcPr>
                <w:tcW w:w="1410" w:type="pct"/>
                <w:tcBorders>
                  <w:top w:val="single" w:color="auto" w:sz="4" w:space="0"/>
                  <w:left w:val="single" w:color="auto" w:sz="4" w:space="0"/>
                  <w:bottom w:val="single" w:color="auto" w:sz="4" w:space="0"/>
                  <w:right w:val="single" w:color="auto" w:sz="4" w:space="0"/>
                </w:tcBorders>
                <w:vAlign w:val="center"/>
              </w:tcPr>
              <w:p w14:paraId="201A32F9">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36a30142728e41bb9c215b73cfe3204c"/>
            <w:id w:val="-1528475651"/>
          </w:sdtPr>
          <w:sdtContent>
            <w:tc>
              <w:tcPr>
                <w:tcW w:w="1215" w:type="pct"/>
                <w:tcBorders>
                  <w:top w:val="single" w:color="auto" w:sz="4" w:space="0"/>
                  <w:left w:val="single" w:color="auto" w:sz="4" w:space="0"/>
                  <w:bottom w:val="single" w:color="auto" w:sz="4" w:space="0"/>
                  <w:right w:val="single" w:color="auto" w:sz="4" w:space="0"/>
                </w:tcBorders>
                <w:vAlign w:val="center"/>
              </w:tcPr>
              <w:p w14:paraId="282250B4">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16b0936bf8024bdf99cf883b1827419f"/>
            <w:id w:val="-428430955"/>
          </w:sdtPr>
          <w:sdtContent>
            <w:tc>
              <w:tcPr>
                <w:tcW w:w="1191" w:type="pct"/>
                <w:tcBorders>
                  <w:top w:val="single" w:color="auto" w:sz="4" w:space="0"/>
                  <w:left w:val="single" w:color="auto" w:sz="4" w:space="0"/>
                  <w:bottom w:val="single" w:color="auto" w:sz="4" w:space="0"/>
                  <w:right w:val="single" w:color="auto" w:sz="4" w:space="0"/>
                </w:tcBorders>
                <w:vAlign w:val="center"/>
              </w:tcPr>
              <w:p w14:paraId="477EBF7D">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sdt>
          <w:sdtPr>
            <w:tag w:val="_PLD_92014506c2824f6fbe79731f91aa61bc"/>
            <w:id w:val="386616322"/>
          </w:sdtPr>
          <w:sdtContent>
            <w:tc>
              <w:tcPr>
                <w:tcW w:w="1184" w:type="pct"/>
                <w:tcBorders>
                  <w:top w:val="single" w:color="auto" w:sz="4" w:space="0"/>
                  <w:left w:val="single" w:color="auto" w:sz="4" w:space="0"/>
                  <w:bottom w:val="single" w:color="auto" w:sz="4" w:space="0"/>
                  <w:right w:val="single" w:color="auto" w:sz="4" w:space="0"/>
                </w:tcBorders>
                <w:vAlign w:val="center"/>
              </w:tcPr>
              <w:p w14:paraId="6484FDCB">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计入当期非经常性损益的金额</w:t>
                </w:r>
              </w:p>
            </w:tc>
          </w:sdtContent>
        </w:sdt>
      </w:tr>
      <w:tr w14:paraId="13C2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0" w:type="pct"/>
            <w:tcBorders>
              <w:top w:val="single" w:color="auto" w:sz="4" w:space="0"/>
              <w:left w:val="single" w:color="auto" w:sz="4" w:space="0"/>
              <w:bottom w:val="single" w:color="auto" w:sz="4" w:space="0"/>
              <w:right w:val="single" w:color="auto" w:sz="4" w:space="0"/>
            </w:tcBorders>
          </w:tcPr>
          <w:p w14:paraId="459D5308">
            <w:pPr>
              <w:autoSpaceDE w:val="0"/>
              <w:autoSpaceDN w:val="0"/>
              <w:adjustRightInd w:val="0"/>
              <w:rPr>
                <w:color w:val="000000" w:themeColor="text1"/>
                <w14:textFill>
                  <w14:solidFill>
                    <w14:schemeClr w14:val="tx1"/>
                  </w14:solidFill>
                </w14:textFill>
              </w:rPr>
            </w:pPr>
            <w:bookmarkStart w:id="378" w:name="_Hlk236574484"/>
            <w:r>
              <w:rPr>
                <w:rFonts w:hint="eastAsia"/>
                <w:color w:val="000000" w:themeColor="text1"/>
                <w14:textFill>
                  <w14:solidFill>
                    <w14:schemeClr w14:val="tx1"/>
                  </w14:solidFill>
                </w14:textFill>
              </w:rPr>
              <w:t>非流动资产处置损失合计</w:t>
            </w:r>
          </w:p>
        </w:tc>
        <w:tc>
          <w:tcPr>
            <w:tcW w:w="1215" w:type="pct"/>
            <w:tcBorders>
              <w:top w:val="single" w:color="auto" w:sz="4" w:space="0"/>
              <w:left w:val="single" w:color="auto" w:sz="4" w:space="0"/>
              <w:bottom w:val="single" w:color="auto" w:sz="4" w:space="0"/>
              <w:right w:val="single" w:color="auto" w:sz="4" w:space="0"/>
            </w:tcBorders>
          </w:tcPr>
          <w:p w14:paraId="3F8743DB">
            <w:pPr>
              <w:jc w:val="right"/>
            </w:pPr>
            <w:r>
              <w:t>5,</w:t>
            </w:r>
            <w:r>
              <w:rPr>
                <w:rFonts w:hint="eastAsia"/>
              </w:rPr>
              <w:t>134</w:t>
            </w:r>
            <w:r>
              <w:t>,</w:t>
            </w:r>
            <w:r>
              <w:rPr>
                <w:rFonts w:hint="eastAsia"/>
              </w:rPr>
              <w:t>832</w:t>
            </w:r>
            <w:r>
              <w:t>.</w:t>
            </w:r>
            <w:r>
              <w:rPr>
                <w:rFonts w:hint="eastAsia"/>
              </w:rPr>
              <w:t>5</w:t>
            </w:r>
            <w:r>
              <w:t>5</w:t>
            </w:r>
          </w:p>
        </w:tc>
        <w:tc>
          <w:tcPr>
            <w:tcW w:w="1191" w:type="pct"/>
            <w:tcBorders>
              <w:top w:val="single" w:color="auto" w:sz="4" w:space="0"/>
              <w:left w:val="single" w:color="auto" w:sz="4" w:space="0"/>
              <w:bottom w:val="single" w:color="auto" w:sz="4" w:space="0"/>
              <w:right w:val="single" w:color="auto" w:sz="4" w:space="0"/>
            </w:tcBorders>
          </w:tcPr>
          <w:p w14:paraId="4342FC41">
            <w:pPr>
              <w:jc w:val="right"/>
            </w:pPr>
            <w:r>
              <w:t>874,641.98</w:t>
            </w:r>
          </w:p>
        </w:tc>
        <w:tc>
          <w:tcPr>
            <w:tcW w:w="1184" w:type="pct"/>
            <w:tcBorders>
              <w:top w:val="single" w:color="auto" w:sz="4" w:space="0"/>
              <w:left w:val="single" w:color="auto" w:sz="4" w:space="0"/>
              <w:bottom w:val="single" w:color="auto" w:sz="4" w:space="0"/>
              <w:right w:val="single" w:color="auto" w:sz="4" w:space="0"/>
            </w:tcBorders>
          </w:tcPr>
          <w:p w14:paraId="7BD41F54">
            <w:pPr>
              <w:autoSpaceDE w:val="0"/>
              <w:autoSpaceDN w:val="0"/>
              <w:adjustRightInd w:val="0"/>
              <w:jc w:val="right"/>
            </w:pPr>
            <w:r>
              <w:t>5,134,832.55</w:t>
            </w:r>
          </w:p>
        </w:tc>
      </w:tr>
      <w:tr w14:paraId="10CB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0" w:type="pct"/>
            <w:tcBorders>
              <w:top w:val="single" w:color="auto" w:sz="4" w:space="0"/>
              <w:left w:val="single" w:color="auto" w:sz="4" w:space="0"/>
              <w:bottom w:val="single" w:color="auto" w:sz="4" w:space="0"/>
              <w:right w:val="single" w:color="auto" w:sz="4" w:space="0"/>
            </w:tcBorders>
          </w:tcPr>
          <w:p w14:paraId="33FC470B">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其中：固定资产处置损失</w:t>
            </w:r>
          </w:p>
        </w:tc>
        <w:tc>
          <w:tcPr>
            <w:tcW w:w="1215" w:type="pct"/>
            <w:tcBorders>
              <w:top w:val="single" w:color="auto" w:sz="4" w:space="0"/>
              <w:left w:val="single" w:color="auto" w:sz="4" w:space="0"/>
              <w:bottom w:val="single" w:color="auto" w:sz="4" w:space="0"/>
              <w:right w:val="single" w:color="auto" w:sz="4" w:space="0"/>
            </w:tcBorders>
          </w:tcPr>
          <w:p w14:paraId="703E3195">
            <w:pPr>
              <w:jc w:val="right"/>
            </w:pPr>
            <w:r>
              <w:t>5,134,832.55</w:t>
            </w:r>
          </w:p>
        </w:tc>
        <w:tc>
          <w:tcPr>
            <w:tcW w:w="1191" w:type="pct"/>
            <w:tcBorders>
              <w:top w:val="single" w:color="auto" w:sz="4" w:space="0"/>
              <w:left w:val="single" w:color="auto" w:sz="4" w:space="0"/>
              <w:bottom w:val="single" w:color="auto" w:sz="4" w:space="0"/>
              <w:right w:val="single" w:color="auto" w:sz="4" w:space="0"/>
            </w:tcBorders>
          </w:tcPr>
          <w:p w14:paraId="1D011100">
            <w:pPr>
              <w:jc w:val="right"/>
            </w:pPr>
            <w:r>
              <w:t>874,641.98</w:t>
            </w:r>
          </w:p>
        </w:tc>
        <w:tc>
          <w:tcPr>
            <w:tcW w:w="1184" w:type="pct"/>
            <w:tcBorders>
              <w:top w:val="single" w:color="auto" w:sz="4" w:space="0"/>
              <w:left w:val="single" w:color="auto" w:sz="4" w:space="0"/>
              <w:bottom w:val="single" w:color="auto" w:sz="4" w:space="0"/>
              <w:right w:val="single" w:color="auto" w:sz="4" w:space="0"/>
            </w:tcBorders>
          </w:tcPr>
          <w:p w14:paraId="4CF5E7D1">
            <w:pPr>
              <w:autoSpaceDE w:val="0"/>
              <w:autoSpaceDN w:val="0"/>
              <w:adjustRightInd w:val="0"/>
              <w:jc w:val="right"/>
            </w:pPr>
            <w:r>
              <w:t>5,134,832.55</w:t>
            </w:r>
          </w:p>
        </w:tc>
      </w:tr>
      <w:bookmarkEnd w:id="378"/>
      <w:tr w14:paraId="6B8F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0" w:type="pct"/>
            <w:tcBorders>
              <w:top w:val="single" w:color="auto" w:sz="4" w:space="0"/>
              <w:left w:val="single" w:color="auto" w:sz="4" w:space="0"/>
              <w:bottom w:val="single" w:color="auto" w:sz="4" w:space="0"/>
              <w:right w:val="single" w:color="auto" w:sz="4" w:space="0"/>
            </w:tcBorders>
          </w:tcPr>
          <w:p w14:paraId="5D9667F2">
            <w:pPr>
              <w:autoSpaceDE w:val="0"/>
              <w:autoSpaceDN w:val="0"/>
              <w:adjustRightInd w:val="0"/>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无形资产处置损失</w:t>
            </w:r>
          </w:p>
        </w:tc>
        <w:tc>
          <w:tcPr>
            <w:tcW w:w="1215" w:type="pct"/>
            <w:tcBorders>
              <w:top w:val="single" w:color="auto" w:sz="4" w:space="0"/>
              <w:left w:val="single" w:color="auto" w:sz="4" w:space="0"/>
              <w:bottom w:val="single" w:color="auto" w:sz="4" w:space="0"/>
              <w:right w:val="single" w:color="auto" w:sz="4" w:space="0"/>
            </w:tcBorders>
          </w:tcPr>
          <w:p w14:paraId="6E1EA1DA">
            <w:pPr>
              <w:jc w:val="right"/>
            </w:pPr>
          </w:p>
        </w:tc>
        <w:tc>
          <w:tcPr>
            <w:tcW w:w="1191" w:type="pct"/>
            <w:tcBorders>
              <w:top w:val="single" w:color="auto" w:sz="4" w:space="0"/>
              <w:left w:val="single" w:color="auto" w:sz="4" w:space="0"/>
              <w:bottom w:val="single" w:color="auto" w:sz="4" w:space="0"/>
              <w:right w:val="single" w:color="auto" w:sz="4" w:space="0"/>
            </w:tcBorders>
          </w:tcPr>
          <w:p w14:paraId="28341A76">
            <w:pPr>
              <w:jc w:val="right"/>
            </w:pPr>
          </w:p>
        </w:tc>
        <w:tc>
          <w:tcPr>
            <w:tcW w:w="1184" w:type="pct"/>
            <w:tcBorders>
              <w:top w:val="single" w:color="auto" w:sz="4" w:space="0"/>
              <w:left w:val="single" w:color="auto" w:sz="4" w:space="0"/>
              <w:bottom w:val="single" w:color="auto" w:sz="4" w:space="0"/>
              <w:right w:val="single" w:color="auto" w:sz="4" w:space="0"/>
            </w:tcBorders>
          </w:tcPr>
          <w:p w14:paraId="71E7FADA">
            <w:pPr>
              <w:autoSpaceDE w:val="0"/>
              <w:autoSpaceDN w:val="0"/>
              <w:adjustRightInd w:val="0"/>
              <w:jc w:val="right"/>
            </w:pPr>
          </w:p>
        </w:tc>
      </w:tr>
      <w:tr w14:paraId="2AF5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0" w:type="pct"/>
            <w:tcBorders>
              <w:top w:val="single" w:color="auto" w:sz="4" w:space="0"/>
              <w:left w:val="single" w:color="auto" w:sz="4" w:space="0"/>
              <w:bottom w:val="single" w:color="auto" w:sz="4" w:space="0"/>
              <w:right w:val="single" w:color="auto" w:sz="4" w:space="0"/>
            </w:tcBorders>
          </w:tcPr>
          <w:p w14:paraId="7BA7D9C4">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债务重组损失</w:t>
            </w:r>
          </w:p>
        </w:tc>
        <w:tc>
          <w:tcPr>
            <w:tcW w:w="1215" w:type="pct"/>
            <w:tcBorders>
              <w:top w:val="single" w:color="auto" w:sz="4" w:space="0"/>
              <w:left w:val="single" w:color="auto" w:sz="4" w:space="0"/>
              <w:bottom w:val="single" w:color="auto" w:sz="4" w:space="0"/>
              <w:right w:val="single" w:color="auto" w:sz="4" w:space="0"/>
            </w:tcBorders>
          </w:tcPr>
          <w:p w14:paraId="715A299D">
            <w:pPr>
              <w:jc w:val="right"/>
            </w:pPr>
          </w:p>
        </w:tc>
        <w:tc>
          <w:tcPr>
            <w:tcW w:w="1191" w:type="pct"/>
            <w:tcBorders>
              <w:top w:val="single" w:color="auto" w:sz="4" w:space="0"/>
              <w:left w:val="single" w:color="auto" w:sz="4" w:space="0"/>
              <w:bottom w:val="single" w:color="auto" w:sz="4" w:space="0"/>
              <w:right w:val="single" w:color="auto" w:sz="4" w:space="0"/>
            </w:tcBorders>
          </w:tcPr>
          <w:p w14:paraId="2AFB5E27">
            <w:pPr>
              <w:jc w:val="right"/>
            </w:pPr>
          </w:p>
        </w:tc>
        <w:tc>
          <w:tcPr>
            <w:tcW w:w="1184" w:type="pct"/>
            <w:tcBorders>
              <w:top w:val="single" w:color="auto" w:sz="4" w:space="0"/>
              <w:left w:val="single" w:color="auto" w:sz="4" w:space="0"/>
              <w:bottom w:val="single" w:color="auto" w:sz="4" w:space="0"/>
              <w:right w:val="single" w:color="auto" w:sz="4" w:space="0"/>
            </w:tcBorders>
          </w:tcPr>
          <w:p w14:paraId="0857CA39">
            <w:pPr>
              <w:autoSpaceDE w:val="0"/>
              <w:autoSpaceDN w:val="0"/>
              <w:adjustRightInd w:val="0"/>
              <w:jc w:val="right"/>
            </w:pPr>
          </w:p>
        </w:tc>
      </w:tr>
      <w:tr w14:paraId="3608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0" w:type="pct"/>
            <w:tcBorders>
              <w:top w:val="single" w:color="auto" w:sz="4" w:space="0"/>
              <w:left w:val="single" w:color="auto" w:sz="4" w:space="0"/>
              <w:bottom w:val="single" w:color="auto" w:sz="4" w:space="0"/>
              <w:right w:val="single" w:color="auto" w:sz="4" w:space="0"/>
            </w:tcBorders>
          </w:tcPr>
          <w:p w14:paraId="2E288490">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非货币性资产交换损失</w:t>
            </w:r>
          </w:p>
        </w:tc>
        <w:tc>
          <w:tcPr>
            <w:tcW w:w="1215" w:type="pct"/>
            <w:tcBorders>
              <w:top w:val="single" w:color="auto" w:sz="4" w:space="0"/>
              <w:left w:val="single" w:color="auto" w:sz="4" w:space="0"/>
              <w:bottom w:val="single" w:color="auto" w:sz="4" w:space="0"/>
              <w:right w:val="single" w:color="auto" w:sz="4" w:space="0"/>
            </w:tcBorders>
          </w:tcPr>
          <w:p w14:paraId="63725E54">
            <w:pPr>
              <w:jc w:val="right"/>
            </w:pPr>
          </w:p>
        </w:tc>
        <w:tc>
          <w:tcPr>
            <w:tcW w:w="1191" w:type="pct"/>
            <w:tcBorders>
              <w:top w:val="single" w:color="auto" w:sz="4" w:space="0"/>
              <w:left w:val="single" w:color="auto" w:sz="4" w:space="0"/>
              <w:bottom w:val="single" w:color="auto" w:sz="4" w:space="0"/>
              <w:right w:val="single" w:color="auto" w:sz="4" w:space="0"/>
            </w:tcBorders>
          </w:tcPr>
          <w:p w14:paraId="3599AA70">
            <w:pPr>
              <w:jc w:val="right"/>
            </w:pPr>
          </w:p>
        </w:tc>
        <w:tc>
          <w:tcPr>
            <w:tcW w:w="1184" w:type="pct"/>
            <w:tcBorders>
              <w:top w:val="single" w:color="auto" w:sz="4" w:space="0"/>
              <w:left w:val="single" w:color="auto" w:sz="4" w:space="0"/>
              <w:bottom w:val="single" w:color="auto" w:sz="4" w:space="0"/>
              <w:right w:val="single" w:color="auto" w:sz="4" w:space="0"/>
            </w:tcBorders>
          </w:tcPr>
          <w:p w14:paraId="632C5012">
            <w:pPr>
              <w:autoSpaceDE w:val="0"/>
              <w:autoSpaceDN w:val="0"/>
              <w:adjustRightInd w:val="0"/>
              <w:jc w:val="right"/>
            </w:pPr>
          </w:p>
        </w:tc>
      </w:tr>
      <w:tr w14:paraId="79D8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0" w:type="pct"/>
            <w:tcBorders>
              <w:top w:val="single" w:color="auto" w:sz="4" w:space="0"/>
              <w:left w:val="single" w:color="auto" w:sz="4" w:space="0"/>
              <w:bottom w:val="single" w:color="auto" w:sz="4" w:space="0"/>
              <w:right w:val="single" w:color="auto" w:sz="4" w:space="0"/>
            </w:tcBorders>
          </w:tcPr>
          <w:p w14:paraId="048939B9">
            <w:pPr>
              <w:autoSpaceDE w:val="0"/>
              <w:autoSpaceDN w:val="0"/>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对外捐赠</w:t>
            </w:r>
          </w:p>
        </w:tc>
        <w:tc>
          <w:tcPr>
            <w:tcW w:w="1215" w:type="pct"/>
            <w:tcBorders>
              <w:top w:val="single" w:color="auto" w:sz="4" w:space="0"/>
              <w:left w:val="single" w:color="auto" w:sz="4" w:space="0"/>
              <w:bottom w:val="single" w:color="auto" w:sz="4" w:space="0"/>
              <w:right w:val="single" w:color="auto" w:sz="4" w:space="0"/>
            </w:tcBorders>
          </w:tcPr>
          <w:p w14:paraId="1F7822E2">
            <w:pPr>
              <w:jc w:val="right"/>
            </w:pPr>
          </w:p>
        </w:tc>
        <w:tc>
          <w:tcPr>
            <w:tcW w:w="1191" w:type="pct"/>
            <w:tcBorders>
              <w:top w:val="single" w:color="auto" w:sz="4" w:space="0"/>
              <w:left w:val="single" w:color="auto" w:sz="4" w:space="0"/>
              <w:bottom w:val="single" w:color="auto" w:sz="4" w:space="0"/>
              <w:right w:val="single" w:color="auto" w:sz="4" w:space="0"/>
            </w:tcBorders>
          </w:tcPr>
          <w:p w14:paraId="5EDF062D">
            <w:pPr>
              <w:jc w:val="right"/>
            </w:pPr>
          </w:p>
        </w:tc>
        <w:tc>
          <w:tcPr>
            <w:tcW w:w="1184" w:type="pct"/>
            <w:tcBorders>
              <w:top w:val="single" w:color="auto" w:sz="4" w:space="0"/>
              <w:left w:val="single" w:color="auto" w:sz="4" w:space="0"/>
              <w:bottom w:val="single" w:color="auto" w:sz="4" w:space="0"/>
              <w:right w:val="single" w:color="auto" w:sz="4" w:space="0"/>
            </w:tcBorders>
          </w:tcPr>
          <w:p w14:paraId="2CFCD087">
            <w:pPr>
              <w:autoSpaceDE w:val="0"/>
              <w:autoSpaceDN w:val="0"/>
              <w:adjustRightInd w:val="0"/>
              <w:jc w:val="right"/>
            </w:pPr>
          </w:p>
        </w:tc>
      </w:tr>
      <w:tr w14:paraId="04F5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0" w:type="pct"/>
            <w:tcBorders>
              <w:top w:val="single" w:color="auto" w:sz="4" w:space="0"/>
              <w:left w:val="single" w:color="auto" w:sz="4" w:space="0"/>
              <w:bottom w:val="single" w:color="auto" w:sz="4" w:space="0"/>
              <w:right w:val="single" w:color="auto" w:sz="4" w:space="0"/>
            </w:tcBorders>
          </w:tcPr>
          <w:p w14:paraId="0662AD7A">
            <w:r>
              <w:rPr>
                <w:rFonts w:hint="eastAsia"/>
              </w:rPr>
              <w:t>其他</w:t>
            </w:r>
          </w:p>
        </w:tc>
        <w:tc>
          <w:tcPr>
            <w:tcW w:w="1215" w:type="pct"/>
            <w:tcBorders>
              <w:top w:val="single" w:color="auto" w:sz="4" w:space="0"/>
              <w:left w:val="single" w:color="auto" w:sz="4" w:space="0"/>
              <w:bottom w:val="single" w:color="auto" w:sz="4" w:space="0"/>
              <w:right w:val="single" w:color="auto" w:sz="4" w:space="0"/>
            </w:tcBorders>
          </w:tcPr>
          <w:p w14:paraId="12A5D699">
            <w:pPr>
              <w:jc w:val="right"/>
            </w:pPr>
            <w:r>
              <w:t>19,465.85</w:t>
            </w:r>
          </w:p>
        </w:tc>
        <w:tc>
          <w:tcPr>
            <w:tcW w:w="1191" w:type="pct"/>
            <w:tcBorders>
              <w:top w:val="single" w:color="auto" w:sz="4" w:space="0"/>
              <w:left w:val="single" w:color="auto" w:sz="4" w:space="0"/>
              <w:bottom w:val="single" w:color="auto" w:sz="4" w:space="0"/>
              <w:right w:val="single" w:color="auto" w:sz="4" w:space="0"/>
            </w:tcBorders>
          </w:tcPr>
          <w:p w14:paraId="7F2664AD">
            <w:pPr>
              <w:jc w:val="right"/>
            </w:pPr>
            <w:r>
              <w:t>526,722.70</w:t>
            </w:r>
          </w:p>
        </w:tc>
        <w:tc>
          <w:tcPr>
            <w:tcW w:w="1184" w:type="pct"/>
            <w:tcBorders>
              <w:top w:val="single" w:color="auto" w:sz="4" w:space="0"/>
              <w:left w:val="single" w:color="auto" w:sz="4" w:space="0"/>
              <w:bottom w:val="single" w:color="auto" w:sz="4" w:space="0"/>
              <w:right w:val="single" w:color="auto" w:sz="4" w:space="0"/>
            </w:tcBorders>
          </w:tcPr>
          <w:p w14:paraId="7EF12A6B">
            <w:pPr>
              <w:jc w:val="right"/>
            </w:pPr>
            <w:r>
              <w:t>19,465.85</w:t>
            </w:r>
          </w:p>
        </w:tc>
      </w:tr>
      <w:tr w14:paraId="52D4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0" w:type="pct"/>
            <w:tcBorders>
              <w:top w:val="single" w:color="auto" w:sz="4" w:space="0"/>
              <w:left w:val="single" w:color="auto" w:sz="4" w:space="0"/>
              <w:bottom w:val="single" w:color="auto" w:sz="4" w:space="0"/>
              <w:right w:val="single" w:color="auto" w:sz="4" w:space="0"/>
            </w:tcBorders>
          </w:tcPr>
          <w:p w14:paraId="094A8AC2">
            <w:pPr>
              <w:ind w:right="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215" w:type="pct"/>
            <w:tcBorders>
              <w:top w:val="single" w:color="auto" w:sz="4" w:space="0"/>
              <w:left w:val="single" w:color="auto" w:sz="4" w:space="0"/>
              <w:bottom w:val="single" w:color="auto" w:sz="4" w:space="0"/>
              <w:right w:val="single" w:color="auto" w:sz="4" w:space="0"/>
            </w:tcBorders>
          </w:tcPr>
          <w:p w14:paraId="0BB9FBBD">
            <w:pPr>
              <w:jc w:val="right"/>
            </w:pPr>
            <w:r>
              <w:t>5,154,298.40</w:t>
            </w:r>
          </w:p>
        </w:tc>
        <w:tc>
          <w:tcPr>
            <w:tcW w:w="1191" w:type="pct"/>
            <w:tcBorders>
              <w:top w:val="single" w:color="auto" w:sz="4" w:space="0"/>
              <w:left w:val="single" w:color="auto" w:sz="4" w:space="0"/>
              <w:bottom w:val="single" w:color="auto" w:sz="4" w:space="0"/>
              <w:right w:val="single" w:color="auto" w:sz="4" w:space="0"/>
            </w:tcBorders>
          </w:tcPr>
          <w:p w14:paraId="78FB2B2B">
            <w:pPr>
              <w:jc w:val="right"/>
            </w:pPr>
            <w:r>
              <w:t>1,401,364.68</w:t>
            </w:r>
          </w:p>
        </w:tc>
        <w:tc>
          <w:tcPr>
            <w:tcW w:w="1184" w:type="pct"/>
            <w:tcBorders>
              <w:top w:val="single" w:color="auto" w:sz="4" w:space="0"/>
              <w:left w:val="single" w:color="auto" w:sz="4" w:space="0"/>
              <w:bottom w:val="single" w:color="auto" w:sz="4" w:space="0"/>
              <w:right w:val="single" w:color="auto" w:sz="4" w:space="0"/>
            </w:tcBorders>
          </w:tcPr>
          <w:p w14:paraId="56B40296">
            <w:pPr>
              <w:autoSpaceDE w:val="0"/>
              <w:autoSpaceDN w:val="0"/>
              <w:adjustRightInd w:val="0"/>
              <w:jc w:val="right"/>
            </w:pPr>
            <w:r>
              <w:t>5,154,298.40</w:t>
            </w:r>
          </w:p>
        </w:tc>
      </w:tr>
    </w:tbl>
    <w:p w14:paraId="2DCED230">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rFonts w:hint="eastAsia"/>
          <w:color w:val="000000" w:themeColor="text1"/>
          <w14:textFill>
            <w14:solidFill>
              <w14:schemeClr w14:val="tx1"/>
            </w14:solidFill>
          </w14:textFill>
        </w:rPr>
        <w:alias w:val="营业外支出说明"/>
        <w:tag w:val="_GBC_948d4d2c5cfc43b999d968de3476bc75"/>
        <w:id w:val="1122578877"/>
        <w:placeholder>
          <w:docPart w:val="GBC22222222222222222222222222222"/>
        </w:placeholder>
      </w:sdtPr>
      <w:sdtEndPr>
        <w:rPr>
          <w:rFonts w:hint="eastAsia"/>
          <w:color w:val="000000" w:themeColor="text1"/>
          <w14:textFill>
            <w14:solidFill>
              <w14:schemeClr w14:val="tx1"/>
            </w14:solidFill>
          </w14:textFill>
        </w:rPr>
      </w:sdtEndPr>
      <w:sdtContent>
        <w:p w14:paraId="72624B15">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3FE7680E">
      <w:pPr>
        <w:rPr>
          <w:color w:val="000000" w:themeColor="text1"/>
          <w14:textFill>
            <w14:solidFill>
              <w14:schemeClr w14:val="tx1"/>
            </w14:solidFill>
          </w14:textFill>
        </w:rPr>
      </w:pPr>
    </w:p>
    <w:p w14:paraId="2B8FABA4">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所得税费用</w:t>
      </w:r>
    </w:p>
    <w:p w14:paraId="41B88227">
      <w:pPr>
        <w:pStyle w:val="5"/>
        <w:numPr>
          <w:ilvl w:val="0"/>
          <w:numId w:val="87"/>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所得税费用表</w:t>
      </w:r>
    </w:p>
    <w:sdt>
      <w:sdtPr>
        <w:rPr>
          <w:color w:val="000000" w:themeColor="text1"/>
          <w14:textFill>
            <w14:solidFill>
              <w14:schemeClr w14:val="tx1"/>
            </w14:solidFill>
          </w14:textFill>
        </w:rPr>
        <w:alias w:val="是否适用：所得税费用表[双击切换]"/>
        <w:tag w:val="_GBC_61ff35087b014685a6e03347957ab922"/>
        <w:id w:val="1871646290"/>
        <w:placeholder>
          <w:docPart w:val="GBC22222222222222222222222222222"/>
        </w:placeholder>
      </w:sdtPr>
      <w:sdtEndPr>
        <w:rPr>
          <w:color w:val="000000" w:themeColor="text1"/>
          <w14:textFill>
            <w14:solidFill>
              <w14:schemeClr w14:val="tx1"/>
            </w14:solidFill>
          </w14:textFill>
        </w:rPr>
      </w:sdtEndPr>
      <w:sdtContent>
        <w:p w14:paraId="2011EEC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59B5E7D">
      <w:pPr>
        <w:rPr>
          <w:color w:val="000000" w:themeColor="text1"/>
          <w14:textFill>
            <w14:solidFill>
              <w14:schemeClr w14:val="tx1"/>
            </w14:solidFill>
          </w14:textFill>
        </w:rPr>
      </w:pPr>
    </w:p>
    <w:p w14:paraId="6B014B3C">
      <w:pPr>
        <w:pStyle w:val="5"/>
        <w:numPr>
          <w:ilvl w:val="0"/>
          <w:numId w:val="87"/>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会计利润与</w:t>
      </w:r>
      <w:r>
        <w:rPr>
          <w:rFonts w:hint="eastAsia" w:ascii="宋体" w:hAnsi="宋体"/>
          <w:color w:val="000000" w:themeColor="text1"/>
          <w14:textFill>
            <w14:solidFill>
              <w14:schemeClr w14:val="tx1"/>
            </w14:solidFill>
          </w14:textFill>
        </w:rPr>
        <w:t>所得税</w:t>
      </w:r>
      <w:r>
        <w:rPr>
          <w:rFonts w:hint="eastAsia" w:ascii="宋体" w:hAnsi="宋体"/>
          <w:color w:val="000000" w:themeColor="text1"/>
          <w:szCs w:val="21"/>
          <w14:textFill>
            <w14:solidFill>
              <w14:schemeClr w14:val="tx1"/>
            </w14:solidFill>
          </w14:textFill>
        </w:rPr>
        <w:t>费用调整过程</w:t>
      </w:r>
    </w:p>
    <w:sdt>
      <w:sdtPr>
        <w:rPr>
          <w:color w:val="000000" w:themeColor="text1"/>
          <w14:textFill>
            <w14:solidFill>
              <w14:schemeClr w14:val="tx1"/>
            </w14:solidFill>
          </w14:textFill>
        </w:rPr>
        <w:alias w:val="是否适用：会计利润与所得税费用调整过程[双击切换]"/>
        <w:tag w:val="_GBC_92a49ce6320645cc9101c809f426c9db"/>
        <w:id w:val="-840076044"/>
        <w:placeholder>
          <w:docPart w:val="GBC22222222222222222222222222222"/>
        </w:placeholder>
      </w:sdtPr>
      <w:sdtEndPr>
        <w:rPr>
          <w:color w:val="000000" w:themeColor="text1"/>
          <w14:textFill>
            <w14:solidFill>
              <w14:schemeClr w14:val="tx1"/>
            </w14:solidFill>
          </w14:textFill>
        </w:rPr>
      </w:sdtEndPr>
      <w:sdtContent>
        <w:p w14:paraId="0F38E23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8BF198D">
      <w:pPr>
        <w:rPr>
          <w:color w:val="000000" w:themeColor="text1"/>
          <w14:textFill>
            <w14:solidFill>
              <w14:schemeClr w14:val="tx1"/>
            </w14:solidFill>
          </w14:textFill>
        </w:rPr>
      </w:pPr>
    </w:p>
    <w:p w14:paraId="144BBCF7">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所得税费用的说明[双击切换]"/>
        <w:tag w:val="_GBC_0363d79a647b4d96aa5d7b72c93b1e45"/>
        <w:id w:val="879447003"/>
        <w:placeholder>
          <w:docPart w:val="GBC22222222222222222222222222222"/>
        </w:placeholder>
      </w:sdtPr>
      <w:sdtEndPr>
        <w:rPr>
          <w:color w:val="000000" w:themeColor="text1"/>
          <w14:textFill>
            <w14:solidFill>
              <w14:schemeClr w14:val="tx1"/>
            </w14:solidFill>
          </w14:textFill>
        </w:rPr>
      </w:sdtEndPr>
      <w:sdtContent>
        <w:p w14:paraId="7B1AD3B7">
          <w:pPr>
            <w:spacing w:before="60" w:after="6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F390D3D">
      <w:pPr>
        <w:rPr>
          <w:b/>
          <w:color w:val="000000" w:themeColor="text1"/>
          <w14:textFill>
            <w14:solidFill>
              <w14:schemeClr w14:val="tx1"/>
            </w14:solidFill>
          </w14:textFill>
        </w:rPr>
      </w:pPr>
    </w:p>
    <w:p w14:paraId="5ABDBD71">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其他综合收益</w:t>
      </w:r>
    </w:p>
    <w:sdt>
      <w:sdtPr>
        <w:rPr>
          <w:color w:val="000000" w:themeColor="text1"/>
          <w14:textFill>
            <w14:solidFill>
              <w14:schemeClr w14:val="tx1"/>
            </w14:solidFill>
          </w14:textFill>
        </w:rPr>
        <w:alias w:val="是否适用：其他综合收益[双击切换]"/>
        <w:tag w:val="_GBC_bef6c47936994e5e94c77d5dd812be30"/>
        <w:id w:val="417375031"/>
        <w:placeholder>
          <w:docPart w:val="GBC22222222222222222222222222222"/>
        </w:placeholder>
      </w:sdtPr>
      <w:sdtEndPr>
        <w:rPr>
          <w:color w:val="000000" w:themeColor="text1"/>
          <w14:textFill>
            <w14:solidFill>
              <w14:schemeClr w14:val="tx1"/>
            </w14:solidFill>
          </w14:textFill>
        </w:rPr>
      </w:sdtEndPr>
      <w:sdtContent>
        <w:p w14:paraId="398BCE7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37CC00A">
      <w:pPr>
        <w:rPr>
          <w:color w:val="000000" w:themeColor="text1"/>
          <w14:textFill>
            <w14:solidFill>
              <w14:schemeClr w14:val="tx1"/>
            </w14:solidFill>
          </w14:textFill>
        </w:rPr>
      </w:pPr>
    </w:p>
    <w:p w14:paraId="23E00F6F">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现金流量表项目</w:t>
      </w:r>
    </w:p>
    <w:p w14:paraId="65BCD9F5">
      <w:pPr>
        <w:pStyle w:val="5"/>
        <w:numPr>
          <w:ilvl w:val="0"/>
          <w:numId w:val="88"/>
        </w:numPr>
        <w:rPr>
          <w:color w:val="000000" w:themeColor="text1"/>
          <w14:textFill>
            <w14:solidFill>
              <w14:schemeClr w14:val="tx1"/>
            </w14:solidFill>
          </w14:textFill>
        </w:rPr>
      </w:pPr>
      <w:r>
        <w:rPr>
          <w:rFonts w:hint="eastAsia"/>
          <w:color w:val="000000" w:themeColor="text1"/>
          <w14:textFill>
            <w14:solidFill>
              <w14:schemeClr w14:val="tx1"/>
            </w14:solidFill>
          </w14:textFill>
        </w:rPr>
        <w:t>与经营活动有关的现金</w:t>
      </w:r>
    </w:p>
    <w:p w14:paraId="19027488">
      <w:pPr>
        <w:rPr>
          <w:color w:val="000000" w:themeColor="text1"/>
          <w14:textFill>
            <w14:solidFill>
              <w14:schemeClr w14:val="tx1"/>
            </w14:solidFill>
          </w14:textFill>
        </w:rPr>
      </w:pPr>
      <w:r>
        <w:rPr>
          <w:rFonts w:hint="eastAsia"/>
          <w:color w:val="000000" w:themeColor="text1"/>
          <w14:textFill>
            <w14:solidFill>
              <w14:schemeClr w14:val="tx1"/>
            </w14:solidFill>
          </w14:textFill>
        </w:rPr>
        <w:t>收到的其他与经营活动有关的现金</w:t>
      </w:r>
    </w:p>
    <w:sdt>
      <w:sdtPr>
        <w:rPr>
          <w:color w:val="000000" w:themeColor="text1"/>
          <w14:textFill>
            <w14:solidFill>
              <w14:schemeClr w14:val="tx1"/>
            </w14:solidFill>
          </w14:textFill>
        </w:rPr>
        <w:alias w:val="是否适用：收到的其他与经营活动有关的现金[双击切换]"/>
        <w:tag w:val="_GBC_c5c1fd7856fd40f88e814da378eb1220"/>
        <w:id w:val="59677001"/>
        <w:placeholder>
          <w:docPart w:val="GBC22222222222222222222222222222"/>
        </w:placeholder>
      </w:sdtPr>
      <w:sdtEndPr>
        <w:rPr>
          <w:color w:val="000000" w:themeColor="text1"/>
          <w14:textFill>
            <w14:solidFill>
              <w14:schemeClr w14:val="tx1"/>
            </w14:solidFill>
          </w14:textFill>
        </w:rPr>
      </w:sdtEndPr>
      <w:sdtContent>
        <w:p w14:paraId="0E3D47C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FF80E09">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收到的其他与经营活动有关的现金"/>
          <w:tag w:val="_GBC_5ccae82b68484e708f12fda90762616a"/>
          <w:id w:val="-3344580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收到的其他与经营活动有关的现金"/>
          <w:tag w:val="_GBC_fab1e143b1314991a3aebb857ed68a09"/>
          <w:id w:val="-198731423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3321"/>
        <w:gridCol w:w="2756"/>
        <w:gridCol w:w="2746"/>
      </w:tblGrid>
      <w:tr w14:paraId="54E9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sdt>
          <w:sdtPr>
            <w:tag w:val="_PLD_37a08d49f8e14506929ae8c9544c259e"/>
            <w:id w:val="1218546711"/>
          </w:sdtPr>
          <w:sdtContent>
            <w:tc>
              <w:tcPr>
                <w:tcW w:w="1882" w:type="pct"/>
              </w:tcPr>
              <w:p w14:paraId="4A3F6090">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f6cb8d17057e4de79000a7b7c263b07e"/>
            <w:id w:val="-1415934844"/>
          </w:sdtPr>
          <w:sdtContent>
            <w:tc>
              <w:tcPr>
                <w:tcW w:w="1562" w:type="pct"/>
              </w:tcPr>
              <w:p w14:paraId="7C68405D">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28d6db3ec51c43eb8751b53e93c8f270"/>
            <w:id w:val="123356048"/>
          </w:sdtPr>
          <w:sdtContent>
            <w:tc>
              <w:tcPr>
                <w:tcW w:w="1556" w:type="pct"/>
              </w:tcPr>
              <w:p w14:paraId="467A17A3">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561C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tcPr>
          <w:p w14:paraId="209654CC">
            <w:pPr>
              <w:autoSpaceDE w:val="0"/>
              <w:autoSpaceDN w:val="0"/>
              <w:adjustRightInd w:val="0"/>
              <w:snapToGrid w:val="0"/>
              <w:spacing w:line="240" w:lineRule="atLeast"/>
            </w:pPr>
            <w:r>
              <w:rPr>
                <w:rFonts w:hint="eastAsia" w:ascii="宋体" w:hAnsi="宋体"/>
              </w:rPr>
              <w:t>政府补助</w:t>
            </w:r>
          </w:p>
        </w:tc>
        <w:tc>
          <w:tcPr>
            <w:tcW w:w="1562" w:type="pct"/>
            <w:vAlign w:val="bottom"/>
          </w:tcPr>
          <w:p w14:paraId="423FD56D">
            <w:pPr>
              <w:jc w:val="right"/>
            </w:pPr>
            <w:r>
              <w:t>16,355,196.16</w:t>
            </w:r>
          </w:p>
        </w:tc>
        <w:tc>
          <w:tcPr>
            <w:tcW w:w="1556" w:type="pct"/>
          </w:tcPr>
          <w:p w14:paraId="25EB7CBC">
            <w:pPr>
              <w:jc w:val="right"/>
            </w:pPr>
            <w:r>
              <w:t>1,038,726.30</w:t>
            </w:r>
          </w:p>
        </w:tc>
      </w:tr>
      <w:tr w14:paraId="3194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tcPr>
          <w:p w14:paraId="2EA4DB91">
            <w:pPr>
              <w:autoSpaceDE w:val="0"/>
              <w:autoSpaceDN w:val="0"/>
              <w:adjustRightInd w:val="0"/>
              <w:snapToGrid w:val="0"/>
              <w:spacing w:line="240" w:lineRule="atLeast"/>
            </w:pPr>
            <w:r>
              <w:rPr>
                <w:rFonts w:hint="eastAsia" w:ascii="宋体" w:hAnsi="宋体"/>
              </w:rPr>
              <w:t>其他收入</w:t>
            </w:r>
          </w:p>
        </w:tc>
        <w:tc>
          <w:tcPr>
            <w:tcW w:w="1562" w:type="pct"/>
            <w:vAlign w:val="bottom"/>
          </w:tcPr>
          <w:p w14:paraId="05882877">
            <w:pPr>
              <w:jc w:val="right"/>
            </w:pPr>
            <w:r>
              <w:t>1,090,272.59</w:t>
            </w:r>
          </w:p>
        </w:tc>
        <w:tc>
          <w:tcPr>
            <w:tcW w:w="1556" w:type="pct"/>
          </w:tcPr>
          <w:p w14:paraId="53850817">
            <w:pPr>
              <w:jc w:val="right"/>
            </w:pPr>
            <w:r>
              <w:t>936,469.22</w:t>
            </w:r>
          </w:p>
        </w:tc>
      </w:tr>
      <w:tr w14:paraId="31E7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tcPr>
          <w:p w14:paraId="1D0DBA90">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562" w:type="pct"/>
            <w:vAlign w:val="bottom"/>
          </w:tcPr>
          <w:p w14:paraId="32BAEFD1">
            <w:pPr>
              <w:jc w:val="right"/>
            </w:pPr>
            <w:r>
              <w:t>17,445,468.75</w:t>
            </w:r>
          </w:p>
        </w:tc>
        <w:tc>
          <w:tcPr>
            <w:tcW w:w="1556" w:type="pct"/>
          </w:tcPr>
          <w:p w14:paraId="488F0608">
            <w:pPr>
              <w:jc w:val="right"/>
            </w:pPr>
            <w:r>
              <w:t>1,975,195.52</w:t>
            </w:r>
          </w:p>
        </w:tc>
      </w:tr>
    </w:tbl>
    <w:p w14:paraId="111B6829">
      <w:pPr>
        <w:snapToGrid w:val="0"/>
        <w:spacing w:before="60" w:after="60"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收到的其他与经营活动有关的现金说明：</w:t>
      </w:r>
    </w:p>
    <w:sdt>
      <w:sdtPr>
        <w:rPr>
          <w:color w:val="000000" w:themeColor="text1"/>
          <w14:textFill>
            <w14:solidFill>
              <w14:schemeClr w14:val="tx1"/>
            </w14:solidFill>
          </w14:textFill>
        </w:rPr>
        <w:alias w:val="收到的其他与经营活动有关的现金说明"/>
        <w:tag w:val="_GBC_1204b17e37bf4cc187a1ffb6f9463f05"/>
        <w:id w:val="930398190"/>
        <w:placeholder>
          <w:docPart w:val="GBC22222222222222222222222222222"/>
        </w:placeholder>
      </w:sdtPr>
      <w:sdtEndPr>
        <w:rPr>
          <w:color w:val="000000" w:themeColor="text1"/>
          <w14:textFill>
            <w14:solidFill>
              <w14:schemeClr w14:val="tx1"/>
            </w14:solidFill>
          </w14:textFill>
        </w:rPr>
      </w:sdtEndPr>
      <w:sdtContent>
        <w:p w14:paraId="6377B918">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0304C383">
      <w:pPr>
        <w:rPr>
          <w:color w:val="000000" w:themeColor="text1"/>
          <w14:textFill>
            <w14:solidFill>
              <w14:schemeClr w14:val="tx1"/>
            </w14:solidFill>
          </w14:textFill>
        </w:rPr>
      </w:pPr>
    </w:p>
    <w:p w14:paraId="68CD1A61">
      <w:pPr>
        <w:rPr>
          <w:color w:val="000000" w:themeColor="text1"/>
          <w14:textFill>
            <w14:solidFill>
              <w14:schemeClr w14:val="tx1"/>
            </w14:solidFill>
          </w14:textFill>
        </w:rPr>
      </w:pPr>
      <w:r>
        <w:rPr>
          <w:rFonts w:hint="eastAsia"/>
          <w:color w:val="000000" w:themeColor="text1"/>
          <w14:textFill>
            <w14:solidFill>
              <w14:schemeClr w14:val="tx1"/>
            </w14:solidFill>
          </w14:textFill>
        </w:rPr>
        <w:t>支付的其他与经营活动有关的现金</w:t>
      </w:r>
    </w:p>
    <w:sdt>
      <w:sdtPr>
        <w:rPr>
          <w:color w:val="000000" w:themeColor="text1"/>
          <w14:textFill>
            <w14:solidFill>
              <w14:schemeClr w14:val="tx1"/>
            </w14:solidFill>
          </w14:textFill>
        </w:rPr>
        <w:alias w:val="是否适用：支付的其他与经营活动有关的现金[双击切换]"/>
        <w:tag w:val="_GBC_73331002c48743d9a4438c6eb4a07c95"/>
        <w:id w:val="1712390564"/>
        <w:placeholder>
          <w:docPart w:val="GBC22222222222222222222222222222"/>
        </w:placeholder>
      </w:sdtPr>
      <w:sdtEndPr>
        <w:rPr>
          <w:color w:val="000000" w:themeColor="text1"/>
          <w14:textFill>
            <w14:solidFill>
              <w14:schemeClr w14:val="tx1"/>
            </w14:solidFill>
          </w14:textFill>
        </w:rPr>
      </w:sdtEndPr>
      <w:sdtContent>
        <w:p w14:paraId="1F79F86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53A2C08">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支付的其他与经营活动有关的现金"/>
          <w:tag w:val="_GBC_8252d4ac9be64f04b08b1dc08e270310"/>
          <w:id w:val="9953045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支付的其他与经营活动有关的现金"/>
          <w:tag w:val="_GBC_37de812db19b41c8a01d10d8b0365268"/>
          <w:id w:val="-17724642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3321"/>
        <w:gridCol w:w="2737"/>
        <w:gridCol w:w="2765"/>
      </w:tblGrid>
      <w:tr w14:paraId="0840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sdt>
          <w:sdtPr>
            <w:tag w:val="_PLD_164da6d2b96e42688b06fe557d996ac2"/>
            <w:id w:val="440815326"/>
          </w:sdtPr>
          <w:sdtContent>
            <w:tc>
              <w:tcPr>
                <w:tcW w:w="1882" w:type="pct"/>
              </w:tcPr>
              <w:p w14:paraId="43B7E860">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69d21b5f023448adbd8c69a7e96e585d"/>
            <w:id w:val="-364680074"/>
          </w:sdtPr>
          <w:sdtContent>
            <w:tc>
              <w:tcPr>
                <w:tcW w:w="1551" w:type="pct"/>
              </w:tcPr>
              <w:p w14:paraId="015A90EE">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fccf4811cdbb443297a0ce875715525f"/>
            <w:id w:val="945582121"/>
          </w:sdtPr>
          <w:sdtContent>
            <w:tc>
              <w:tcPr>
                <w:tcW w:w="1567" w:type="pct"/>
              </w:tcPr>
              <w:p w14:paraId="0A76BD13">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390A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tcPr>
          <w:p w14:paraId="250CE7BB">
            <w:pPr>
              <w:autoSpaceDE w:val="0"/>
              <w:autoSpaceDN w:val="0"/>
              <w:adjustRightInd w:val="0"/>
              <w:snapToGrid w:val="0"/>
            </w:pPr>
            <w:r>
              <w:rPr>
                <w:rFonts w:hint="eastAsia" w:ascii="宋体" w:hAnsi="宋体"/>
              </w:rPr>
              <w:t>管理费用中现金支出</w:t>
            </w:r>
          </w:p>
        </w:tc>
        <w:tc>
          <w:tcPr>
            <w:tcW w:w="1551" w:type="pct"/>
          </w:tcPr>
          <w:p w14:paraId="7B22A664">
            <w:pPr>
              <w:jc w:val="right"/>
            </w:pPr>
            <w:r>
              <w:t>16,768,232.09</w:t>
            </w:r>
          </w:p>
        </w:tc>
        <w:tc>
          <w:tcPr>
            <w:tcW w:w="1567" w:type="pct"/>
          </w:tcPr>
          <w:p w14:paraId="7B564E63">
            <w:pPr>
              <w:jc w:val="right"/>
            </w:pPr>
            <w:r>
              <w:t>21,842,535.76</w:t>
            </w:r>
          </w:p>
        </w:tc>
      </w:tr>
      <w:tr w14:paraId="1B1F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tcPr>
          <w:p w14:paraId="0C6CB2A8">
            <w:pPr>
              <w:autoSpaceDE w:val="0"/>
              <w:autoSpaceDN w:val="0"/>
              <w:adjustRightInd w:val="0"/>
              <w:snapToGrid w:val="0"/>
            </w:pPr>
            <w:r>
              <w:rPr>
                <w:rFonts w:hint="eastAsia" w:ascii="宋体" w:hAnsi="宋体"/>
              </w:rPr>
              <w:t>销售费用中现金支出</w:t>
            </w:r>
          </w:p>
        </w:tc>
        <w:tc>
          <w:tcPr>
            <w:tcW w:w="1551" w:type="pct"/>
          </w:tcPr>
          <w:p w14:paraId="410E8D21">
            <w:pPr>
              <w:jc w:val="right"/>
            </w:pPr>
            <w:r>
              <w:t>3,469,219.81</w:t>
            </w:r>
          </w:p>
        </w:tc>
        <w:tc>
          <w:tcPr>
            <w:tcW w:w="1567" w:type="pct"/>
          </w:tcPr>
          <w:p w14:paraId="66490A5F">
            <w:pPr>
              <w:jc w:val="right"/>
            </w:pPr>
            <w:r>
              <w:t>3,193,631.57</w:t>
            </w:r>
          </w:p>
        </w:tc>
      </w:tr>
      <w:tr w14:paraId="4696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tcPr>
          <w:p w14:paraId="249F8B3A">
            <w:pPr>
              <w:autoSpaceDE w:val="0"/>
              <w:autoSpaceDN w:val="0"/>
              <w:adjustRightInd w:val="0"/>
              <w:snapToGrid w:val="0"/>
            </w:pPr>
            <w:r>
              <w:rPr>
                <w:rFonts w:hint="eastAsia" w:ascii="宋体" w:hAnsi="宋体"/>
              </w:rPr>
              <w:t>研发费用中现金支出及其他</w:t>
            </w:r>
          </w:p>
        </w:tc>
        <w:tc>
          <w:tcPr>
            <w:tcW w:w="1551" w:type="pct"/>
          </w:tcPr>
          <w:p w14:paraId="17ACFBAD">
            <w:pPr>
              <w:jc w:val="right"/>
            </w:pPr>
            <w:r>
              <w:t>309,656.84</w:t>
            </w:r>
          </w:p>
        </w:tc>
        <w:tc>
          <w:tcPr>
            <w:tcW w:w="1567" w:type="pct"/>
          </w:tcPr>
          <w:p w14:paraId="623FD9E3">
            <w:pPr>
              <w:jc w:val="right"/>
            </w:pPr>
            <w:r>
              <w:t>5,391,578.09</w:t>
            </w:r>
          </w:p>
        </w:tc>
      </w:tr>
      <w:tr w14:paraId="393A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tcPr>
          <w:p w14:paraId="544216E7">
            <w:pPr>
              <w:autoSpaceDE w:val="0"/>
              <w:autoSpaceDN w:val="0"/>
              <w:adjustRightInd w:val="0"/>
              <w:snapToGrid w:val="0"/>
            </w:pPr>
            <w:r>
              <w:rPr>
                <w:rFonts w:hint="eastAsia" w:ascii="宋体" w:hAnsi="宋体"/>
              </w:rPr>
              <w:t>往来款式及其他</w:t>
            </w:r>
          </w:p>
        </w:tc>
        <w:tc>
          <w:tcPr>
            <w:tcW w:w="1551" w:type="pct"/>
          </w:tcPr>
          <w:p w14:paraId="06759169">
            <w:pPr>
              <w:jc w:val="right"/>
            </w:pPr>
            <w:r>
              <w:t>42,577,195.63</w:t>
            </w:r>
          </w:p>
        </w:tc>
        <w:tc>
          <w:tcPr>
            <w:tcW w:w="1567" w:type="pct"/>
          </w:tcPr>
          <w:p w14:paraId="6758156D">
            <w:pPr>
              <w:jc w:val="right"/>
            </w:pPr>
            <w:r>
              <w:t>28,305,624.52</w:t>
            </w:r>
          </w:p>
        </w:tc>
      </w:tr>
      <w:tr w14:paraId="6BAC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tcPr>
          <w:p w14:paraId="225DB336">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551" w:type="pct"/>
          </w:tcPr>
          <w:p w14:paraId="7FB0EF3D">
            <w:pPr>
              <w:jc w:val="right"/>
            </w:pPr>
            <w:r>
              <w:t>63,124,304.37</w:t>
            </w:r>
          </w:p>
        </w:tc>
        <w:tc>
          <w:tcPr>
            <w:tcW w:w="1567" w:type="pct"/>
          </w:tcPr>
          <w:p w14:paraId="41D6E215">
            <w:pPr>
              <w:jc w:val="right"/>
            </w:pPr>
            <w:r>
              <w:t>58,733,369.94</w:t>
            </w:r>
          </w:p>
        </w:tc>
      </w:tr>
    </w:tbl>
    <w:p w14:paraId="4584D4D1">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支付的其他与经营活动有关的现金说明：</w:t>
      </w:r>
    </w:p>
    <w:sdt>
      <w:sdtPr>
        <w:rPr>
          <w:rFonts w:hint="eastAsia"/>
          <w:color w:val="000000" w:themeColor="text1"/>
          <w14:textFill>
            <w14:solidFill>
              <w14:schemeClr w14:val="tx1"/>
            </w14:solidFill>
          </w14:textFill>
        </w:rPr>
        <w:alias w:val="支付的其他与经营活动有关的现金说明"/>
        <w:tag w:val="_GBC_632dc3caefd547b5b57f9340a021af22"/>
        <w:id w:val="736213174"/>
        <w:placeholder>
          <w:docPart w:val="GBC22222222222222222222222222222"/>
        </w:placeholder>
      </w:sdtPr>
      <w:sdtEndPr>
        <w:rPr>
          <w:rFonts w:hint="eastAsia"/>
          <w:color w:val="000000" w:themeColor="text1"/>
          <w14:textFill>
            <w14:solidFill>
              <w14:schemeClr w14:val="tx1"/>
            </w14:solidFill>
          </w14:textFill>
        </w:rPr>
      </w:sdtEndPr>
      <w:sdtContent>
        <w:p w14:paraId="13E528E0">
          <w:pPr>
            <w:ind w:right="5"/>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595DCFC6">
      <w:pPr>
        <w:ind w:right="5"/>
        <w:rPr>
          <w:color w:val="000000" w:themeColor="text1"/>
          <w14:textFill>
            <w14:solidFill>
              <w14:schemeClr w14:val="tx1"/>
            </w14:solidFill>
          </w14:textFill>
        </w:rPr>
      </w:pPr>
    </w:p>
    <w:p w14:paraId="7EF8B3D2">
      <w:pPr>
        <w:pStyle w:val="5"/>
        <w:numPr>
          <w:ilvl w:val="0"/>
          <w:numId w:val="88"/>
        </w:numPr>
        <w:rPr>
          <w:rFonts w:hint="eastAsia" w:ascii="宋体" w:hAnsi="宋体" w:cs="宋体"/>
          <w:color w:val="000000" w:themeColor="text1"/>
          <w:kern w:val="0"/>
          <w:szCs w:val="21"/>
          <w14:textFill>
            <w14:solidFill>
              <w14:schemeClr w14:val="tx1"/>
            </w14:solidFill>
          </w14:textFill>
        </w:rPr>
      </w:pPr>
      <w:bookmarkStart w:id="379" w:name="_Hlk167970426"/>
      <w:r>
        <w:rPr>
          <w:rFonts w:hint="eastAsia" w:ascii="宋体" w:hAnsi="宋体" w:cs="宋体"/>
          <w:color w:val="000000" w:themeColor="text1"/>
          <w:kern w:val="0"/>
          <w:szCs w:val="21"/>
          <w14:textFill>
            <w14:solidFill>
              <w14:schemeClr w14:val="tx1"/>
            </w14:solidFill>
          </w14:textFill>
        </w:rPr>
        <w:t>与投资活动有关的现金</w:t>
      </w:r>
    </w:p>
    <w:p w14:paraId="261777C7">
      <w:pPr>
        <w:rPr>
          <w:color w:val="000000" w:themeColor="text1"/>
          <w14:textFill>
            <w14:solidFill>
              <w14:schemeClr w14:val="tx1"/>
            </w14:solidFill>
          </w14:textFill>
        </w:rPr>
      </w:pPr>
      <w:r>
        <w:rPr>
          <w:rFonts w:hint="eastAsia"/>
          <w:color w:val="000000" w:themeColor="text1"/>
          <w14:textFill>
            <w14:solidFill>
              <w14:schemeClr w14:val="tx1"/>
            </w14:solidFill>
          </w14:textFill>
        </w:rPr>
        <w:t>收到的重要的投资活动有关的现金</w:t>
      </w:r>
    </w:p>
    <w:sdt>
      <w:sdtPr>
        <w:rPr>
          <w:color w:val="000000" w:themeColor="text1"/>
          <w14:textFill>
            <w14:solidFill>
              <w14:schemeClr w14:val="tx1"/>
            </w14:solidFill>
          </w14:textFill>
        </w:rPr>
        <w:alias w:val="是否适用：收到的重要的投资活动有关的现金[双击切换]"/>
        <w:tag w:val="_GBC_f56d2779677b47b3ba2b7e5e0b1d3d89"/>
        <w:id w:val="-2030402877"/>
        <w:placeholder>
          <w:docPart w:val="GBC22222222222222222222222222222"/>
        </w:placeholder>
      </w:sdtPr>
      <w:sdtEndPr>
        <w:rPr>
          <w:color w:val="000000" w:themeColor="text1"/>
          <w14:textFill>
            <w14:solidFill>
              <w14:schemeClr w14:val="tx1"/>
            </w14:solidFill>
          </w14:textFill>
        </w:rPr>
      </w:sdtEndPr>
      <w:sdtContent>
        <w:p w14:paraId="6D5AC3C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434A45F">
      <w:pPr>
        <w:rPr>
          <w:color w:val="000000" w:themeColor="text1"/>
          <w14:textFill>
            <w14:solidFill>
              <w14:schemeClr w14:val="tx1"/>
            </w14:solidFill>
          </w14:textFill>
        </w:rPr>
      </w:pPr>
    </w:p>
    <w:p w14:paraId="3292A628">
      <w:pPr>
        <w:rPr>
          <w:color w:val="000000" w:themeColor="text1"/>
          <w14:textFill>
            <w14:solidFill>
              <w14:schemeClr w14:val="tx1"/>
            </w14:solidFill>
          </w14:textFill>
        </w:rPr>
      </w:pPr>
    </w:p>
    <w:p w14:paraId="3EFD179C">
      <w:pPr>
        <w:rPr>
          <w:color w:val="000000" w:themeColor="text1"/>
          <w14:textFill>
            <w14:solidFill>
              <w14:schemeClr w14:val="tx1"/>
            </w14:solidFill>
          </w14:textFill>
        </w:rPr>
      </w:pPr>
      <w:r>
        <w:rPr>
          <w:rFonts w:hint="eastAsia"/>
          <w:color w:val="000000" w:themeColor="text1"/>
          <w14:textFill>
            <w14:solidFill>
              <w14:schemeClr w14:val="tx1"/>
            </w14:solidFill>
          </w14:textFill>
        </w:rPr>
        <w:t>支付的重要的投资活动有关的现金</w:t>
      </w:r>
    </w:p>
    <w:sdt>
      <w:sdtPr>
        <w:rPr>
          <w:color w:val="000000" w:themeColor="text1"/>
          <w14:textFill>
            <w14:solidFill>
              <w14:schemeClr w14:val="tx1"/>
            </w14:solidFill>
          </w14:textFill>
        </w:rPr>
        <w:alias w:val="是否适用：支付的重要的投资活动有关的现金[双击切换]"/>
        <w:tag w:val="_GBC_e489b143c5a245a9bd1fb9c8c46d7528"/>
        <w:id w:val="1063442076"/>
        <w:placeholder>
          <w:docPart w:val="GBC22222222222222222222222222222"/>
        </w:placeholder>
      </w:sdtPr>
      <w:sdtEndPr>
        <w:rPr>
          <w:color w:val="000000" w:themeColor="text1"/>
          <w14:textFill>
            <w14:solidFill>
              <w14:schemeClr w14:val="tx1"/>
            </w14:solidFill>
          </w14:textFill>
        </w:rPr>
      </w:sdtEndPr>
      <w:sdtContent>
        <w:p w14:paraId="0E7F95A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FC44194">
      <w:pPr>
        <w:rPr>
          <w:color w:val="000000" w:themeColor="text1"/>
          <w14:textFill>
            <w14:solidFill>
              <w14:schemeClr w14:val="tx1"/>
            </w14:solidFill>
          </w14:textFill>
        </w:rPr>
      </w:pPr>
    </w:p>
    <w:p w14:paraId="6714A7F9">
      <w:pPr>
        <w:rPr>
          <w:color w:val="000000" w:themeColor="text1"/>
          <w14:textFill>
            <w14:solidFill>
              <w14:schemeClr w14:val="tx1"/>
            </w14:solidFill>
          </w14:textFill>
        </w:rPr>
      </w:pPr>
    </w:p>
    <w:bookmarkEnd w:id="379"/>
    <w:p w14:paraId="1E7CFA2A">
      <w:pPr>
        <w:rPr>
          <w:color w:val="000000" w:themeColor="text1"/>
          <w14:textFill>
            <w14:solidFill>
              <w14:schemeClr w14:val="tx1"/>
            </w14:solidFill>
          </w14:textFill>
        </w:rPr>
      </w:pPr>
      <w:r>
        <w:rPr>
          <w:rFonts w:hint="eastAsia"/>
          <w:color w:val="000000" w:themeColor="text1"/>
          <w14:textFill>
            <w14:solidFill>
              <w14:schemeClr w14:val="tx1"/>
            </w14:solidFill>
          </w14:textFill>
        </w:rPr>
        <w:t>收到的其他与投资活动有关的现金</w:t>
      </w:r>
    </w:p>
    <w:sdt>
      <w:sdtPr>
        <w:rPr>
          <w:color w:val="000000" w:themeColor="text1"/>
          <w14:textFill>
            <w14:solidFill>
              <w14:schemeClr w14:val="tx1"/>
            </w14:solidFill>
          </w14:textFill>
        </w:rPr>
        <w:alias w:val="是否适用：收到的其他与投资活动有关的现金[双击切换]"/>
        <w:tag w:val="_GBC_ae3b1cf9e3aa408a8867e76d71769712"/>
        <w:id w:val="-1653664709"/>
        <w:placeholder>
          <w:docPart w:val="GBC22222222222222222222222222222"/>
        </w:placeholder>
      </w:sdtPr>
      <w:sdtEndPr>
        <w:rPr>
          <w:color w:val="000000" w:themeColor="text1"/>
          <w14:textFill>
            <w14:solidFill>
              <w14:schemeClr w14:val="tx1"/>
            </w14:solidFill>
          </w14:textFill>
        </w:rPr>
      </w:sdtEndPr>
      <w:sdtContent>
        <w:p w14:paraId="3B95D6A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D697578">
      <w:pPr>
        <w:snapToGrid w:val="0"/>
        <w:spacing w:line="240" w:lineRule="atLeast"/>
        <w:rPr>
          <w:color w:val="000000" w:themeColor="text1"/>
          <w14:textFill>
            <w14:solidFill>
              <w14:schemeClr w14:val="tx1"/>
            </w14:solidFill>
          </w14:textFill>
        </w:rPr>
      </w:pPr>
    </w:p>
    <w:p w14:paraId="71CC4D24">
      <w:pPr>
        <w:rPr>
          <w:color w:val="000000" w:themeColor="text1"/>
          <w14:textFill>
            <w14:solidFill>
              <w14:schemeClr w14:val="tx1"/>
            </w14:solidFill>
          </w14:textFill>
        </w:rPr>
      </w:pPr>
    </w:p>
    <w:p w14:paraId="45B84208">
      <w:pPr>
        <w:rPr>
          <w:color w:val="000000" w:themeColor="text1"/>
          <w14:textFill>
            <w14:solidFill>
              <w14:schemeClr w14:val="tx1"/>
            </w14:solidFill>
          </w14:textFill>
        </w:rPr>
      </w:pPr>
      <w:r>
        <w:rPr>
          <w:rFonts w:hint="eastAsia"/>
          <w:color w:val="000000" w:themeColor="text1"/>
          <w14:textFill>
            <w14:solidFill>
              <w14:schemeClr w14:val="tx1"/>
            </w14:solidFill>
          </w14:textFill>
        </w:rPr>
        <w:t>支付的其他与投资活动有关的现金</w:t>
      </w:r>
    </w:p>
    <w:sdt>
      <w:sdtPr>
        <w:rPr>
          <w:color w:val="000000" w:themeColor="text1"/>
          <w14:textFill>
            <w14:solidFill>
              <w14:schemeClr w14:val="tx1"/>
            </w14:solidFill>
          </w14:textFill>
        </w:rPr>
        <w:alias w:val="是否适用：支付的其他与投资活动有关的现金[双击切换]"/>
        <w:tag w:val="_GBC_8862c0a38548482cb3b55a82757e3e33"/>
        <w:id w:val="-366137921"/>
        <w:placeholder>
          <w:docPart w:val="GBC22222222222222222222222222222"/>
        </w:placeholder>
      </w:sdtPr>
      <w:sdtEndPr>
        <w:rPr>
          <w:color w:val="000000" w:themeColor="text1"/>
          <w14:textFill>
            <w14:solidFill>
              <w14:schemeClr w14:val="tx1"/>
            </w14:solidFill>
          </w14:textFill>
        </w:rPr>
      </w:sdtEndPr>
      <w:sdtContent>
        <w:p w14:paraId="48CA12B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7810645">
      <w:pPr>
        <w:rPr>
          <w:color w:val="000000" w:themeColor="text1"/>
          <w14:textFill>
            <w14:solidFill>
              <w14:schemeClr w14:val="tx1"/>
            </w14:solidFill>
          </w14:textFill>
        </w:rPr>
      </w:pPr>
    </w:p>
    <w:p w14:paraId="0BDA6893">
      <w:pPr>
        <w:rPr>
          <w:color w:val="000000" w:themeColor="text1"/>
          <w14:textFill>
            <w14:solidFill>
              <w14:schemeClr w14:val="tx1"/>
            </w14:solidFill>
          </w14:textFill>
        </w:rPr>
      </w:pPr>
    </w:p>
    <w:p w14:paraId="54EA8B45">
      <w:pPr>
        <w:pStyle w:val="5"/>
        <w:numPr>
          <w:ilvl w:val="0"/>
          <w:numId w:val="88"/>
        </w:numP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与筹资活动有关的现金</w:t>
      </w:r>
    </w:p>
    <w:p w14:paraId="44EDB4ED">
      <w:pPr>
        <w:rPr>
          <w:color w:val="000000" w:themeColor="text1"/>
          <w14:textFill>
            <w14:solidFill>
              <w14:schemeClr w14:val="tx1"/>
            </w14:solidFill>
          </w14:textFill>
        </w:rPr>
      </w:pPr>
      <w:r>
        <w:rPr>
          <w:rFonts w:hint="eastAsia"/>
          <w:color w:val="000000" w:themeColor="text1"/>
          <w14:textFill>
            <w14:solidFill>
              <w14:schemeClr w14:val="tx1"/>
            </w14:solidFill>
          </w14:textFill>
        </w:rPr>
        <w:t>收到的其他与筹资活动有关的现金</w:t>
      </w:r>
    </w:p>
    <w:sdt>
      <w:sdtPr>
        <w:rPr>
          <w:color w:val="000000" w:themeColor="text1"/>
          <w14:textFill>
            <w14:solidFill>
              <w14:schemeClr w14:val="tx1"/>
            </w14:solidFill>
          </w14:textFill>
        </w:rPr>
        <w:alias w:val="是否适用：收到的其他与筹资活动有关的现金[双击切换]"/>
        <w:tag w:val="_GBC_6e82da4b55134cf6aacd6132e71f2c27"/>
        <w:id w:val="511573738"/>
        <w:placeholder>
          <w:docPart w:val="GBC22222222222222222222222222222"/>
        </w:placeholder>
      </w:sdtPr>
      <w:sdtEndPr>
        <w:rPr>
          <w:color w:val="000000" w:themeColor="text1"/>
          <w14:textFill>
            <w14:solidFill>
              <w14:schemeClr w14:val="tx1"/>
            </w14:solidFill>
          </w14:textFill>
        </w:rPr>
      </w:sdtEndPr>
      <w:sdtContent>
        <w:p w14:paraId="6E42C04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1D7A8B5">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收到的其他与筹资活动有关的现金"/>
          <w:tag w:val="_GBC_54c629439974499c9df52a114b0272b9"/>
          <w:id w:val="-8573387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收到的其他与筹资活动有关的现金"/>
          <w:tag w:val="_GBC_0d3b28d58a83411db264b55c970f7fc6"/>
          <w:id w:val="182415781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3321"/>
        <w:gridCol w:w="2841"/>
        <w:gridCol w:w="2661"/>
      </w:tblGrid>
      <w:tr w14:paraId="7FEC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sdt>
          <w:sdtPr>
            <w:tag w:val="_PLD_45e71f75634d40e399bff943b12676a7"/>
            <w:id w:val="-946234650"/>
          </w:sdtPr>
          <w:sdtContent>
            <w:tc>
              <w:tcPr>
                <w:tcW w:w="1882" w:type="pct"/>
              </w:tcPr>
              <w:p w14:paraId="196FE8B8">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f7b1d7d1151a486eb8533f96d22cda73"/>
            <w:id w:val="-740479327"/>
          </w:sdtPr>
          <w:sdtContent>
            <w:tc>
              <w:tcPr>
                <w:tcW w:w="1610" w:type="pct"/>
              </w:tcPr>
              <w:p w14:paraId="753FA0D3">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fcd73629839441d485ad661b0568d6af"/>
            <w:id w:val="367572539"/>
          </w:sdtPr>
          <w:sdtContent>
            <w:tc>
              <w:tcPr>
                <w:tcW w:w="1508" w:type="pct"/>
              </w:tcPr>
              <w:p w14:paraId="2509B185">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52EA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vAlign w:val="center"/>
          </w:tcPr>
          <w:p w14:paraId="1BD55529">
            <w:pPr>
              <w:autoSpaceDE w:val="0"/>
              <w:autoSpaceDN w:val="0"/>
              <w:adjustRightInd w:val="0"/>
              <w:snapToGrid w:val="0"/>
            </w:pPr>
            <w:r>
              <w:rPr>
                <w:rFonts w:hint="eastAsia" w:ascii="宋体" w:hAnsi="宋体"/>
                <w:color w:val="000000"/>
              </w:rPr>
              <w:t>利息收入</w:t>
            </w:r>
          </w:p>
        </w:tc>
        <w:tc>
          <w:tcPr>
            <w:tcW w:w="1610" w:type="pct"/>
            <w:vAlign w:val="bottom"/>
          </w:tcPr>
          <w:p w14:paraId="6230B3AD">
            <w:pPr>
              <w:jc w:val="right"/>
            </w:pPr>
            <w:r>
              <w:t>3,621,689.51</w:t>
            </w:r>
          </w:p>
        </w:tc>
        <w:tc>
          <w:tcPr>
            <w:tcW w:w="1508" w:type="pct"/>
          </w:tcPr>
          <w:p w14:paraId="0169CD04">
            <w:pPr>
              <w:jc w:val="right"/>
            </w:pPr>
            <w:r>
              <w:t>7,210,805.31</w:t>
            </w:r>
          </w:p>
        </w:tc>
      </w:tr>
      <w:tr w14:paraId="3979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vAlign w:val="center"/>
          </w:tcPr>
          <w:p w14:paraId="1498430D">
            <w:pPr>
              <w:autoSpaceDE w:val="0"/>
              <w:autoSpaceDN w:val="0"/>
              <w:adjustRightInd w:val="0"/>
              <w:snapToGrid w:val="0"/>
            </w:pPr>
            <w:r>
              <w:rPr>
                <w:rFonts w:hint="eastAsia" w:ascii="宋体" w:hAnsi="宋体"/>
                <w:color w:val="000000"/>
              </w:rPr>
              <w:t>收到的融资租赁借款</w:t>
            </w:r>
          </w:p>
        </w:tc>
        <w:tc>
          <w:tcPr>
            <w:tcW w:w="1610" w:type="pct"/>
            <w:vAlign w:val="bottom"/>
          </w:tcPr>
          <w:p w14:paraId="3050F9AE">
            <w:pPr>
              <w:jc w:val="right"/>
            </w:pPr>
            <w:r>
              <w:t>31,700,000.00</w:t>
            </w:r>
          </w:p>
        </w:tc>
        <w:tc>
          <w:tcPr>
            <w:tcW w:w="1508" w:type="pct"/>
          </w:tcPr>
          <w:p w14:paraId="2D874547">
            <w:pPr>
              <w:jc w:val="right"/>
            </w:pPr>
            <w:r>
              <w:t>62,000,000.00</w:t>
            </w:r>
          </w:p>
        </w:tc>
      </w:tr>
      <w:tr w14:paraId="39DB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vAlign w:val="center"/>
          </w:tcPr>
          <w:p w14:paraId="31955623">
            <w:pPr>
              <w:autoSpaceDE w:val="0"/>
              <w:autoSpaceDN w:val="0"/>
              <w:adjustRightInd w:val="0"/>
              <w:snapToGrid w:val="0"/>
            </w:pPr>
            <w:r>
              <w:rPr>
                <w:rFonts w:hint="eastAsia" w:ascii="宋体" w:hAnsi="宋体"/>
                <w:color w:val="000000"/>
              </w:rPr>
              <w:t>收到的票据保证金到期现金</w:t>
            </w:r>
          </w:p>
        </w:tc>
        <w:tc>
          <w:tcPr>
            <w:tcW w:w="1610" w:type="pct"/>
            <w:vAlign w:val="bottom"/>
          </w:tcPr>
          <w:p w14:paraId="49164B04">
            <w:pPr>
              <w:jc w:val="right"/>
            </w:pPr>
            <w:r>
              <w:t>412,863,885.18</w:t>
            </w:r>
          </w:p>
        </w:tc>
        <w:tc>
          <w:tcPr>
            <w:tcW w:w="1508" w:type="pct"/>
          </w:tcPr>
          <w:p w14:paraId="7748AB2C">
            <w:pPr>
              <w:jc w:val="right"/>
            </w:pPr>
            <w:r>
              <w:t>405,300,016.18</w:t>
            </w:r>
          </w:p>
        </w:tc>
      </w:tr>
      <w:tr w14:paraId="4824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tcPr>
          <w:p w14:paraId="07984C12">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10" w:type="pct"/>
            <w:vAlign w:val="bottom"/>
          </w:tcPr>
          <w:p w14:paraId="78AAFFFD">
            <w:pPr>
              <w:jc w:val="right"/>
            </w:pPr>
            <w:r>
              <w:t>448,185,574.69</w:t>
            </w:r>
          </w:p>
        </w:tc>
        <w:tc>
          <w:tcPr>
            <w:tcW w:w="1508" w:type="pct"/>
          </w:tcPr>
          <w:p w14:paraId="532B889E">
            <w:pPr>
              <w:jc w:val="right"/>
            </w:pPr>
            <w:r>
              <w:t>474,510,821.49</w:t>
            </w:r>
          </w:p>
        </w:tc>
      </w:tr>
    </w:tbl>
    <w:p w14:paraId="4B59D013">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收到的其他与筹资活动有关的现金说明：</w:t>
      </w:r>
    </w:p>
    <w:sdt>
      <w:sdtPr>
        <w:rPr>
          <w:rFonts w:hint="eastAsia"/>
          <w:color w:val="000000" w:themeColor="text1"/>
          <w14:textFill>
            <w14:solidFill>
              <w14:schemeClr w14:val="tx1"/>
            </w14:solidFill>
          </w14:textFill>
        </w:rPr>
        <w:alias w:val="收到的其他与筹资活动有关的现金说明"/>
        <w:tag w:val="_GBC_cf160106b6d34224a1fbd183426812af"/>
        <w:id w:val="1547027474"/>
        <w:placeholder>
          <w:docPart w:val="GBC22222222222222222222222222222"/>
        </w:placeholder>
      </w:sdtPr>
      <w:sdtEndPr>
        <w:rPr>
          <w:rFonts w:hint="eastAsia"/>
          <w:color w:val="000000" w:themeColor="text1"/>
          <w:szCs w:val="22"/>
          <w14:textFill>
            <w14:solidFill>
              <w14:schemeClr w14:val="tx1"/>
            </w14:solidFill>
          </w14:textFill>
        </w:rPr>
      </w:sdtEndPr>
      <w:sdtContent>
        <w:p w14:paraId="4F9042E4">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6C63046F">
      <w:pPr>
        <w:rPr>
          <w:color w:val="000000" w:themeColor="text1"/>
          <w14:textFill>
            <w14:solidFill>
              <w14:schemeClr w14:val="tx1"/>
            </w14:solidFill>
          </w14:textFill>
        </w:rPr>
      </w:pPr>
    </w:p>
    <w:p w14:paraId="2DAE0DD6">
      <w:pPr>
        <w:rPr>
          <w:color w:val="000000" w:themeColor="text1"/>
          <w14:textFill>
            <w14:solidFill>
              <w14:schemeClr w14:val="tx1"/>
            </w14:solidFill>
          </w14:textFill>
        </w:rPr>
      </w:pPr>
      <w:r>
        <w:rPr>
          <w:rFonts w:hint="eastAsia"/>
          <w:color w:val="000000" w:themeColor="text1"/>
          <w14:textFill>
            <w14:solidFill>
              <w14:schemeClr w14:val="tx1"/>
            </w14:solidFill>
          </w14:textFill>
        </w:rPr>
        <w:t>支付的其他与筹资活动有关的现金</w:t>
      </w:r>
    </w:p>
    <w:sdt>
      <w:sdtPr>
        <w:rPr>
          <w:color w:val="000000" w:themeColor="text1"/>
          <w14:textFill>
            <w14:solidFill>
              <w14:schemeClr w14:val="tx1"/>
            </w14:solidFill>
          </w14:textFill>
        </w:rPr>
        <w:alias w:val="是否适用：支付的其他与筹资活动有关的现金[双击切换]"/>
        <w:tag w:val="_GBC_cf7fd4869f8d4d98a07243e22bf22793"/>
        <w:id w:val="1370107448"/>
        <w:placeholder>
          <w:docPart w:val="GBC22222222222222222222222222222"/>
        </w:placeholder>
      </w:sdtPr>
      <w:sdtEndPr>
        <w:rPr>
          <w:color w:val="000000" w:themeColor="text1"/>
          <w14:textFill>
            <w14:solidFill>
              <w14:schemeClr w14:val="tx1"/>
            </w14:solidFill>
          </w14:textFill>
        </w:rPr>
      </w:sdtEndPr>
      <w:sdtContent>
        <w:p w14:paraId="095599C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3F9CC6D">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支付的其他与筹资活动有关的现金"/>
          <w:tag w:val="_GBC_323ca3d874214911880818d387e0c63b"/>
          <w:id w:val="16934929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支付的其他与筹资活动有关的现金"/>
          <w:tag w:val="_GBC_d6726952256941209f32bac8fffa568d"/>
          <w:id w:val="70722689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3321"/>
        <w:gridCol w:w="2841"/>
        <w:gridCol w:w="2661"/>
      </w:tblGrid>
      <w:tr w14:paraId="5F43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sdt>
          <w:sdtPr>
            <w:tag w:val="_PLD_2b9da6111f3f4cacb3afcfc0de00e1e9"/>
            <w:id w:val="-1374991802"/>
          </w:sdtPr>
          <w:sdtContent>
            <w:tc>
              <w:tcPr>
                <w:tcW w:w="1882" w:type="pct"/>
              </w:tcPr>
              <w:p w14:paraId="1124369C">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b6791a7f5c234d80be8964d8fb7b3ce6"/>
            <w:id w:val="-1426180293"/>
          </w:sdtPr>
          <w:sdtContent>
            <w:tc>
              <w:tcPr>
                <w:tcW w:w="1610" w:type="pct"/>
              </w:tcPr>
              <w:p w14:paraId="354FBD50">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b4a33da4012d47bd8013a6c570bcad87"/>
            <w:id w:val="303740931"/>
          </w:sdtPr>
          <w:sdtContent>
            <w:tc>
              <w:tcPr>
                <w:tcW w:w="1508" w:type="pct"/>
              </w:tcPr>
              <w:p w14:paraId="4F1E7A35">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1A2C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vAlign w:val="center"/>
          </w:tcPr>
          <w:p w14:paraId="2CA6148E">
            <w:pPr>
              <w:autoSpaceDE w:val="0"/>
              <w:autoSpaceDN w:val="0"/>
              <w:adjustRightInd w:val="0"/>
              <w:snapToGrid w:val="0"/>
            </w:pPr>
            <w:r>
              <w:rPr>
                <w:rFonts w:hint="eastAsia" w:ascii="宋体" w:hAnsi="宋体"/>
                <w:color w:val="000000"/>
              </w:rPr>
              <w:t>支付票据保证金</w:t>
            </w:r>
          </w:p>
        </w:tc>
        <w:tc>
          <w:tcPr>
            <w:tcW w:w="1610" w:type="pct"/>
            <w:vAlign w:val="bottom"/>
          </w:tcPr>
          <w:p w14:paraId="7A6F63B3">
            <w:pPr>
              <w:jc w:val="right"/>
            </w:pPr>
            <w:r>
              <w:t>509,076,429.61</w:t>
            </w:r>
          </w:p>
        </w:tc>
        <w:tc>
          <w:tcPr>
            <w:tcW w:w="1508" w:type="pct"/>
          </w:tcPr>
          <w:p w14:paraId="1E50BB3F">
            <w:pPr>
              <w:jc w:val="right"/>
            </w:pPr>
            <w:r>
              <w:t>680,378,636.60</w:t>
            </w:r>
          </w:p>
        </w:tc>
      </w:tr>
      <w:tr w14:paraId="2881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vAlign w:val="center"/>
          </w:tcPr>
          <w:p w14:paraId="2A9609F0">
            <w:pPr>
              <w:autoSpaceDE w:val="0"/>
              <w:autoSpaceDN w:val="0"/>
              <w:adjustRightInd w:val="0"/>
              <w:snapToGrid w:val="0"/>
            </w:pPr>
            <w:r>
              <w:rPr>
                <w:rFonts w:hint="eastAsia" w:ascii="宋体" w:hAnsi="宋体"/>
                <w:color w:val="000000"/>
              </w:rPr>
              <w:t>支付融资租赁本金</w:t>
            </w:r>
          </w:p>
        </w:tc>
        <w:tc>
          <w:tcPr>
            <w:tcW w:w="1610" w:type="pct"/>
            <w:vAlign w:val="bottom"/>
          </w:tcPr>
          <w:p w14:paraId="59080817">
            <w:pPr>
              <w:jc w:val="right"/>
            </w:pPr>
            <w:r>
              <w:t>58,338,915.77</w:t>
            </w:r>
          </w:p>
        </w:tc>
        <w:tc>
          <w:tcPr>
            <w:tcW w:w="1508" w:type="pct"/>
          </w:tcPr>
          <w:p w14:paraId="242B3445">
            <w:pPr>
              <w:jc w:val="right"/>
            </w:pPr>
            <w:r>
              <w:t>67,347,310.48</w:t>
            </w:r>
          </w:p>
        </w:tc>
      </w:tr>
      <w:tr w14:paraId="0815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82" w:type="pct"/>
          </w:tcPr>
          <w:p w14:paraId="7ADDDC05">
            <w:pPr>
              <w:autoSpaceDE w:val="0"/>
              <w:autoSpaceDN w:val="0"/>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10" w:type="pct"/>
            <w:vAlign w:val="bottom"/>
          </w:tcPr>
          <w:p w14:paraId="2C4EA0C8">
            <w:pPr>
              <w:jc w:val="right"/>
            </w:pPr>
            <w:r>
              <w:t>567,415,345.38</w:t>
            </w:r>
          </w:p>
        </w:tc>
        <w:tc>
          <w:tcPr>
            <w:tcW w:w="1508" w:type="pct"/>
          </w:tcPr>
          <w:p w14:paraId="5F7AE0F6">
            <w:pPr>
              <w:jc w:val="right"/>
            </w:pPr>
            <w:r>
              <w:t>747,725,947.08</w:t>
            </w:r>
          </w:p>
        </w:tc>
      </w:tr>
    </w:tbl>
    <w:p w14:paraId="2DC8EB2D">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支付的其他与筹资活动有关的现金说明：</w:t>
      </w:r>
    </w:p>
    <w:sdt>
      <w:sdtPr>
        <w:rPr>
          <w:rFonts w:hint="eastAsia"/>
          <w:color w:val="000000" w:themeColor="text1"/>
          <w14:textFill>
            <w14:solidFill>
              <w14:schemeClr w14:val="tx1"/>
            </w14:solidFill>
          </w14:textFill>
        </w:rPr>
        <w:alias w:val="支付的其他与筹资活动有关的现金说明"/>
        <w:tag w:val="_GBC_7240a9be12a64ca5b011a2561db068a1"/>
        <w:id w:val="-1044827060"/>
        <w:placeholder>
          <w:docPart w:val="GBC22222222222222222222222222222"/>
        </w:placeholder>
      </w:sdtPr>
      <w:sdtEndPr>
        <w:rPr>
          <w:rFonts w:hint="eastAsia"/>
          <w:color w:val="000000" w:themeColor="text1"/>
          <w14:textFill>
            <w14:solidFill>
              <w14:schemeClr w14:val="tx1"/>
            </w14:solidFill>
          </w14:textFill>
        </w:rPr>
      </w:sdtEndPr>
      <w:sdtContent>
        <w:p w14:paraId="0FF2E0A3">
          <w:pPr>
            <w:ind w:right="5"/>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73A08509">
      <w:pPr>
        <w:ind w:right="5"/>
        <w:rPr>
          <w:rFonts w:cstheme="minorBidi"/>
          <w:color w:val="000000" w:themeColor="text1"/>
          <w:kern w:val="2"/>
          <w:szCs w:val="22"/>
          <w14:textFill>
            <w14:solidFill>
              <w14:schemeClr w14:val="tx1"/>
            </w14:solidFill>
          </w14:textFill>
        </w:rPr>
      </w:pPr>
    </w:p>
    <w:p w14:paraId="701C9078">
      <w:pPr>
        <w:ind w:right="5"/>
        <w:rPr>
          <w:color w:val="000000" w:themeColor="text1"/>
          <w14:textFill>
            <w14:solidFill>
              <w14:schemeClr w14:val="tx1"/>
            </w14:solidFill>
          </w14:textFill>
        </w:rPr>
      </w:pPr>
      <w:bookmarkStart w:id="380" w:name="_Hlk167970634"/>
      <w:r>
        <w:rPr>
          <w:rFonts w:hint="eastAsia"/>
          <w:color w:val="000000" w:themeColor="text1"/>
          <w14:textFill>
            <w14:solidFill>
              <w14:schemeClr w14:val="tx1"/>
            </w14:solidFill>
          </w14:textFill>
        </w:rPr>
        <w:t>筹资活动产生的各项负债变动情况</w:t>
      </w:r>
    </w:p>
    <w:sdt>
      <w:sdtPr>
        <w:rPr>
          <w:color w:val="000000" w:themeColor="text1"/>
          <w14:textFill>
            <w14:solidFill>
              <w14:schemeClr w14:val="tx1"/>
            </w14:solidFill>
          </w14:textFill>
        </w:rPr>
        <w:alias w:val="是否适用：筹资活动产生的各项负债变动情况[双击切换]"/>
        <w:tag w:val="_GBC_48125ca45f014b0db6560676c7f940e6"/>
        <w:id w:val="-1713566301"/>
        <w:placeholder>
          <w:docPart w:val="GBC22222222222222222222222222222"/>
        </w:placeholder>
      </w:sdtPr>
      <w:sdtEndPr>
        <w:rPr>
          <w:color w:val="000000" w:themeColor="text1"/>
          <w14:textFill>
            <w14:solidFill>
              <w14:schemeClr w14:val="tx1"/>
            </w14:solidFill>
          </w14:textFill>
        </w:rPr>
      </w:sdtEndPr>
      <w:sdtContent>
        <w:p w14:paraId="02CC6E8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3ED6E1F">
      <w:pPr>
        <w:rPr>
          <w:color w:val="000000" w:themeColor="text1"/>
          <w14:textFill>
            <w14:solidFill>
              <w14:schemeClr w14:val="tx1"/>
            </w14:solidFill>
          </w14:textFill>
        </w:rPr>
      </w:pPr>
    </w:p>
    <w:p w14:paraId="77B99B91">
      <w:pPr>
        <w:pStyle w:val="5"/>
        <w:numPr>
          <w:ilvl w:val="0"/>
          <w:numId w:val="88"/>
        </w:numPr>
        <w:rPr>
          <w:color w:val="000000" w:themeColor="text1"/>
          <w14:textFill>
            <w14:solidFill>
              <w14:schemeClr w14:val="tx1"/>
            </w14:solidFill>
          </w14:textFill>
        </w:rPr>
      </w:pPr>
      <w:r>
        <w:rPr>
          <w:rFonts w:hint="eastAsia"/>
          <w:color w:val="000000" w:themeColor="text1"/>
          <w14:textFill>
            <w14:solidFill>
              <w14:schemeClr w14:val="tx1"/>
            </w14:solidFill>
          </w14:textFill>
        </w:rPr>
        <w:t>以净额列报</w:t>
      </w:r>
      <w:r>
        <w:rPr>
          <w:rFonts w:hint="eastAsia" w:ascii="宋体" w:hAnsi="宋体" w:cs="宋体"/>
          <w:color w:val="000000" w:themeColor="text1"/>
          <w:kern w:val="0"/>
          <w:szCs w:val="21"/>
          <w14:textFill>
            <w14:solidFill>
              <w14:schemeClr w14:val="tx1"/>
            </w14:solidFill>
          </w14:textFill>
        </w:rPr>
        <w:t>现金</w:t>
      </w:r>
      <w:r>
        <w:rPr>
          <w:rFonts w:hint="eastAsia"/>
          <w:color w:val="000000" w:themeColor="text1"/>
          <w14:textFill>
            <w14:solidFill>
              <w14:schemeClr w14:val="tx1"/>
            </w14:solidFill>
          </w14:textFill>
        </w:rPr>
        <w:t>流量的说明</w:t>
      </w:r>
    </w:p>
    <w:sdt>
      <w:sdtPr>
        <w:rPr>
          <w:color w:val="000000" w:themeColor="text1"/>
          <w14:textFill>
            <w14:solidFill>
              <w14:schemeClr w14:val="tx1"/>
            </w14:solidFill>
          </w14:textFill>
        </w:rPr>
        <w:alias w:val="是否适用：以净额列报现金流量的说明[双击切换]"/>
        <w:tag w:val="_GBC_7e5edd2dccad4675a4426511c2fa01e0"/>
        <w:id w:val="996311769"/>
        <w:placeholder>
          <w:docPart w:val="GBC22222222222222222222222222222"/>
        </w:placeholder>
      </w:sdtPr>
      <w:sdtEndPr>
        <w:rPr>
          <w:color w:val="000000" w:themeColor="text1"/>
          <w14:textFill>
            <w14:solidFill>
              <w14:schemeClr w14:val="tx1"/>
            </w14:solidFill>
          </w14:textFill>
        </w:rPr>
      </w:sdtEndPr>
      <w:sdtContent>
        <w:p w14:paraId="3274D43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26AF9B7">
      <w:pPr>
        <w:rPr>
          <w:color w:val="000000" w:themeColor="text1"/>
          <w14:textFill>
            <w14:solidFill>
              <w14:schemeClr w14:val="tx1"/>
            </w14:solidFill>
          </w14:textFill>
        </w:rPr>
      </w:pPr>
    </w:p>
    <w:p w14:paraId="46FEEED1">
      <w:pPr>
        <w:pStyle w:val="5"/>
        <w:numPr>
          <w:ilvl w:val="0"/>
          <w:numId w:val="88"/>
        </w:numPr>
        <w:rPr>
          <w:color w:val="000000" w:themeColor="text1"/>
          <w14:textFill>
            <w14:solidFill>
              <w14:schemeClr w14:val="tx1"/>
            </w14:solidFill>
          </w14:textFill>
        </w:rPr>
      </w:pPr>
      <w:r>
        <w:rPr>
          <w:rFonts w:hint="eastAsia"/>
          <w:color w:val="000000" w:themeColor="text1"/>
          <w14:textFill>
            <w14:solidFill>
              <w14:schemeClr w14:val="tx1"/>
            </w14:solidFill>
          </w14:textFill>
        </w:rPr>
        <w:t>不涉及当期现金收支、但影响企业财务状况或在未来可能影响企业现金流量的重大活动及财务影响</w:t>
      </w:r>
    </w:p>
    <w:sdt>
      <w:sdtPr>
        <w:rPr>
          <w:color w:val="000000" w:themeColor="text1"/>
          <w14:textFill>
            <w14:solidFill>
              <w14:schemeClr w14:val="tx1"/>
            </w14:solidFill>
          </w14:textFill>
        </w:rPr>
        <w:alias w:val="是否适用：不涉及当期现金收支、但影响企业财务状况或在未来可能影响企业现金流量的重大活动及财务影响[双击切换]"/>
        <w:tag w:val="_GBC_07ea2264f8804cb2922afb33860595fb"/>
        <w:id w:val="-177041374"/>
        <w:placeholder>
          <w:docPart w:val="GBC22222222222222222222222222222"/>
        </w:placeholder>
      </w:sdtPr>
      <w:sdtEndPr>
        <w:rPr>
          <w:color w:val="000000" w:themeColor="text1"/>
          <w14:textFill>
            <w14:solidFill>
              <w14:schemeClr w14:val="tx1"/>
            </w14:solidFill>
          </w14:textFill>
        </w:rPr>
      </w:sdtEndPr>
      <w:sdtContent>
        <w:p w14:paraId="101D3AD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C6811B1">
      <w:pPr>
        <w:ind w:right="5"/>
        <w:rPr>
          <w:rFonts w:ascii="Calibri" w:hAnsi="Calibri" w:cs="Times New Roman"/>
          <w:color w:val="000000" w:themeColor="text1"/>
          <w:kern w:val="2"/>
          <w:szCs w:val="22"/>
          <w14:textFill>
            <w14:solidFill>
              <w14:schemeClr w14:val="tx1"/>
            </w14:solidFill>
          </w14:textFill>
        </w:rPr>
      </w:pPr>
    </w:p>
    <w:bookmarkEnd w:id="380"/>
    <w:p w14:paraId="4F7B923C">
      <w:pPr>
        <w:pStyle w:val="4"/>
        <w:numPr>
          <w:ilvl w:val="0"/>
          <w:numId w:val="53"/>
        </w:numPr>
        <w:tabs>
          <w:tab w:val="left" w:pos="504"/>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现金流量表</w:t>
      </w:r>
      <w:r>
        <w:rPr>
          <w:rFonts w:hint="eastAsia" w:ascii="宋体" w:hAnsi="宋体"/>
          <w:color w:val="000000" w:themeColor="text1"/>
          <w:szCs w:val="21"/>
          <w14:textFill>
            <w14:solidFill>
              <w14:schemeClr w14:val="tx1"/>
            </w14:solidFill>
          </w14:textFill>
        </w:rPr>
        <w:t>补充</w:t>
      </w:r>
      <w:r>
        <w:rPr>
          <w:rFonts w:hint="eastAsia" w:ascii="宋体" w:hAnsi="宋体"/>
          <w:color w:val="000000" w:themeColor="text1"/>
          <w14:textFill>
            <w14:solidFill>
              <w14:schemeClr w14:val="tx1"/>
            </w14:solidFill>
          </w14:textFill>
        </w:rPr>
        <w:t>资料</w:t>
      </w:r>
    </w:p>
    <w:p w14:paraId="52A5E6F4">
      <w:pPr>
        <w:pStyle w:val="5"/>
        <w:numPr>
          <w:ilvl w:val="0"/>
          <w:numId w:val="89"/>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现金流量表补充资料</w:t>
      </w:r>
    </w:p>
    <w:sdt>
      <w:sdtPr>
        <w:rPr>
          <w:color w:val="000000" w:themeColor="text1"/>
          <w14:textFill>
            <w14:solidFill>
              <w14:schemeClr w14:val="tx1"/>
            </w14:solidFill>
          </w14:textFill>
        </w:rPr>
        <w:alias w:val="是否适用：现金流量表补充资料[双击切换]"/>
        <w:tag w:val="_GBC_3ee8e178479245ea907bff86e4dcd54a"/>
        <w:id w:val="-73902741"/>
        <w:placeholder>
          <w:docPart w:val="GBC22222222222222222222222222222"/>
        </w:placeholder>
      </w:sdtPr>
      <w:sdtEndPr>
        <w:rPr>
          <w:color w:val="000000" w:themeColor="text1"/>
          <w14:textFill>
            <w14:solidFill>
              <w14:schemeClr w14:val="tx1"/>
            </w14:solidFill>
          </w14:textFill>
        </w:rPr>
      </w:sdtEndPr>
      <w:sdtContent>
        <w:p w14:paraId="419A12B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ECC6B17">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现金流量表补充资料"/>
          <w:tag w:val="_GBC_ba7cd13a54fa44929e0fd4c276876d0e"/>
          <w:id w:val="13014227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现金流量表补充资料"/>
          <w:tag w:val="_GBC_715164ef2f2b4f258a0908b254229361"/>
          <w:id w:val="2095464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5"/>
        <w:gridCol w:w="2730"/>
        <w:gridCol w:w="2698"/>
      </w:tblGrid>
      <w:tr w14:paraId="45CA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sdt>
          <w:sdtPr>
            <w:tag w:val="_PLD_a6ea455751354381bc869d5865ef3d8f"/>
            <w:id w:val="-1813626800"/>
          </w:sdtPr>
          <w:sdtContent>
            <w:tc>
              <w:tcPr>
                <w:tcW w:w="1924" w:type="pct"/>
                <w:vAlign w:val="center"/>
              </w:tcPr>
              <w:p w14:paraId="13353A2F">
                <w:pPr>
                  <w:jc w:val="center"/>
                  <w:rPr>
                    <w:bCs w:val="0"/>
                    <w:color w:val="000000" w:themeColor="text1"/>
                    <w14:textFill>
                      <w14:solidFill>
                        <w14:schemeClr w14:val="tx1"/>
                      </w14:solidFill>
                    </w14:textFill>
                  </w:rPr>
                </w:pPr>
                <w:r>
                  <w:rPr>
                    <w:rFonts w:hint="eastAsia"/>
                    <w:color w:val="000000" w:themeColor="text1"/>
                    <w14:textFill>
                      <w14:solidFill>
                        <w14:schemeClr w14:val="tx1"/>
                      </w14:solidFill>
                    </w14:textFill>
                  </w:rPr>
                  <w:t>补充资料</w:t>
                </w:r>
              </w:p>
            </w:tc>
          </w:sdtContent>
        </w:sdt>
        <w:sdt>
          <w:sdtPr>
            <w:tag w:val="_PLD_0687e3743a4e4e2db7b08855f23641e8"/>
            <w:id w:val="-2006886116"/>
          </w:sdtPr>
          <w:sdtContent>
            <w:tc>
              <w:tcPr>
                <w:tcW w:w="1547" w:type="pct"/>
                <w:vAlign w:val="center"/>
              </w:tcPr>
              <w:p w14:paraId="7C05D4F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本期金额</w:t>
                </w:r>
              </w:p>
            </w:tc>
          </w:sdtContent>
        </w:sdt>
        <w:sdt>
          <w:sdtPr>
            <w:tag w:val="_PLD_f90342638d124edea40aa264bbe65e8e"/>
            <w:id w:val="-407771364"/>
          </w:sdtPr>
          <w:sdtContent>
            <w:tc>
              <w:tcPr>
                <w:tcW w:w="1529" w:type="pct"/>
                <w:vAlign w:val="center"/>
              </w:tcPr>
              <w:p w14:paraId="06C81B4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上期金额</w:t>
                </w:r>
              </w:p>
            </w:tc>
          </w:sdtContent>
        </w:sdt>
      </w:tr>
      <w:tr w14:paraId="3D74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0a799a1250f946df9181881c4b1f3829"/>
            <w:id w:val="-2076568241"/>
          </w:sdtPr>
          <w:sdtContent>
            <w:tc>
              <w:tcPr>
                <w:tcW w:w="5000" w:type="pct"/>
                <w:gridSpan w:val="3"/>
              </w:tcPr>
              <w:p w14:paraId="1008D231">
                <w:pPr>
                  <w:jc w:val="both"/>
                  <w:rPr>
                    <w:b/>
                    <w:color w:val="000000" w:themeColor="text1"/>
                    <w14:textFill>
                      <w14:solidFill>
                        <w14:schemeClr w14:val="tx1"/>
                      </w14:solidFill>
                    </w14:textFill>
                  </w:rPr>
                </w:pPr>
                <w:r>
                  <w:rPr>
                    <w:b/>
                    <w:color w:val="000000" w:themeColor="text1"/>
                    <w14:textFill>
                      <w14:solidFill>
                        <w14:schemeClr w14:val="tx1"/>
                      </w14:solidFill>
                    </w14:textFill>
                  </w:rPr>
                  <w:t>1</w:t>
                </w:r>
                <w:r>
                  <w:rPr>
                    <w:rFonts w:hint="eastAsia"/>
                    <w:b/>
                    <w:color w:val="000000" w:themeColor="text1"/>
                    <w14:textFill>
                      <w14:solidFill>
                        <w14:schemeClr w14:val="tx1"/>
                      </w14:solidFill>
                    </w14:textFill>
                  </w:rPr>
                  <w:t>．将净利润调节为经营活动现金流量：</w:t>
                </w:r>
              </w:p>
            </w:tc>
          </w:sdtContent>
        </w:sdt>
      </w:tr>
      <w:tr w14:paraId="022C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33994F39">
            <w:pPr>
              <w:rPr>
                <w:color w:val="000000" w:themeColor="text1"/>
                <w14:textFill>
                  <w14:solidFill>
                    <w14:schemeClr w14:val="tx1"/>
                  </w14:solidFill>
                </w14:textFill>
              </w:rPr>
            </w:pPr>
            <w:r>
              <w:rPr>
                <w:rFonts w:hint="eastAsia"/>
                <w:color w:val="000000" w:themeColor="text1"/>
                <w14:textFill>
                  <w14:solidFill>
                    <w14:schemeClr w14:val="tx1"/>
                  </w14:solidFill>
                </w14:textFill>
              </w:rPr>
              <w:t>净利润</w:t>
            </w:r>
          </w:p>
        </w:tc>
        <w:tc>
          <w:tcPr>
            <w:tcW w:w="1547" w:type="pct"/>
          </w:tcPr>
          <w:p w14:paraId="1B811680">
            <w:pPr>
              <w:jc w:val="right"/>
            </w:pPr>
            <w:r>
              <w:t>30,678,047.95</w:t>
            </w:r>
          </w:p>
        </w:tc>
        <w:tc>
          <w:tcPr>
            <w:tcW w:w="1529" w:type="pct"/>
          </w:tcPr>
          <w:p w14:paraId="4248E958">
            <w:pPr>
              <w:jc w:val="right"/>
            </w:pPr>
            <w:r>
              <w:t>25,604,323.64</w:t>
            </w:r>
          </w:p>
        </w:tc>
      </w:tr>
      <w:tr w14:paraId="529B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044FAE80">
            <w:pPr>
              <w:rPr>
                <w:color w:val="000000" w:themeColor="text1"/>
                <w14:textFill>
                  <w14:solidFill>
                    <w14:schemeClr w14:val="tx1"/>
                  </w14:solidFill>
                </w14:textFill>
              </w:rPr>
            </w:pPr>
            <w:r>
              <w:rPr>
                <w:rFonts w:hint="eastAsia"/>
                <w:color w:val="000000" w:themeColor="text1"/>
                <w14:textFill>
                  <w14:solidFill>
                    <w14:schemeClr w14:val="tx1"/>
                  </w14:solidFill>
                </w14:textFill>
              </w:rPr>
              <w:t>加：资产减值准备</w:t>
            </w:r>
          </w:p>
        </w:tc>
        <w:tc>
          <w:tcPr>
            <w:tcW w:w="1547" w:type="pct"/>
          </w:tcPr>
          <w:p w14:paraId="7FE614D4">
            <w:pPr>
              <w:jc w:val="right"/>
            </w:pPr>
            <w:r>
              <w:t>4,348,810.91</w:t>
            </w:r>
          </w:p>
        </w:tc>
        <w:tc>
          <w:tcPr>
            <w:tcW w:w="1529" w:type="pct"/>
          </w:tcPr>
          <w:p w14:paraId="38B9FFEB">
            <w:pPr>
              <w:jc w:val="right"/>
            </w:pPr>
            <w:r>
              <w:t>732,363.74</w:t>
            </w:r>
          </w:p>
        </w:tc>
      </w:tr>
      <w:tr w14:paraId="25FA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3999D615">
            <w:pPr>
              <w:rPr>
                <w:color w:val="000000" w:themeColor="text1"/>
                <w14:textFill>
                  <w14:solidFill>
                    <w14:schemeClr w14:val="tx1"/>
                  </w14:solidFill>
                </w14:textFill>
              </w:rPr>
            </w:pPr>
            <w:r>
              <w:rPr>
                <w:rFonts w:hint="eastAsia"/>
                <w:color w:val="000000" w:themeColor="text1"/>
                <w14:textFill>
                  <w14:solidFill>
                    <w14:schemeClr w14:val="tx1"/>
                  </w14:solidFill>
                </w14:textFill>
              </w:rPr>
              <w:t>信用减值损失</w:t>
            </w:r>
          </w:p>
        </w:tc>
        <w:tc>
          <w:tcPr>
            <w:tcW w:w="1547" w:type="pct"/>
          </w:tcPr>
          <w:p w14:paraId="5DB6C8B5">
            <w:pPr>
              <w:jc w:val="right"/>
            </w:pPr>
          </w:p>
        </w:tc>
        <w:tc>
          <w:tcPr>
            <w:tcW w:w="1529" w:type="pct"/>
          </w:tcPr>
          <w:p w14:paraId="483EA2DE">
            <w:pPr>
              <w:jc w:val="right"/>
            </w:pPr>
          </w:p>
        </w:tc>
      </w:tr>
      <w:tr w14:paraId="7A1D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2763AD5C">
            <w:pPr>
              <w:rPr>
                <w:color w:val="000000" w:themeColor="text1"/>
                <w14:textFill>
                  <w14:solidFill>
                    <w14:schemeClr w14:val="tx1"/>
                  </w14:solidFill>
                </w14:textFill>
              </w:rPr>
            </w:pPr>
            <w:r>
              <w:rPr>
                <w:rFonts w:hint="eastAsia"/>
                <w:color w:val="000000" w:themeColor="text1"/>
                <w14:textFill>
                  <w14:solidFill>
                    <w14:schemeClr w14:val="tx1"/>
                  </w14:solidFill>
                </w14:textFill>
              </w:rPr>
              <w:t>固定资产折旧、油气资产折耗、生产性生物资产折旧</w:t>
            </w:r>
          </w:p>
        </w:tc>
        <w:tc>
          <w:tcPr>
            <w:tcW w:w="1547" w:type="pct"/>
          </w:tcPr>
          <w:p w14:paraId="35FE7704">
            <w:pPr>
              <w:jc w:val="right"/>
            </w:pPr>
            <w:r>
              <w:t>66,559,468.12</w:t>
            </w:r>
          </w:p>
        </w:tc>
        <w:tc>
          <w:tcPr>
            <w:tcW w:w="1529" w:type="pct"/>
          </w:tcPr>
          <w:p w14:paraId="7E28B110">
            <w:pPr>
              <w:jc w:val="right"/>
            </w:pPr>
            <w:r>
              <w:t>60,801,412.70</w:t>
            </w:r>
          </w:p>
        </w:tc>
      </w:tr>
      <w:tr w14:paraId="7358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5D9512CA">
            <w:pPr>
              <w:rPr>
                <w:color w:val="000000" w:themeColor="text1"/>
                <w14:textFill>
                  <w14:solidFill>
                    <w14:schemeClr w14:val="tx1"/>
                  </w14:solidFill>
                </w14:textFill>
              </w:rPr>
            </w:pPr>
            <w:r>
              <w:rPr>
                <w:rFonts w:hint="eastAsia"/>
                <w:color w:val="000000" w:themeColor="text1"/>
                <w14:textFill>
                  <w14:solidFill>
                    <w14:schemeClr w14:val="tx1"/>
                  </w14:solidFill>
                </w14:textFill>
              </w:rPr>
              <w:t>使用权资产摊销</w:t>
            </w:r>
          </w:p>
        </w:tc>
        <w:tc>
          <w:tcPr>
            <w:tcW w:w="1547" w:type="pct"/>
          </w:tcPr>
          <w:p w14:paraId="3AFEB283">
            <w:pPr>
              <w:jc w:val="right"/>
            </w:pPr>
          </w:p>
        </w:tc>
        <w:tc>
          <w:tcPr>
            <w:tcW w:w="1529" w:type="pct"/>
          </w:tcPr>
          <w:p w14:paraId="58133157">
            <w:pPr>
              <w:jc w:val="right"/>
            </w:pPr>
          </w:p>
        </w:tc>
      </w:tr>
      <w:tr w14:paraId="4CD9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304CEADC">
            <w:pPr>
              <w:rPr>
                <w:color w:val="000000" w:themeColor="text1"/>
                <w14:textFill>
                  <w14:solidFill>
                    <w14:schemeClr w14:val="tx1"/>
                  </w14:solidFill>
                </w14:textFill>
              </w:rPr>
            </w:pPr>
            <w:r>
              <w:rPr>
                <w:rFonts w:hint="eastAsia"/>
                <w:color w:val="000000" w:themeColor="text1"/>
                <w14:textFill>
                  <w14:solidFill>
                    <w14:schemeClr w14:val="tx1"/>
                  </w14:solidFill>
                </w14:textFill>
              </w:rPr>
              <w:t>无形资产摊销</w:t>
            </w:r>
          </w:p>
        </w:tc>
        <w:tc>
          <w:tcPr>
            <w:tcW w:w="1547" w:type="pct"/>
          </w:tcPr>
          <w:p w14:paraId="11DAB6FE">
            <w:pPr>
              <w:jc w:val="right"/>
            </w:pPr>
            <w:r>
              <w:t>54,397,569.69</w:t>
            </w:r>
          </w:p>
        </w:tc>
        <w:tc>
          <w:tcPr>
            <w:tcW w:w="1529" w:type="pct"/>
          </w:tcPr>
          <w:p w14:paraId="0EAAE32D">
            <w:pPr>
              <w:jc w:val="right"/>
            </w:pPr>
            <w:r>
              <w:t>35,147,522.24</w:t>
            </w:r>
          </w:p>
        </w:tc>
      </w:tr>
      <w:tr w14:paraId="7F6E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6024688B">
            <w:pPr>
              <w:rPr>
                <w:color w:val="000000" w:themeColor="text1"/>
                <w14:textFill>
                  <w14:solidFill>
                    <w14:schemeClr w14:val="tx1"/>
                  </w14:solidFill>
                </w14:textFill>
              </w:rPr>
            </w:pPr>
            <w:r>
              <w:rPr>
                <w:rFonts w:hint="eastAsia"/>
                <w:color w:val="000000" w:themeColor="text1"/>
                <w14:textFill>
                  <w14:solidFill>
                    <w14:schemeClr w14:val="tx1"/>
                  </w14:solidFill>
                </w14:textFill>
              </w:rPr>
              <w:t>长期待摊费用摊销</w:t>
            </w:r>
          </w:p>
        </w:tc>
        <w:tc>
          <w:tcPr>
            <w:tcW w:w="1547" w:type="pct"/>
          </w:tcPr>
          <w:p w14:paraId="6FCB9833">
            <w:pPr>
              <w:jc w:val="right"/>
            </w:pPr>
            <w:r>
              <w:t>2</w:t>
            </w:r>
            <w:r>
              <w:rPr>
                <w:rFonts w:hint="eastAsia"/>
              </w:rPr>
              <w:t>3</w:t>
            </w:r>
            <w:r>
              <w:t>,</w:t>
            </w:r>
            <w:r>
              <w:rPr>
                <w:rFonts w:hint="eastAsia"/>
              </w:rPr>
              <w:t>545</w:t>
            </w:r>
            <w:r>
              <w:t>,</w:t>
            </w:r>
            <w:r>
              <w:rPr>
                <w:rFonts w:hint="eastAsia"/>
              </w:rPr>
              <w:t>48</w:t>
            </w:r>
            <w:r>
              <w:t>6.95</w:t>
            </w:r>
          </w:p>
        </w:tc>
        <w:tc>
          <w:tcPr>
            <w:tcW w:w="1529" w:type="pct"/>
          </w:tcPr>
          <w:p w14:paraId="709AD875">
            <w:pPr>
              <w:jc w:val="right"/>
            </w:pPr>
            <w:r>
              <w:t>27,743,129.87</w:t>
            </w:r>
          </w:p>
        </w:tc>
      </w:tr>
      <w:tr w14:paraId="38FD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5D3F16BF">
            <w:pPr>
              <w:rPr>
                <w:color w:val="000000" w:themeColor="text1"/>
                <w14:textFill>
                  <w14:solidFill>
                    <w14:schemeClr w14:val="tx1"/>
                  </w14:solidFill>
                </w14:textFill>
              </w:rPr>
            </w:pPr>
            <w:r>
              <w:rPr>
                <w:rFonts w:hint="eastAsia"/>
                <w:color w:val="000000" w:themeColor="text1"/>
                <w14:textFill>
                  <w14:solidFill>
                    <w14:schemeClr w14:val="tx1"/>
                  </w14:solidFill>
                </w14:textFill>
              </w:rPr>
              <w:t>处置固定资产、无形资产和其他长期资产的损失（收益以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号填列）</w:t>
            </w:r>
          </w:p>
        </w:tc>
        <w:tc>
          <w:tcPr>
            <w:tcW w:w="1547" w:type="pct"/>
          </w:tcPr>
          <w:p w14:paraId="58587B6C">
            <w:pPr>
              <w:jc w:val="right"/>
            </w:pPr>
          </w:p>
        </w:tc>
        <w:tc>
          <w:tcPr>
            <w:tcW w:w="1529" w:type="pct"/>
          </w:tcPr>
          <w:p w14:paraId="5583B680">
            <w:pPr>
              <w:jc w:val="right"/>
            </w:pPr>
          </w:p>
        </w:tc>
      </w:tr>
      <w:tr w14:paraId="4301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628C6B16">
            <w:pPr>
              <w:rPr>
                <w:color w:val="000000" w:themeColor="text1"/>
                <w14:textFill>
                  <w14:solidFill>
                    <w14:schemeClr w14:val="tx1"/>
                  </w14:solidFill>
                </w14:textFill>
              </w:rPr>
            </w:pPr>
            <w:r>
              <w:rPr>
                <w:rFonts w:hint="eastAsia"/>
                <w:color w:val="000000" w:themeColor="text1"/>
                <w14:textFill>
                  <w14:solidFill>
                    <w14:schemeClr w14:val="tx1"/>
                  </w14:solidFill>
                </w14:textFill>
              </w:rPr>
              <w:t>固定资产报废损失（收益以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号填列）</w:t>
            </w:r>
          </w:p>
        </w:tc>
        <w:tc>
          <w:tcPr>
            <w:tcW w:w="1547" w:type="pct"/>
          </w:tcPr>
          <w:p w14:paraId="3FF517B7">
            <w:pPr>
              <w:jc w:val="right"/>
            </w:pPr>
            <w:r>
              <w:t>5,134,832.55</w:t>
            </w:r>
          </w:p>
        </w:tc>
        <w:tc>
          <w:tcPr>
            <w:tcW w:w="1529" w:type="pct"/>
          </w:tcPr>
          <w:p w14:paraId="389B9076">
            <w:pPr>
              <w:jc w:val="right"/>
            </w:pPr>
            <w:r>
              <w:t>874,641.98</w:t>
            </w:r>
          </w:p>
        </w:tc>
      </w:tr>
      <w:tr w14:paraId="65C3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386AAEDC">
            <w:pPr>
              <w:rPr>
                <w:color w:val="000000" w:themeColor="text1"/>
                <w14:textFill>
                  <w14:solidFill>
                    <w14:schemeClr w14:val="tx1"/>
                  </w14:solidFill>
                </w14:textFill>
              </w:rPr>
            </w:pPr>
            <w:r>
              <w:rPr>
                <w:rFonts w:hint="eastAsia"/>
                <w:color w:val="000000" w:themeColor="text1"/>
                <w14:textFill>
                  <w14:solidFill>
                    <w14:schemeClr w14:val="tx1"/>
                  </w14:solidFill>
                </w14:textFill>
              </w:rPr>
              <w:t>公允价值变动损失（收益以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号填列）</w:t>
            </w:r>
          </w:p>
        </w:tc>
        <w:tc>
          <w:tcPr>
            <w:tcW w:w="1547" w:type="pct"/>
          </w:tcPr>
          <w:p w14:paraId="6FC2F494">
            <w:pPr>
              <w:jc w:val="right"/>
            </w:pPr>
          </w:p>
        </w:tc>
        <w:tc>
          <w:tcPr>
            <w:tcW w:w="1529" w:type="pct"/>
          </w:tcPr>
          <w:p w14:paraId="252DB69F">
            <w:pPr>
              <w:jc w:val="right"/>
            </w:pPr>
          </w:p>
        </w:tc>
      </w:tr>
      <w:tr w14:paraId="70FD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207B463E">
            <w:pPr>
              <w:rPr>
                <w:color w:val="000000" w:themeColor="text1"/>
                <w14:textFill>
                  <w14:solidFill>
                    <w14:schemeClr w14:val="tx1"/>
                  </w14:solidFill>
                </w14:textFill>
              </w:rPr>
            </w:pPr>
            <w:r>
              <w:rPr>
                <w:rFonts w:hint="eastAsia"/>
                <w:color w:val="000000" w:themeColor="text1"/>
                <w14:textFill>
                  <w14:solidFill>
                    <w14:schemeClr w14:val="tx1"/>
                  </w14:solidFill>
                </w14:textFill>
              </w:rPr>
              <w:t>财务费用（收益以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号填列）</w:t>
            </w:r>
          </w:p>
        </w:tc>
        <w:tc>
          <w:tcPr>
            <w:tcW w:w="1547" w:type="pct"/>
          </w:tcPr>
          <w:p w14:paraId="34428F37">
            <w:pPr>
              <w:jc w:val="right"/>
            </w:pPr>
            <w:r>
              <w:t>72,762,889.46</w:t>
            </w:r>
          </w:p>
        </w:tc>
        <w:tc>
          <w:tcPr>
            <w:tcW w:w="1529" w:type="pct"/>
          </w:tcPr>
          <w:p w14:paraId="787D10E3">
            <w:pPr>
              <w:jc w:val="right"/>
            </w:pPr>
            <w:r>
              <w:t>76,125,648.45</w:t>
            </w:r>
          </w:p>
        </w:tc>
      </w:tr>
      <w:tr w14:paraId="43BB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51F496F9">
            <w:pPr>
              <w:rPr>
                <w:color w:val="000000" w:themeColor="text1"/>
                <w14:textFill>
                  <w14:solidFill>
                    <w14:schemeClr w14:val="tx1"/>
                  </w14:solidFill>
                </w14:textFill>
              </w:rPr>
            </w:pPr>
            <w:r>
              <w:rPr>
                <w:rFonts w:hint="eastAsia"/>
                <w:color w:val="000000" w:themeColor="text1"/>
                <w14:textFill>
                  <w14:solidFill>
                    <w14:schemeClr w14:val="tx1"/>
                  </w14:solidFill>
                </w14:textFill>
              </w:rPr>
              <w:t>投资损失（收益以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号填列）</w:t>
            </w:r>
          </w:p>
        </w:tc>
        <w:tc>
          <w:tcPr>
            <w:tcW w:w="1547" w:type="pct"/>
          </w:tcPr>
          <w:p w14:paraId="2F50C213">
            <w:pPr>
              <w:jc w:val="right"/>
            </w:pPr>
            <w:r>
              <w:t>-9,053,165.78</w:t>
            </w:r>
          </w:p>
        </w:tc>
        <w:tc>
          <w:tcPr>
            <w:tcW w:w="1529" w:type="pct"/>
          </w:tcPr>
          <w:p w14:paraId="483210CB">
            <w:pPr>
              <w:jc w:val="right"/>
            </w:pPr>
            <w:r>
              <w:t>-9,433,523.76</w:t>
            </w:r>
          </w:p>
        </w:tc>
      </w:tr>
      <w:tr w14:paraId="36D2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7B6BAAD5">
            <w:pPr>
              <w:rPr>
                <w:color w:val="000000" w:themeColor="text1"/>
                <w14:textFill>
                  <w14:solidFill>
                    <w14:schemeClr w14:val="tx1"/>
                  </w14:solidFill>
                </w14:textFill>
              </w:rPr>
            </w:pPr>
            <w:r>
              <w:rPr>
                <w:rFonts w:hint="eastAsia"/>
                <w:color w:val="000000" w:themeColor="text1"/>
                <w14:textFill>
                  <w14:solidFill>
                    <w14:schemeClr w14:val="tx1"/>
                  </w14:solidFill>
                </w14:textFill>
              </w:rPr>
              <w:t>递延所得税资产减少（增加以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号填列）</w:t>
            </w:r>
          </w:p>
        </w:tc>
        <w:tc>
          <w:tcPr>
            <w:tcW w:w="1547" w:type="pct"/>
          </w:tcPr>
          <w:p w14:paraId="6C85AFAD">
            <w:pPr>
              <w:jc w:val="right"/>
            </w:pPr>
          </w:p>
        </w:tc>
        <w:tc>
          <w:tcPr>
            <w:tcW w:w="1529" w:type="pct"/>
          </w:tcPr>
          <w:p w14:paraId="5FB17B41">
            <w:pPr>
              <w:jc w:val="right"/>
            </w:pPr>
          </w:p>
        </w:tc>
      </w:tr>
      <w:tr w14:paraId="119F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3CD716F3">
            <w:pPr>
              <w:rPr>
                <w:color w:val="000000" w:themeColor="text1"/>
                <w14:textFill>
                  <w14:solidFill>
                    <w14:schemeClr w14:val="tx1"/>
                  </w14:solidFill>
                </w14:textFill>
              </w:rPr>
            </w:pPr>
            <w:r>
              <w:rPr>
                <w:rFonts w:hint="eastAsia"/>
                <w:color w:val="000000" w:themeColor="text1"/>
                <w14:textFill>
                  <w14:solidFill>
                    <w14:schemeClr w14:val="tx1"/>
                  </w14:solidFill>
                </w14:textFill>
              </w:rPr>
              <w:t>递延所得税负债增加（减少以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号填列）</w:t>
            </w:r>
          </w:p>
        </w:tc>
        <w:tc>
          <w:tcPr>
            <w:tcW w:w="1547" w:type="pct"/>
          </w:tcPr>
          <w:p w14:paraId="229840C5">
            <w:pPr>
              <w:jc w:val="right"/>
            </w:pPr>
          </w:p>
        </w:tc>
        <w:tc>
          <w:tcPr>
            <w:tcW w:w="1529" w:type="pct"/>
          </w:tcPr>
          <w:p w14:paraId="45F98CE6">
            <w:pPr>
              <w:jc w:val="right"/>
            </w:pPr>
          </w:p>
        </w:tc>
      </w:tr>
      <w:tr w14:paraId="5C8A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222A528A">
            <w:pPr>
              <w:rPr>
                <w:color w:val="000000" w:themeColor="text1"/>
                <w14:textFill>
                  <w14:solidFill>
                    <w14:schemeClr w14:val="tx1"/>
                  </w14:solidFill>
                </w14:textFill>
              </w:rPr>
            </w:pPr>
            <w:r>
              <w:rPr>
                <w:rFonts w:hint="eastAsia"/>
                <w:color w:val="000000" w:themeColor="text1"/>
                <w14:textFill>
                  <w14:solidFill>
                    <w14:schemeClr w14:val="tx1"/>
                  </w14:solidFill>
                </w14:textFill>
              </w:rPr>
              <w:t>存货的减少（增加以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号填列）</w:t>
            </w:r>
          </w:p>
        </w:tc>
        <w:tc>
          <w:tcPr>
            <w:tcW w:w="1547" w:type="pct"/>
          </w:tcPr>
          <w:p w14:paraId="4CAD368C">
            <w:pPr>
              <w:jc w:val="right"/>
            </w:pPr>
            <w:r>
              <w:t>76,518,177.95</w:t>
            </w:r>
          </w:p>
        </w:tc>
        <w:tc>
          <w:tcPr>
            <w:tcW w:w="1529" w:type="pct"/>
          </w:tcPr>
          <w:p w14:paraId="2C127E77">
            <w:pPr>
              <w:jc w:val="right"/>
            </w:pPr>
            <w:r>
              <w:t>16,448,042.59</w:t>
            </w:r>
          </w:p>
        </w:tc>
      </w:tr>
      <w:tr w14:paraId="060C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42BAB340">
            <w:pPr>
              <w:rPr>
                <w:color w:val="000000" w:themeColor="text1"/>
                <w14:textFill>
                  <w14:solidFill>
                    <w14:schemeClr w14:val="tx1"/>
                  </w14:solidFill>
                </w14:textFill>
              </w:rPr>
            </w:pPr>
            <w:r>
              <w:rPr>
                <w:rFonts w:hint="eastAsia"/>
                <w:color w:val="000000" w:themeColor="text1"/>
                <w14:textFill>
                  <w14:solidFill>
                    <w14:schemeClr w14:val="tx1"/>
                  </w14:solidFill>
                </w14:textFill>
              </w:rPr>
              <w:t>经营性应收项目的减少（增加以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号填列）</w:t>
            </w:r>
          </w:p>
        </w:tc>
        <w:tc>
          <w:tcPr>
            <w:tcW w:w="1547" w:type="pct"/>
          </w:tcPr>
          <w:p w14:paraId="0F7B80EF">
            <w:pPr>
              <w:jc w:val="right"/>
            </w:pPr>
            <w:r>
              <w:t>-9</w:t>
            </w:r>
            <w:r>
              <w:rPr>
                <w:rFonts w:hint="eastAsia"/>
              </w:rPr>
              <w:t>4</w:t>
            </w:r>
            <w:r>
              <w:t>,</w:t>
            </w:r>
            <w:r>
              <w:rPr>
                <w:rFonts w:hint="eastAsia"/>
              </w:rPr>
              <w:t>090</w:t>
            </w:r>
            <w:r>
              <w:t>,7</w:t>
            </w:r>
            <w:r>
              <w:rPr>
                <w:rFonts w:hint="eastAsia"/>
              </w:rPr>
              <w:t>2</w:t>
            </w:r>
            <w:r>
              <w:t>3.16</w:t>
            </w:r>
          </w:p>
        </w:tc>
        <w:tc>
          <w:tcPr>
            <w:tcW w:w="1529" w:type="pct"/>
          </w:tcPr>
          <w:p w14:paraId="100E0CC5">
            <w:pPr>
              <w:jc w:val="right"/>
            </w:pPr>
            <w:r>
              <w:t>-97,498,171.22</w:t>
            </w:r>
          </w:p>
        </w:tc>
      </w:tr>
      <w:tr w14:paraId="73F80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2D8A83FA">
            <w:pPr>
              <w:rPr>
                <w:color w:val="000000" w:themeColor="text1"/>
                <w14:textFill>
                  <w14:solidFill>
                    <w14:schemeClr w14:val="tx1"/>
                  </w14:solidFill>
                </w14:textFill>
              </w:rPr>
            </w:pPr>
            <w:r>
              <w:rPr>
                <w:rFonts w:hint="eastAsia"/>
                <w:color w:val="000000" w:themeColor="text1"/>
                <w14:textFill>
                  <w14:solidFill>
                    <w14:schemeClr w14:val="tx1"/>
                  </w14:solidFill>
                </w14:textFill>
              </w:rPr>
              <w:t>经营性应付项目的增加（减少以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号填列）</w:t>
            </w:r>
          </w:p>
        </w:tc>
        <w:tc>
          <w:tcPr>
            <w:tcW w:w="1547" w:type="pct"/>
          </w:tcPr>
          <w:p w14:paraId="35F5E005">
            <w:pPr>
              <w:jc w:val="right"/>
            </w:pPr>
            <w:r>
              <w:t>-106,074,764.83</w:t>
            </w:r>
          </w:p>
        </w:tc>
        <w:tc>
          <w:tcPr>
            <w:tcW w:w="1529" w:type="pct"/>
          </w:tcPr>
          <w:p w14:paraId="349FDD42">
            <w:pPr>
              <w:jc w:val="right"/>
            </w:pPr>
            <w:r>
              <w:t>-66,635,315.02</w:t>
            </w:r>
          </w:p>
        </w:tc>
      </w:tr>
      <w:tr w14:paraId="16253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0CD9D539">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tc>
          <w:tcPr>
            <w:tcW w:w="1547" w:type="pct"/>
          </w:tcPr>
          <w:p w14:paraId="1BD59F2F">
            <w:pPr>
              <w:jc w:val="right"/>
            </w:pPr>
            <w:r>
              <w:t>-17,057,207.37</w:t>
            </w:r>
          </w:p>
        </w:tc>
        <w:tc>
          <w:tcPr>
            <w:tcW w:w="1529" w:type="pct"/>
          </w:tcPr>
          <w:p w14:paraId="6D489FBE">
            <w:pPr>
              <w:jc w:val="right"/>
            </w:pPr>
            <w:r>
              <w:t>-10,656,443.79</w:t>
            </w:r>
          </w:p>
        </w:tc>
      </w:tr>
      <w:tr w14:paraId="1FBD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2D730F98">
            <w:pPr>
              <w:rPr>
                <w:color w:val="000000" w:themeColor="text1"/>
                <w14:textFill>
                  <w14:solidFill>
                    <w14:schemeClr w14:val="tx1"/>
                  </w14:solidFill>
                </w14:textFill>
              </w:rPr>
            </w:pPr>
            <w:r>
              <w:rPr>
                <w:rFonts w:hint="eastAsia"/>
                <w:color w:val="000000" w:themeColor="text1"/>
                <w14:textFill>
                  <w14:solidFill>
                    <w14:schemeClr w14:val="tx1"/>
                  </w14:solidFill>
                </w14:textFill>
              </w:rPr>
              <w:t>经营活动产生的现金流量净额</w:t>
            </w:r>
          </w:p>
        </w:tc>
        <w:tc>
          <w:tcPr>
            <w:tcW w:w="1547" w:type="pct"/>
          </w:tcPr>
          <w:p w14:paraId="322A0CF1">
            <w:pPr>
              <w:jc w:val="right"/>
            </w:pPr>
            <w:r>
              <w:t>107,669,422.44</w:t>
            </w:r>
          </w:p>
        </w:tc>
        <w:tc>
          <w:tcPr>
            <w:tcW w:w="1529" w:type="pct"/>
          </w:tcPr>
          <w:p w14:paraId="123F4169">
            <w:pPr>
              <w:jc w:val="right"/>
            </w:pPr>
            <w:r>
              <w:t>59,253,631.42</w:t>
            </w:r>
          </w:p>
        </w:tc>
      </w:tr>
      <w:tr w14:paraId="7E70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db693429a97d44a2848da029ca6a724c"/>
            <w:id w:val="-1097630623"/>
          </w:sdtPr>
          <w:sdtContent>
            <w:tc>
              <w:tcPr>
                <w:tcW w:w="5000" w:type="pct"/>
                <w:gridSpan w:val="3"/>
              </w:tcPr>
              <w:p w14:paraId="33B694A2">
                <w:pPr>
                  <w:rPr>
                    <w:color w:val="000000" w:themeColor="text1"/>
                    <w14:textFill>
                      <w14:solidFill>
                        <w14:schemeClr w14:val="tx1"/>
                      </w14:solidFill>
                    </w14:textFill>
                  </w:rPr>
                </w:pPr>
                <w:r>
                  <w:rPr>
                    <w:b/>
                    <w:color w:val="000000" w:themeColor="text1"/>
                    <w14:textFill>
                      <w14:solidFill>
                        <w14:schemeClr w14:val="tx1"/>
                      </w14:solidFill>
                    </w14:textFill>
                  </w:rPr>
                  <w:t>2</w:t>
                </w:r>
                <w:r>
                  <w:rPr>
                    <w:rFonts w:hint="eastAsia"/>
                    <w:b/>
                    <w:color w:val="000000" w:themeColor="text1"/>
                    <w14:textFill>
                      <w14:solidFill>
                        <w14:schemeClr w14:val="tx1"/>
                      </w14:solidFill>
                    </w14:textFill>
                  </w:rPr>
                  <w:t>．不涉及现金收支的重大投资和筹资活动：</w:t>
                </w:r>
              </w:p>
            </w:tc>
          </w:sdtContent>
        </w:sdt>
      </w:tr>
      <w:tr w14:paraId="2972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484AB6C8">
            <w:pPr>
              <w:rPr>
                <w:color w:val="000000" w:themeColor="text1"/>
                <w14:textFill>
                  <w14:solidFill>
                    <w14:schemeClr w14:val="tx1"/>
                  </w14:solidFill>
                </w14:textFill>
              </w:rPr>
            </w:pPr>
            <w:r>
              <w:rPr>
                <w:rFonts w:hint="eastAsia"/>
                <w:color w:val="000000" w:themeColor="text1"/>
                <w14:textFill>
                  <w14:solidFill>
                    <w14:schemeClr w14:val="tx1"/>
                  </w14:solidFill>
                </w14:textFill>
              </w:rPr>
              <w:t>债务转为资本</w:t>
            </w:r>
          </w:p>
        </w:tc>
        <w:tc>
          <w:tcPr>
            <w:tcW w:w="1547" w:type="pct"/>
          </w:tcPr>
          <w:p w14:paraId="7552DF1C">
            <w:pPr>
              <w:jc w:val="right"/>
            </w:pPr>
          </w:p>
        </w:tc>
        <w:tc>
          <w:tcPr>
            <w:tcW w:w="1529" w:type="pct"/>
          </w:tcPr>
          <w:p w14:paraId="074627D1">
            <w:pPr>
              <w:jc w:val="right"/>
            </w:pPr>
          </w:p>
        </w:tc>
      </w:tr>
      <w:tr w14:paraId="2CC2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24" w:type="pct"/>
          </w:tcPr>
          <w:p w14:paraId="1C3936C8">
            <w:pPr>
              <w:rPr>
                <w:color w:val="000000" w:themeColor="text1"/>
                <w14:textFill>
                  <w14:solidFill>
                    <w14:schemeClr w14:val="tx1"/>
                  </w14:solidFill>
                </w14:textFill>
              </w:rPr>
            </w:pPr>
            <w:r>
              <w:rPr>
                <w:rFonts w:hint="eastAsia"/>
                <w:color w:val="000000" w:themeColor="text1"/>
                <w14:textFill>
                  <w14:solidFill>
                    <w14:schemeClr w14:val="tx1"/>
                  </w14:solidFill>
                </w14:textFill>
              </w:rPr>
              <w:t>一年内到期的可转换公司债券</w:t>
            </w:r>
          </w:p>
        </w:tc>
        <w:tc>
          <w:tcPr>
            <w:tcW w:w="1547" w:type="pct"/>
          </w:tcPr>
          <w:p w14:paraId="59F7658E">
            <w:pPr>
              <w:jc w:val="right"/>
            </w:pPr>
          </w:p>
        </w:tc>
        <w:tc>
          <w:tcPr>
            <w:tcW w:w="1529" w:type="pct"/>
          </w:tcPr>
          <w:p w14:paraId="02FFDCB2">
            <w:pPr>
              <w:jc w:val="right"/>
            </w:pPr>
          </w:p>
        </w:tc>
      </w:tr>
      <w:tr w14:paraId="32FA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330CE87B">
            <w:pPr>
              <w:rPr>
                <w:color w:val="000000" w:themeColor="text1"/>
                <w14:textFill>
                  <w14:solidFill>
                    <w14:schemeClr w14:val="tx1"/>
                  </w14:solidFill>
                </w14:textFill>
              </w:rPr>
            </w:pPr>
            <w:r>
              <w:rPr>
                <w:rFonts w:hint="eastAsia"/>
                <w:color w:val="000000" w:themeColor="text1"/>
                <w14:textFill>
                  <w14:solidFill>
                    <w14:schemeClr w14:val="tx1"/>
                  </w14:solidFill>
                </w14:textFill>
              </w:rPr>
              <w:t>融资租入固定资产</w:t>
            </w:r>
          </w:p>
        </w:tc>
        <w:tc>
          <w:tcPr>
            <w:tcW w:w="1547" w:type="pct"/>
          </w:tcPr>
          <w:p w14:paraId="113F8284">
            <w:pPr>
              <w:jc w:val="right"/>
            </w:pPr>
          </w:p>
        </w:tc>
        <w:tc>
          <w:tcPr>
            <w:tcW w:w="1529" w:type="pct"/>
          </w:tcPr>
          <w:p w14:paraId="4C7EAE89">
            <w:pPr>
              <w:jc w:val="right"/>
            </w:pPr>
          </w:p>
        </w:tc>
      </w:tr>
      <w:tr w14:paraId="54A1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1294459fe7ee46638b8d4b78b8d8c436"/>
            <w:id w:val="-566263284"/>
          </w:sdtPr>
          <w:sdtContent>
            <w:tc>
              <w:tcPr>
                <w:tcW w:w="5000" w:type="pct"/>
                <w:gridSpan w:val="3"/>
              </w:tcPr>
              <w:p w14:paraId="5307284D">
                <w:pPr>
                  <w:rPr>
                    <w:color w:val="000000" w:themeColor="text1"/>
                    <w14:textFill>
                      <w14:solidFill>
                        <w14:schemeClr w14:val="tx1"/>
                      </w14:solidFill>
                    </w14:textFill>
                  </w:rPr>
                </w:pPr>
                <w:r>
                  <w:rPr>
                    <w:b/>
                    <w:color w:val="000000" w:themeColor="text1"/>
                    <w14:textFill>
                      <w14:solidFill>
                        <w14:schemeClr w14:val="tx1"/>
                      </w14:solidFill>
                    </w14:textFill>
                  </w:rPr>
                  <w:t>3</w:t>
                </w:r>
                <w:r>
                  <w:rPr>
                    <w:rFonts w:hint="eastAsia"/>
                    <w:b/>
                    <w:color w:val="000000" w:themeColor="text1"/>
                    <w14:textFill>
                      <w14:solidFill>
                        <w14:schemeClr w14:val="tx1"/>
                      </w14:solidFill>
                    </w14:textFill>
                  </w:rPr>
                  <w:t>．现金及现金等价物净变动情况：</w:t>
                </w:r>
              </w:p>
            </w:tc>
          </w:sdtContent>
        </w:sdt>
      </w:tr>
      <w:tr w14:paraId="15AF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61B8498E">
            <w:pPr>
              <w:rPr>
                <w:color w:val="000000" w:themeColor="text1"/>
                <w14:textFill>
                  <w14:solidFill>
                    <w14:schemeClr w14:val="tx1"/>
                  </w14:solidFill>
                </w14:textFill>
              </w:rPr>
            </w:pPr>
            <w:r>
              <w:rPr>
                <w:rFonts w:hint="eastAsia"/>
                <w:color w:val="000000" w:themeColor="text1"/>
                <w14:textFill>
                  <w14:solidFill>
                    <w14:schemeClr w14:val="tx1"/>
                  </w14:solidFill>
                </w14:textFill>
              </w:rPr>
              <w:t>现金的期末余额</w:t>
            </w:r>
          </w:p>
        </w:tc>
        <w:tc>
          <w:tcPr>
            <w:tcW w:w="1547" w:type="pct"/>
          </w:tcPr>
          <w:p w14:paraId="75EAA872">
            <w:pPr>
              <w:jc w:val="right"/>
            </w:pPr>
            <w:r>
              <w:t>37,844,933.26</w:t>
            </w:r>
          </w:p>
        </w:tc>
        <w:tc>
          <w:tcPr>
            <w:tcW w:w="1529" w:type="pct"/>
          </w:tcPr>
          <w:p w14:paraId="464D11C7">
            <w:pPr>
              <w:jc w:val="right"/>
            </w:pPr>
            <w:r>
              <w:t>20,256,035.68</w:t>
            </w:r>
          </w:p>
        </w:tc>
      </w:tr>
      <w:tr w14:paraId="2B67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16ADF914">
            <w:pPr>
              <w:rPr>
                <w:color w:val="000000" w:themeColor="text1"/>
                <w14:textFill>
                  <w14:solidFill>
                    <w14:schemeClr w14:val="tx1"/>
                  </w14:solidFill>
                </w14:textFill>
              </w:rPr>
            </w:pPr>
            <w:r>
              <w:rPr>
                <w:rFonts w:hint="eastAsia"/>
                <w:color w:val="000000" w:themeColor="text1"/>
                <w14:textFill>
                  <w14:solidFill>
                    <w14:schemeClr w14:val="tx1"/>
                  </w14:solidFill>
                </w14:textFill>
              </w:rPr>
              <w:t>减：现金的期初余额</w:t>
            </w:r>
          </w:p>
        </w:tc>
        <w:tc>
          <w:tcPr>
            <w:tcW w:w="1547" w:type="pct"/>
            <w:vAlign w:val="center"/>
          </w:tcPr>
          <w:p w14:paraId="2B39298B">
            <w:pPr>
              <w:jc w:val="right"/>
              <w:rPr>
                <w:bCs w:val="0"/>
              </w:rPr>
            </w:pPr>
            <w:r>
              <w:rPr>
                <w:bCs w:val="0"/>
              </w:rPr>
              <w:t>31,641,834.53</w:t>
            </w:r>
          </w:p>
        </w:tc>
        <w:tc>
          <w:tcPr>
            <w:tcW w:w="1529" w:type="pct"/>
            <w:vAlign w:val="center"/>
          </w:tcPr>
          <w:p w14:paraId="4AFB7297">
            <w:pPr>
              <w:jc w:val="right"/>
              <w:rPr>
                <w:bCs w:val="0"/>
              </w:rPr>
            </w:pPr>
            <w:r>
              <w:rPr>
                <w:bCs w:val="0"/>
              </w:rPr>
              <w:t>48,525,828.68</w:t>
            </w:r>
          </w:p>
        </w:tc>
      </w:tr>
      <w:tr w14:paraId="6C5A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4E18F72D">
            <w:pPr>
              <w:rPr>
                <w:color w:val="000000" w:themeColor="text1"/>
                <w14:textFill>
                  <w14:solidFill>
                    <w14:schemeClr w14:val="tx1"/>
                  </w14:solidFill>
                </w14:textFill>
              </w:rPr>
            </w:pPr>
            <w:r>
              <w:rPr>
                <w:rFonts w:hint="eastAsia"/>
                <w:color w:val="000000" w:themeColor="text1"/>
                <w14:textFill>
                  <w14:solidFill>
                    <w14:schemeClr w14:val="tx1"/>
                  </w14:solidFill>
                </w14:textFill>
              </w:rPr>
              <w:t>加：现金等价物的期末余额</w:t>
            </w:r>
          </w:p>
        </w:tc>
        <w:tc>
          <w:tcPr>
            <w:tcW w:w="1547" w:type="pct"/>
          </w:tcPr>
          <w:p w14:paraId="2ECF63AC">
            <w:pPr>
              <w:jc w:val="right"/>
            </w:pPr>
          </w:p>
        </w:tc>
        <w:tc>
          <w:tcPr>
            <w:tcW w:w="1529" w:type="pct"/>
          </w:tcPr>
          <w:p w14:paraId="652F8DA8">
            <w:pPr>
              <w:jc w:val="right"/>
            </w:pPr>
          </w:p>
        </w:tc>
      </w:tr>
      <w:tr w14:paraId="6F6E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pct"/>
          </w:tcPr>
          <w:p w14:paraId="5F5C4825">
            <w:pPr>
              <w:rPr>
                <w:color w:val="000000" w:themeColor="text1"/>
                <w14:textFill>
                  <w14:solidFill>
                    <w14:schemeClr w14:val="tx1"/>
                  </w14:solidFill>
                </w14:textFill>
              </w:rPr>
            </w:pPr>
            <w:r>
              <w:rPr>
                <w:rFonts w:hint="eastAsia"/>
                <w:color w:val="000000" w:themeColor="text1"/>
                <w14:textFill>
                  <w14:solidFill>
                    <w14:schemeClr w14:val="tx1"/>
                  </w14:solidFill>
                </w14:textFill>
              </w:rPr>
              <w:t>减：现金等价物的期初余额</w:t>
            </w:r>
          </w:p>
        </w:tc>
        <w:tc>
          <w:tcPr>
            <w:tcW w:w="1547" w:type="pct"/>
            <w:vAlign w:val="center"/>
          </w:tcPr>
          <w:p w14:paraId="72489E10">
            <w:pPr>
              <w:jc w:val="right"/>
              <w:rPr>
                <w:bCs w:val="0"/>
              </w:rPr>
            </w:pPr>
          </w:p>
        </w:tc>
        <w:tc>
          <w:tcPr>
            <w:tcW w:w="1529" w:type="pct"/>
            <w:vAlign w:val="center"/>
          </w:tcPr>
          <w:p w14:paraId="66E4B7DB">
            <w:pPr>
              <w:jc w:val="right"/>
              <w:rPr>
                <w:bCs w:val="0"/>
              </w:rPr>
            </w:pPr>
          </w:p>
        </w:tc>
      </w:tr>
      <w:tr w14:paraId="2A14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24" w:type="pct"/>
          </w:tcPr>
          <w:p w14:paraId="751C2B2A">
            <w:pPr>
              <w:rPr>
                <w:color w:val="000000" w:themeColor="text1"/>
                <w14:textFill>
                  <w14:solidFill>
                    <w14:schemeClr w14:val="tx1"/>
                  </w14:solidFill>
                </w14:textFill>
              </w:rPr>
            </w:pPr>
            <w:r>
              <w:rPr>
                <w:rFonts w:hint="eastAsia"/>
                <w:color w:val="000000" w:themeColor="text1"/>
                <w14:textFill>
                  <w14:solidFill>
                    <w14:schemeClr w14:val="tx1"/>
                  </w14:solidFill>
                </w14:textFill>
              </w:rPr>
              <w:t>现金及现金等价物净增加额</w:t>
            </w:r>
          </w:p>
        </w:tc>
        <w:tc>
          <w:tcPr>
            <w:tcW w:w="1547" w:type="pct"/>
          </w:tcPr>
          <w:p w14:paraId="54B0E510">
            <w:pPr>
              <w:jc w:val="right"/>
            </w:pPr>
            <w:r>
              <w:t>6,203,098.73</w:t>
            </w:r>
          </w:p>
        </w:tc>
        <w:tc>
          <w:tcPr>
            <w:tcW w:w="1529" w:type="pct"/>
          </w:tcPr>
          <w:p w14:paraId="21508BED">
            <w:pPr>
              <w:jc w:val="right"/>
              <w:rPr>
                <w:bCs w:val="0"/>
              </w:rPr>
            </w:pPr>
            <w:r>
              <w:rPr>
                <w:bCs w:val="0"/>
              </w:rPr>
              <w:t>-28,269,793.00</w:t>
            </w:r>
          </w:p>
        </w:tc>
      </w:tr>
    </w:tbl>
    <w:p w14:paraId="7CDFDB31">
      <w:pPr>
        <w:rPr>
          <w:color w:val="000000" w:themeColor="text1"/>
          <w14:textFill>
            <w14:solidFill>
              <w14:schemeClr w14:val="tx1"/>
            </w14:solidFill>
          </w14:textFill>
        </w:rPr>
      </w:pPr>
    </w:p>
    <w:p w14:paraId="32E8F0AC">
      <w:pPr>
        <w:pStyle w:val="5"/>
        <w:numPr>
          <w:ilvl w:val="0"/>
          <w:numId w:val="89"/>
        </w:numPr>
        <w:rPr>
          <w:rFonts w:hint="eastAsia" w:ascii="宋体" w:hAnsi="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本期支付的</w:t>
      </w:r>
      <w:r>
        <w:rPr>
          <w:rFonts w:hint="eastAsia" w:ascii="宋体" w:hAnsi="宋体"/>
          <w:color w:val="000000" w:themeColor="text1"/>
          <w:szCs w:val="21"/>
          <w14:textFill>
            <w14:solidFill>
              <w14:schemeClr w14:val="tx1"/>
            </w14:solidFill>
          </w14:textFill>
        </w:rPr>
        <w:t>取得子公司的现金净额</w:t>
      </w:r>
    </w:p>
    <w:sdt>
      <w:sdtPr>
        <w:rPr>
          <w:color w:val="000000" w:themeColor="text1"/>
          <w14:textFill>
            <w14:solidFill>
              <w14:schemeClr w14:val="tx1"/>
            </w14:solidFill>
          </w14:textFill>
        </w:rPr>
        <w:alias w:val="是否适用：本期支付的取得子公司的现金净额[双击切换]"/>
        <w:tag w:val="_GBC_903abae67cad448caac446eb8c11fd79"/>
        <w:id w:val="1510713596"/>
        <w:placeholder>
          <w:docPart w:val="GBC22222222222222222222222222222"/>
        </w:placeholder>
      </w:sdtPr>
      <w:sdtEndPr>
        <w:rPr>
          <w:color w:val="000000" w:themeColor="text1"/>
          <w14:textFill>
            <w14:solidFill>
              <w14:schemeClr w14:val="tx1"/>
            </w14:solidFill>
          </w14:textFill>
        </w:rPr>
      </w:sdtEndPr>
      <w:sdtContent>
        <w:p w14:paraId="2D65B25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8E9F8C1">
      <w:pPr>
        <w:rPr>
          <w:color w:val="000000" w:themeColor="text1"/>
          <w14:textFill>
            <w14:solidFill>
              <w14:schemeClr w14:val="tx1"/>
            </w14:solidFill>
          </w14:textFill>
        </w:rPr>
      </w:pPr>
    </w:p>
    <w:p w14:paraId="32F8CF0B">
      <w:pPr>
        <w:rPr>
          <w:color w:val="000000" w:themeColor="text1"/>
          <w14:textFill>
            <w14:solidFill>
              <w14:schemeClr w14:val="tx1"/>
            </w14:solidFill>
          </w14:textFill>
        </w:rPr>
      </w:pPr>
    </w:p>
    <w:p w14:paraId="0E2BA50D">
      <w:pPr>
        <w:pStyle w:val="5"/>
        <w:numPr>
          <w:ilvl w:val="0"/>
          <w:numId w:val="89"/>
        </w:numP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本期收到的</w:t>
      </w:r>
      <w:r>
        <w:rPr>
          <w:rFonts w:hint="eastAsia" w:ascii="宋体" w:hAnsi="宋体"/>
          <w:color w:val="000000" w:themeColor="text1"/>
          <w14:textFill>
            <w14:solidFill>
              <w14:schemeClr w14:val="tx1"/>
            </w14:solidFill>
          </w14:textFill>
        </w:rPr>
        <w:t>处置子公司的现金净额</w:t>
      </w:r>
    </w:p>
    <w:sdt>
      <w:sdtPr>
        <w:rPr>
          <w:color w:val="000000" w:themeColor="text1"/>
          <w14:textFill>
            <w14:solidFill>
              <w14:schemeClr w14:val="tx1"/>
            </w14:solidFill>
          </w14:textFill>
        </w:rPr>
        <w:alias w:val="是否适用：本期收到的处置子公司的现金净额[双击切换]"/>
        <w:tag w:val="_GBC_2b4b13c85bb94d13bb7b7edebe0a9f5a"/>
        <w:id w:val="2047252381"/>
        <w:placeholder>
          <w:docPart w:val="GBC22222222222222222222222222222"/>
        </w:placeholder>
      </w:sdtPr>
      <w:sdtEndPr>
        <w:rPr>
          <w:color w:val="000000" w:themeColor="text1"/>
          <w14:textFill>
            <w14:solidFill>
              <w14:schemeClr w14:val="tx1"/>
            </w14:solidFill>
          </w14:textFill>
        </w:rPr>
      </w:sdtEndPr>
      <w:sdtContent>
        <w:p w14:paraId="3B67A53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108018F">
      <w:pPr>
        <w:rPr>
          <w:color w:val="000000" w:themeColor="text1"/>
          <w14:textFill>
            <w14:solidFill>
              <w14:schemeClr w14:val="tx1"/>
            </w14:solidFill>
          </w14:textFill>
        </w:rPr>
      </w:pPr>
    </w:p>
    <w:p w14:paraId="2B308DB6">
      <w:pPr>
        <w:pStyle w:val="5"/>
        <w:numPr>
          <w:ilvl w:val="0"/>
          <w:numId w:val="89"/>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现金和现金</w:t>
      </w:r>
      <w:r>
        <w:rPr>
          <w:rFonts w:hint="eastAsia" w:ascii="宋体" w:hAnsi="宋体"/>
          <w:color w:val="000000" w:themeColor="text1"/>
          <w14:textFill>
            <w14:solidFill>
              <w14:schemeClr w14:val="tx1"/>
            </w14:solidFill>
          </w14:textFill>
        </w:rPr>
        <w:t>等价物</w:t>
      </w:r>
      <w:r>
        <w:rPr>
          <w:rFonts w:hint="eastAsia" w:ascii="宋体" w:hAnsi="宋体"/>
          <w:color w:val="000000" w:themeColor="text1"/>
          <w:szCs w:val="21"/>
          <w14:textFill>
            <w14:solidFill>
              <w14:schemeClr w14:val="tx1"/>
            </w14:solidFill>
          </w14:textFill>
        </w:rPr>
        <w:t>的构成</w:t>
      </w:r>
    </w:p>
    <w:sdt>
      <w:sdtPr>
        <w:rPr>
          <w:color w:val="000000" w:themeColor="text1"/>
          <w14:textFill>
            <w14:solidFill>
              <w14:schemeClr w14:val="tx1"/>
            </w14:solidFill>
          </w14:textFill>
        </w:rPr>
        <w:alias w:val="是否适用：现金和现金等价物的构成[双击切换]"/>
        <w:tag w:val="_GBC_4f1d477972634410a6ea7bdfaf766947"/>
        <w:id w:val="-1834445182"/>
        <w:placeholder>
          <w:docPart w:val="GBC22222222222222222222222222222"/>
        </w:placeholder>
      </w:sdtPr>
      <w:sdtEndPr>
        <w:rPr>
          <w:color w:val="000000" w:themeColor="text1"/>
          <w14:textFill>
            <w14:solidFill>
              <w14:schemeClr w14:val="tx1"/>
            </w14:solidFill>
          </w14:textFill>
        </w:rPr>
      </w:sdtEndPr>
      <w:sdtContent>
        <w:p w14:paraId="533FECB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7AB4F91">
      <w:pPr>
        <w:rPr>
          <w:color w:val="000000" w:themeColor="text1"/>
          <w14:textFill>
            <w14:solidFill>
              <w14:schemeClr w14:val="tx1"/>
            </w14:solidFill>
          </w14:textFill>
        </w:rPr>
      </w:pPr>
    </w:p>
    <w:p w14:paraId="5668C4BA">
      <w:pPr>
        <w:pStyle w:val="5"/>
        <w:numPr>
          <w:ilvl w:val="0"/>
          <w:numId w:val="89"/>
        </w:numPr>
        <w:rPr>
          <w:color w:val="000000" w:themeColor="text1"/>
          <w14:textFill>
            <w14:solidFill>
              <w14:schemeClr w14:val="tx1"/>
            </w14:solidFill>
          </w14:textFill>
        </w:rPr>
      </w:pPr>
      <w:bookmarkStart w:id="381" w:name="_Hlk167970923"/>
      <w:r>
        <w:rPr>
          <w:rFonts w:hint="eastAsia"/>
          <w:color w:val="000000" w:themeColor="text1"/>
          <w14:textFill>
            <w14:solidFill>
              <w14:schemeClr w14:val="tx1"/>
            </w14:solidFill>
          </w14:textFill>
        </w:rPr>
        <w:t>使用范围受限但仍作为现金和现金</w:t>
      </w:r>
      <w:r>
        <w:rPr>
          <w:rFonts w:hint="eastAsia" w:ascii="宋体" w:hAnsi="宋体"/>
          <w:color w:val="000000" w:themeColor="text1"/>
          <w:szCs w:val="21"/>
          <w14:textFill>
            <w14:solidFill>
              <w14:schemeClr w14:val="tx1"/>
            </w14:solidFill>
          </w14:textFill>
        </w:rPr>
        <w:t>等价物</w:t>
      </w:r>
      <w:r>
        <w:rPr>
          <w:rFonts w:hint="eastAsia"/>
          <w:color w:val="000000" w:themeColor="text1"/>
          <w14:textFill>
            <w14:solidFill>
              <w14:schemeClr w14:val="tx1"/>
            </w14:solidFill>
          </w14:textFill>
        </w:rPr>
        <w:t>列示的情况</w:t>
      </w:r>
    </w:p>
    <w:sdt>
      <w:sdtPr>
        <w:rPr>
          <w:color w:val="000000" w:themeColor="text1"/>
          <w14:textFill>
            <w14:solidFill>
              <w14:schemeClr w14:val="tx1"/>
            </w14:solidFill>
          </w14:textFill>
        </w:rPr>
        <w:alias w:val="是否适用：使用范围受限但仍作为现金和现金等价物列示的情况[双击切换]"/>
        <w:tag w:val="_GBC_dcbbdbc5a8524c8299b810908077aebe"/>
        <w:id w:val="-1669936507"/>
        <w:placeholder>
          <w:docPart w:val="GBC22222222222222222222222222222"/>
        </w:placeholder>
      </w:sdtPr>
      <w:sdtEndPr>
        <w:rPr>
          <w:color w:val="000000" w:themeColor="text1"/>
          <w14:textFill>
            <w14:solidFill>
              <w14:schemeClr w14:val="tx1"/>
            </w14:solidFill>
          </w14:textFill>
        </w:rPr>
      </w:sdtEndPr>
      <w:sdtContent>
        <w:p w14:paraId="0E9E357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C0256A0">
      <w:pPr>
        <w:rPr>
          <w:color w:val="000000" w:themeColor="text1"/>
          <w14:textFill>
            <w14:solidFill>
              <w14:schemeClr w14:val="tx1"/>
            </w14:solidFill>
          </w14:textFill>
        </w:rPr>
      </w:pPr>
    </w:p>
    <w:p w14:paraId="6676CE01">
      <w:pPr>
        <w:pStyle w:val="5"/>
        <w:numPr>
          <w:ilvl w:val="0"/>
          <w:numId w:val="89"/>
        </w:numPr>
        <w:rPr>
          <w:color w:val="000000" w:themeColor="text1"/>
          <w14:textFill>
            <w14:solidFill>
              <w14:schemeClr w14:val="tx1"/>
            </w14:solidFill>
          </w14:textFill>
        </w:rPr>
      </w:pPr>
      <w:r>
        <w:rPr>
          <w:rFonts w:hint="eastAsia"/>
          <w:color w:val="000000" w:themeColor="text1"/>
          <w14:textFill>
            <w14:solidFill>
              <w14:schemeClr w14:val="tx1"/>
            </w14:solidFill>
          </w14:textFill>
        </w:rPr>
        <w:t>不属于现金及现金等价物的货币资金</w:t>
      </w:r>
    </w:p>
    <w:sdt>
      <w:sdtPr>
        <w:rPr>
          <w:color w:val="000000" w:themeColor="text1"/>
          <w14:textFill>
            <w14:solidFill>
              <w14:schemeClr w14:val="tx1"/>
            </w14:solidFill>
          </w14:textFill>
        </w:rPr>
        <w:alias w:val="是否适用：不属于现金及现金等价物的货币资金[双击切换]"/>
        <w:tag w:val="_GBC_191a966fa63441a7bf4a17ba6bb3802a"/>
        <w:id w:val="-849022835"/>
        <w:placeholder>
          <w:docPart w:val="GBC22222222222222222222222222222"/>
        </w:placeholder>
      </w:sdtPr>
      <w:sdtEndPr>
        <w:rPr>
          <w:color w:val="000000" w:themeColor="text1"/>
          <w14:textFill>
            <w14:solidFill>
              <w14:schemeClr w14:val="tx1"/>
            </w14:solidFill>
          </w14:textFill>
        </w:rPr>
      </w:sdtEndPr>
      <w:sdtContent>
        <w:p w14:paraId="5F171CB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0E39ED6">
      <w:pPr>
        <w:rPr>
          <w:color w:val="000000" w:themeColor="text1"/>
          <w14:textFill>
            <w14:solidFill>
              <w14:schemeClr w14:val="tx1"/>
            </w14:solidFill>
          </w14:textFill>
        </w:rPr>
      </w:pPr>
    </w:p>
    <w:bookmarkEnd w:id="381"/>
    <w:p w14:paraId="14B5F586">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现金流量表补充资料的说明[双击切换]"/>
        <w:tag w:val="_GBC_2212775a699e4804b260767f3ce34d12"/>
        <w:id w:val="897019783"/>
        <w:placeholder>
          <w:docPart w:val="GBC22222222222222222222222222222"/>
        </w:placeholder>
      </w:sdtPr>
      <w:sdtEndPr>
        <w:rPr>
          <w:color w:val="000000" w:themeColor="text1"/>
          <w14:textFill>
            <w14:solidFill>
              <w14:schemeClr w14:val="tx1"/>
            </w14:solidFill>
          </w14:textFill>
        </w:rPr>
      </w:sdtEndPr>
      <w:sdtContent>
        <w:p w14:paraId="367E1FCF">
          <w:pPr>
            <w:spacing w:before="60" w:after="6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F971A3F">
      <w:pPr>
        <w:rPr>
          <w:color w:val="000000" w:themeColor="text1"/>
          <w14:textFill>
            <w14:solidFill>
              <w14:schemeClr w14:val="tx1"/>
            </w14:solidFill>
          </w14:textFill>
        </w:rPr>
      </w:pPr>
    </w:p>
    <w:p w14:paraId="02D6B8C2">
      <w:pPr>
        <w:pStyle w:val="4"/>
        <w:numPr>
          <w:ilvl w:val="0"/>
          <w:numId w:val="53"/>
        </w:numPr>
        <w:tabs>
          <w:tab w:val="left" w:pos="504"/>
        </w:tabs>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所有者权益变动表项目注释</w:t>
      </w:r>
    </w:p>
    <w:p w14:paraId="027AA41A">
      <w:pPr>
        <w:rPr>
          <w:color w:val="000000" w:themeColor="text1"/>
          <w14:textFill>
            <w14:solidFill>
              <w14:schemeClr w14:val="tx1"/>
            </w14:solidFill>
          </w14:textFill>
        </w:rPr>
      </w:pPr>
      <w:r>
        <w:rPr>
          <w:rFonts w:hint="eastAsia"/>
          <w:color w:val="000000" w:themeColor="text1"/>
          <w14:textFill>
            <w14:solidFill>
              <w14:schemeClr w14:val="tx1"/>
            </w14:solidFill>
          </w14:textFill>
        </w:rPr>
        <w:t>说明对上年期末余额进行调整的“其他”项目名称及调整金额等事项：</w:t>
      </w:r>
    </w:p>
    <w:sdt>
      <w:sdtPr>
        <w:rPr>
          <w:color w:val="000000" w:themeColor="text1"/>
          <w14:textFill>
            <w14:solidFill>
              <w14:schemeClr w14:val="tx1"/>
            </w14:solidFill>
          </w14:textFill>
        </w:rPr>
        <w:alias w:val="是否适用：所有者权益变动表项目注释[双击切换]"/>
        <w:tag w:val="_GBC_61e84760a3fd4a58bb2421e95114d9b8"/>
        <w:id w:val="-115453764"/>
        <w:placeholder>
          <w:docPart w:val="GBC22222222222222222222222222222"/>
        </w:placeholder>
      </w:sdtPr>
      <w:sdtEndPr>
        <w:rPr>
          <w:color w:val="000000" w:themeColor="text1"/>
          <w14:textFill>
            <w14:solidFill>
              <w14:schemeClr w14:val="tx1"/>
            </w14:solidFill>
          </w14:textFill>
        </w:rPr>
      </w:sdtEndPr>
      <w:sdtContent>
        <w:p w14:paraId="3E51B77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FF8EC48">
      <w:pPr>
        <w:rPr>
          <w:color w:val="000000" w:themeColor="text1"/>
          <w14:textFill>
            <w14:solidFill>
              <w14:schemeClr w14:val="tx1"/>
            </w14:solidFill>
          </w14:textFill>
        </w:rPr>
      </w:pPr>
    </w:p>
    <w:p w14:paraId="6B8D76FF">
      <w:pPr>
        <w:pStyle w:val="4"/>
        <w:numPr>
          <w:ilvl w:val="0"/>
          <w:numId w:val="53"/>
        </w:numPr>
        <w:tabs>
          <w:tab w:val="left" w:pos="504"/>
        </w:tabs>
        <w:rPr>
          <w:rFonts w:hint="eastAsia" w:ascii="宋体" w:hAnsi="宋体"/>
          <w:color w:val="000000" w:themeColor="text1"/>
          <w:szCs w:val="21"/>
          <w14:textFill>
            <w14:solidFill>
              <w14:schemeClr w14:val="tx1"/>
            </w14:solidFill>
          </w14:textFill>
        </w:rPr>
      </w:pPr>
      <w:bookmarkStart w:id="382" w:name="_Hlk42158948"/>
      <w:r>
        <w:rPr>
          <w:rFonts w:hint="eastAsia" w:ascii="宋体" w:hAnsi="宋体"/>
          <w:color w:val="000000" w:themeColor="text1"/>
          <w:szCs w:val="21"/>
          <w14:textFill>
            <w14:solidFill>
              <w14:schemeClr w14:val="tx1"/>
            </w14:solidFill>
          </w14:textFill>
        </w:rPr>
        <w:t>外币货币性项目</w:t>
      </w:r>
    </w:p>
    <w:p w14:paraId="2D1B039B">
      <w:pPr>
        <w:pStyle w:val="5"/>
        <w:numPr>
          <w:ilvl w:val="0"/>
          <w:numId w:val="90"/>
        </w:numPr>
        <w:rPr>
          <w:b w:val="0"/>
          <w:bCs/>
          <w:color w:val="000000" w:themeColor="text1"/>
          <w14:textFill>
            <w14:solidFill>
              <w14:schemeClr w14:val="tx1"/>
            </w14:solidFill>
          </w14:textFill>
        </w:rPr>
      </w:pPr>
      <w:r>
        <w:rPr>
          <w:rStyle w:val="47"/>
          <w:rFonts w:hint="eastAsia" w:ascii="宋体" w:hAnsi="宋体"/>
          <w:b/>
          <w:color w:val="000000" w:themeColor="text1"/>
          <w:szCs w:val="21"/>
          <w14:textFill>
            <w14:solidFill>
              <w14:schemeClr w14:val="tx1"/>
            </w14:solidFill>
          </w14:textFill>
        </w:rPr>
        <w:t>外币货币性项目</w:t>
      </w:r>
    </w:p>
    <w:sdt>
      <w:sdtPr>
        <w:rPr>
          <w:color w:val="000000" w:themeColor="text1"/>
          <w14:textFill>
            <w14:solidFill>
              <w14:schemeClr w14:val="tx1"/>
            </w14:solidFill>
          </w14:textFill>
        </w:rPr>
        <w:alias w:val="是否适用：外币货币性项目[双击切换]"/>
        <w:tag w:val="_GBC_7b0870ec262840d78495babcff3639aa"/>
        <w:id w:val="-1253197777"/>
        <w:placeholder>
          <w:docPart w:val="GBC22222222222222222222222222222"/>
        </w:placeholder>
      </w:sdtPr>
      <w:sdtEndPr>
        <w:rPr>
          <w:color w:val="000000" w:themeColor="text1"/>
          <w14:textFill>
            <w14:solidFill>
              <w14:schemeClr w14:val="tx1"/>
            </w14:solidFill>
          </w14:textFill>
        </w:rPr>
      </w:sdtEndPr>
      <w:sdtContent>
        <w:p w14:paraId="00662B9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AA361B3">
      <w:pPr>
        <w:pStyle w:val="55"/>
        <w:ind w:firstLine="0" w:firstLineChars="0"/>
        <w:jc w:val="righ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w:t>
      </w:r>
      <w:sdt>
        <w:sdtPr>
          <w:rPr>
            <w:rFonts w:hint="eastAsia" w:ascii="宋体" w:hAnsi="宋体"/>
            <w:color w:val="000000" w:themeColor="text1"/>
            <w:szCs w:val="21"/>
            <w14:textFill>
              <w14:solidFill>
                <w14:schemeClr w14:val="tx1"/>
              </w14:solidFill>
            </w14:textFill>
          </w:rPr>
          <w:alias w:val="单位：财务附注：外币货币性项目"/>
          <w:tag w:val="_GBC_52ed5330bd884651892991446f0f1ae0"/>
          <w:id w:val="124853888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元</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5"/>
        <w:gridCol w:w="1998"/>
        <w:gridCol w:w="2006"/>
        <w:gridCol w:w="1994"/>
      </w:tblGrid>
      <w:tr w14:paraId="4DA2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28ce5153e9cf4914a550a6d253e7c465"/>
            <w:id w:val="-634263607"/>
          </w:sdtPr>
          <w:sdtContent>
            <w:tc>
              <w:tcPr>
                <w:tcW w:w="1601" w:type="pct"/>
                <w:tcBorders>
                  <w:top w:val="single" w:color="auto" w:sz="4" w:space="0"/>
                  <w:left w:val="single" w:color="auto" w:sz="4" w:space="0"/>
                  <w:bottom w:val="single" w:color="auto" w:sz="4" w:space="0"/>
                  <w:right w:val="single" w:color="auto" w:sz="4" w:space="0"/>
                </w:tcBorders>
                <w:vAlign w:val="center"/>
              </w:tcPr>
              <w:p w14:paraId="18E7F70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295b6f310e534b62bde0e2c632482ed9"/>
            <w:id w:val="2009708735"/>
          </w:sdtPr>
          <w:sdtContent>
            <w:tc>
              <w:tcPr>
                <w:tcW w:w="1132" w:type="pct"/>
                <w:tcBorders>
                  <w:top w:val="single" w:color="auto" w:sz="4" w:space="0"/>
                  <w:left w:val="single" w:color="auto" w:sz="4" w:space="0"/>
                  <w:bottom w:val="single" w:color="auto" w:sz="4" w:space="0"/>
                  <w:right w:val="single" w:color="auto" w:sz="4" w:space="0"/>
                </w:tcBorders>
                <w:vAlign w:val="center"/>
              </w:tcPr>
              <w:p w14:paraId="15FDB2F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期末外币余额</w:t>
                </w:r>
              </w:p>
            </w:tc>
          </w:sdtContent>
        </w:sdt>
        <w:sdt>
          <w:sdtPr>
            <w:tag w:val="_PLD_aa43af2545cb40668f2670b6f1569a92"/>
            <w:id w:val="-763146226"/>
          </w:sdtPr>
          <w:sdtContent>
            <w:tc>
              <w:tcPr>
                <w:tcW w:w="1137" w:type="pct"/>
                <w:tcBorders>
                  <w:top w:val="single" w:color="auto" w:sz="4" w:space="0"/>
                  <w:left w:val="single" w:color="auto" w:sz="4" w:space="0"/>
                  <w:bottom w:val="single" w:color="auto" w:sz="4" w:space="0"/>
                  <w:right w:val="single" w:color="auto" w:sz="4" w:space="0"/>
                </w:tcBorders>
                <w:vAlign w:val="center"/>
              </w:tcPr>
              <w:p w14:paraId="40C6C61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折算汇率</w:t>
                </w:r>
              </w:p>
            </w:tc>
          </w:sdtContent>
        </w:sdt>
        <w:sdt>
          <w:sdtPr>
            <w:tag w:val="_PLD_8cdd9579b3964f01966c0b0c4cbacb2f"/>
            <w:id w:val="1858386127"/>
          </w:sdtPr>
          <w:sdtContent>
            <w:tc>
              <w:tcPr>
                <w:tcW w:w="1130" w:type="pct"/>
                <w:tcBorders>
                  <w:top w:val="single" w:color="auto" w:sz="4" w:space="0"/>
                  <w:left w:val="single" w:color="auto" w:sz="4" w:space="0"/>
                  <w:bottom w:val="single" w:color="auto" w:sz="4" w:space="0"/>
                  <w:right w:val="single" w:color="auto" w:sz="4" w:space="0"/>
                </w:tcBorders>
                <w:vAlign w:val="center"/>
              </w:tcPr>
              <w:p w14:paraId="24AACBA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期末折算人民币</w:t>
                </w:r>
              </w:p>
              <w:p w14:paraId="4752C6D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余额</w:t>
                </w:r>
              </w:p>
            </w:tc>
          </w:sdtContent>
        </w:sdt>
      </w:tr>
      <w:tr w14:paraId="1CB6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Borders>
              <w:top w:val="single" w:color="auto" w:sz="4" w:space="0"/>
              <w:left w:val="single" w:color="auto" w:sz="4" w:space="0"/>
              <w:bottom w:val="single" w:color="auto" w:sz="4" w:space="0"/>
              <w:right w:val="single" w:color="auto" w:sz="4" w:space="0"/>
            </w:tcBorders>
          </w:tcPr>
          <w:p w14:paraId="5BC98825">
            <w:pPr>
              <w:rPr>
                <w:color w:val="000000" w:themeColor="text1"/>
                <w14:textFill>
                  <w14:solidFill>
                    <w14:schemeClr w14:val="tx1"/>
                  </w14:solidFill>
                </w14:textFill>
              </w:rPr>
            </w:pPr>
            <w:r>
              <w:rPr>
                <w:color w:val="000000" w:themeColor="text1"/>
                <w14:textFill>
                  <w14:solidFill>
                    <w14:schemeClr w14:val="tx1"/>
                  </w14:solidFill>
                </w14:textFill>
              </w:rPr>
              <w:t>货币资金</w:t>
            </w:r>
          </w:p>
        </w:tc>
        <w:tc>
          <w:tcPr>
            <w:tcW w:w="1132" w:type="pct"/>
            <w:tcBorders>
              <w:top w:val="single" w:color="auto" w:sz="4" w:space="0"/>
              <w:left w:val="single" w:color="auto" w:sz="4" w:space="0"/>
              <w:bottom w:val="single" w:color="auto" w:sz="4" w:space="0"/>
              <w:right w:val="single" w:color="auto" w:sz="4" w:space="0"/>
            </w:tcBorders>
          </w:tcPr>
          <w:p w14:paraId="5D78DEBD">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137" w:type="pct"/>
            <w:tcBorders>
              <w:top w:val="single" w:color="auto" w:sz="4" w:space="0"/>
              <w:left w:val="single" w:color="auto" w:sz="4" w:space="0"/>
              <w:bottom w:val="single" w:color="auto" w:sz="4" w:space="0"/>
              <w:right w:val="single" w:color="auto" w:sz="4" w:space="0"/>
            </w:tcBorders>
          </w:tcPr>
          <w:p w14:paraId="0105D6B3">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130" w:type="pct"/>
            <w:tcBorders>
              <w:top w:val="single" w:color="auto" w:sz="4" w:space="0"/>
              <w:left w:val="single" w:color="auto" w:sz="4" w:space="0"/>
              <w:bottom w:val="single" w:color="auto" w:sz="4" w:space="0"/>
              <w:right w:val="single" w:color="auto" w:sz="4" w:space="0"/>
            </w:tcBorders>
          </w:tcPr>
          <w:p w14:paraId="580A42EE">
            <w:pPr>
              <w:jc w:val="right"/>
            </w:pPr>
          </w:p>
        </w:tc>
      </w:tr>
      <w:tr w14:paraId="5CEE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Borders>
              <w:top w:val="single" w:color="auto" w:sz="4" w:space="0"/>
              <w:left w:val="single" w:color="auto" w:sz="4" w:space="0"/>
              <w:bottom w:val="single" w:color="auto" w:sz="4" w:space="0"/>
              <w:right w:val="single" w:color="auto" w:sz="4" w:space="0"/>
            </w:tcBorders>
          </w:tcPr>
          <w:p w14:paraId="1FEFEEEC">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w:t>
            </w:r>
            <w:sdt>
              <w:sdtPr>
                <w:rPr>
                  <w:color w:val="000000" w:themeColor="text1"/>
                  <w14:textFill>
                    <w14:solidFill>
                      <w14:schemeClr w14:val="tx1"/>
                    </w14:solidFill>
                  </w14:textFill>
                </w:rPr>
                <w:alias w:val="以外币核算的币种明细-币种名称"/>
                <w:tag w:val="_GBC_21765b5e64364f62971250478e4ff572"/>
                <w:id w:val="139147032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美元</w:t>
                </w:r>
              </w:sdtContent>
            </w:sdt>
          </w:p>
        </w:tc>
        <w:tc>
          <w:tcPr>
            <w:tcW w:w="1132" w:type="pct"/>
            <w:tcBorders>
              <w:top w:val="single" w:color="auto" w:sz="4" w:space="0"/>
              <w:left w:val="single" w:color="auto" w:sz="4" w:space="0"/>
              <w:bottom w:val="single" w:color="auto" w:sz="4" w:space="0"/>
              <w:right w:val="single" w:color="auto" w:sz="4" w:space="0"/>
            </w:tcBorders>
          </w:tcPr>
          <w:p w14:paraId="52AD9213">
            <w:pPr>
              <w:jc w:val="right"/>
            </w:pPr>
            <w:r>
              <w:t>176,306.23</w:t>
            </w:r>
          </w:p>
        </w:tc>
        <w:tc>
          <w:tcPr>
            <w:tcW w:w="1137" w:type="pct"/>
            <w:tcBorders>
              <w:top w:val="single" w:color="auto" w:sz="4" w:space="0"/>
              <w:left w:val="single" w:color="auto" w:sz="4" w:space="0"/>
              <w:bottom w:val="single" w:color="auto" w:sz="4" w:space="0"/>
              <w:right w:val="single" w:color="auto" w:sz="4" w:space="0"/>
            </w:tcBorders>
          </w:tcPr>
          <w:p w14:paraId="67C9C189">
            <w:pPr>
              <w:jc w:val="right"/>
            </w:pPr>
            <w:r>
              <w:rPr>
                <w:rFonts w:hint="eastAsia"/>
              </w:rPr>
              <w:t>6.811253</w:t>
            </w:r>
          </w:p>
        </w:tc>
        <w:tc>
          <w:tcPr>
            <w:tcW w:w="1130" w:type="pct"/>
            <w:tcBorders>
              <w:top w:val="single" w:color="auto" w:sz="4" w:space="0"/>
              <w:left w:val="single" w:color="auto" w:sz="4" w:space="0"/>
              <w:bottom w:val="single" w:color="auto" w:sz="4" w:space="0"/>
              <w:right w:val="single" w:color="auto" w:sz="4" w:space="0"/>
            </w:tcBorders>
          </w:tcPr>
          <w:p w14:paraId="42128E6B">
            <w:pPr>
              <w:jc w:val="right"/>
            </w:pPr>
            <w:r>
              <w:t>1,200,866.39</w:t>
            </w:r>
          </w:p>
        </w:tc>
      </w:tr>
      <w:tr w14:paraId="2FAC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Borders>
              <w:top w:val="single" w:color="auto" w:sz="4" w:space="0"/>
              <w:left w:val="single" w:color="auto" w:sz="4" w:space="0"/>
              <w:bottom w:val="single" w:color="auto" w:sz="4" w:space="0"/>
              <w:right w:val="single" w:color="auto" w:sz="4" w:space="0"/>
            </w:tcBorders>
          </w:tcPr>
          <w:p w14:paraId="4440684A">
            <w:pPr>
              <w:rPr>
                <w:color w:val="000000" w:themeColor="text1"/>
                <w14:textFill>
                  <w14:solidFill>
                    <w14:schemeClr w14:val="tx1"/>
                  </w14:solidFill>
                </w14:textFill>
              </w:rPr>
            </w:pPr>
            <w:r>
              <w:t>　　　</w:t>
            </w:r>
            <w:sdt>
              <w:sdtPr>
                <w:rPr>
                  <w:color w:val="000000" w:themeColor="text1"/>
                  <w14:textFill>
                    <w14:solidFill>
                      <w14:schemeClr w14:val="tx1"/>
                    </w14:solidFill>
                  </w14:textFill>
                </w:rPr>
                <w:alias w:val="以外币核算的币种明细-币种名称"/>
                <w:tag w:val="_GBC_21765b5e64364f62971250478e4ff572"/>
                <w:id w:val="-2142189675"/>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日元</w:t>
                </w:r>
              </w:sdtContent>
            </w:sdt>
          </w:p>
        </w:tc>
        <w:tc>
          <w:tcPr>
            <w:tcW w:w="1132" w:type="pct"/>
            <w:tcBorders>
              <w:top w:val="single" w:color="auto" w:sz="4" w:space="0"/>
              <w:left w:val="single" w:color="auto" w:sz="4" w:space="0"/>
              <w:bottom w:val="single" w:color="auto" w:sz="4" w:space="0"/>
              <w:right w:val="single" w:color="auto" w:sz="4" w:space="0"/>
            </w:tcBorders>
          </w:tcPr>
          <w:p w14:paraId="75EDAF6E">
            <w:pPr>
              <w:jc w:val="right"/>
            </w:pPr>
            <w:r>
              <w:t>284,493,249</w:t>
            </w:r>
            <w:r>
              <w:rPr>
                <w:rFonts w:hint="eastAsia"/>
              </w:rPr>
              <w:t>.00</w:t>
            </w:r>
          </w:p>
        </w:tc>
        <w:tc>
          <w:tcPr>
            <w:tcW w:w="1137" w:type="pct"/>
            <w:tcBorders>
              <w:top w:val="single" w:color="auto" w:sz="4" w:space="0"/>
              <w:left w:val="single" w:color="auto" w:sz="4" w:space="0"/>
              <w:bottom w:val="single" w:color="auto" w:sz="4" w:space="0"/>
              <w:right w:val="single" w:color="auto" w:sz="4" w:space="0"/>
            </w:tcBorders>
          </w:tcPr>
          <w:p w14:paraId="3A6FF2EA">
            <w:pPr>
              <w:jc w:val="right"/>
            </w:pPr>
            <w:r>
              <w:rPr>
                <w:rFonts w:hint="eastAsia"/>
              </w:rPr>
              <w:t>0.042045</w:t>
            </w:r>
          </w:p>
        </w:tc>
        <w:tc>
          <w:tcPr>
            <w:tcW w:w="1130" w:type="pct"/>
            <w:tcBorders>
              <w:top w:val="single" w:color="auto" w:sz="4" w:space="0"/>
              <w:left w:val="single" w:color="auto" w:sz="4" w:space="0"/>
              <w:bottom w:val="single" w:color="auto" w:sz="4" w:space="0"/>
              <w:right w:val="single" w:color="auto" w:sz="4" w:space="0"/>
            </w:tcBorders>
          </w:tcPr>
          <w:p w14:paraId="73C6E0D5">
            <w:pPr>
              <w:jc w:val="right"/>
            </w:pPr>
            <w:r>
              <w:t>11,961,518.65</w:t>
            </w:r>
          </w:p>
        </w:tc>
      </w:tr>
      <w:tr w14:paraId="5EB1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Borders>
              <w:top w:val="single" w:color="auto" w:sz="4" w:space="0"/>
              <w:left w:val="single" w:color="auto" w:sz="4" w:space="0"/>
              <w:bottom w:val="single" w:color="auto" w:sz="4" w:space="0"/>
              <w:right w:val="single" w:color="auto" w:sz="4" w:space="0"/>
            </w:tcBorders>
          </w:tcPr>
          <w:p w14:paraId="7EFF0EE8">
            <w:pPr>
              <w:rPr>
                <w:color w:val="000000" w:themeColor="text1"/>
                <w14:textFill>
                  <w14:solidFill>
                    <w14:schemeClr w14:val="tx1"/>
                  </w14:solidFill>
                </w14:textFill>
              </w:rPr>
            </w:pPr>
            <w:r>
              <w:t>　　　</w:t>
            </w:r>
            <w:sdt>
              <w:sdtPr>
                <w:rPr>
                  <w:color w:val="000000" w:themeColor="text1"/>
                  <w14:textFill>
                    <w14:solidFill>
                      <w14:schemeClr w14:val="tx1"/>
                    </w14:solidFill>
                  </w14:textFill>
                </w:rPr>
                <w:alias w:val="以外币核算的币种明细-币种名称"/>
                <w:tag w:val="_GBC_21765b5e64364f62971250478e4ff572"/>
                <w:id w:val="4411395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港币</w:t>
                </w:r>
              </w:sdtContent>
            </w:sdt>
          </w:p>
        </w:tc>
        <w:tc>
          <w:tcPr>
            <w:tcW w:w="1132" w:type="pct"/>
            <w:tcBorders>
              <w:top w:val="single" w:color="auto" w:sz="4" w:space="0"/>
              <w:left w:val="single" w:color="auto" w:sz="4" w:space="0"/>
              <w:bottom w:val="single" w:color="auto" w:sz="4" w:space="0"/>
              <w:right w:val="single" w:color="auto" w:sz="4" w:space="0"/>
            </w:tcBorders>
          </w:tcPr>
          <w:p w14:paraId="19EBCC06">
            <w:pPr>
              <w:jc w:val="right"/>
            </w:pPr>
          </w:p>
        </w:tc>
        <w:tc>
          <w:tcPr>
            <w:tcW w:w="1137" w:type="pct"/>
            <w:tcBorders>
              <w:top w:val="single" w:color="auto" w:sz="4" w:space="0"/>
              <w:left w:val="single" w:color="auto" w:sz="4" w:space="0"/>
              <w:bottom w:val="single" w:color="auto" w:sz="4" w:space="0"/>
              <w:right w:val="single" w:color="auto" w:sz="4" w:space="0"/>
            </w:tcBorders>
          </w:tcPr>
          <w:p w14:paraId="05FED1D5">
            <w:pPr>
              <w:jc w:val="right"/>
            </w:pPr>
          </w:p>
        </w:tc>
        <w:tc>
          <w:tcPr>
            <w:tcW w:w="1130" w:type="pct"/>
            <w:tcBorders>
              <w:top w:val="single" w:color="auto" w:sz="4" w:space="0"/>
              <w:left w:val="single" w:color="auto" w:sz="4" w:space="0"/>
              <w:bottom w:val="single" w:color="auto" w:sz="4" w:space="0"/>
              <w:right w:val="single" w:color="auto" w:sz="4" w:space="0"/>
            </w:tcBorders>
          </w:tcPr>
          <w:p w14:paraId="1BC48F14">
            <w:pPr>
              <w:jc w:val="right"/>
            </w:pPr>
          </w:p>
        </w:tc>
      </w:tr>
      <w:tr w14:paraId="6CE9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Borders>
              <w:top w:val="single" w:color="auto" w:sz="4" w:space="0"/>
              <w:left w:val="single" w:color="auto" w:sz="4" w:space="0"/>
              <w:bottom w:val="single" w:color="auto" w:sz="4" w:space="0"/>
              <w:right w:val="single" w:color="auto" w:sz="4" w:space="0"/>
            </w:tcBorders>
          </w:tcPr>
          <w:p w14:paraId="639FD41F">
            <w:r>
              <w:t>应收账款</w:t>
            </w:r>
          </w:p>
        </w:tc>
        <w:tc>
          <w:tcPr>
            <w:tcW w:w="1132" w:type="pct"/>
            <w:tcBorders>
              <w:top w:val="single" w:color="auto" w:sz="4" w:space="0"/>
              <w:left w:val="single" w:color="auto" w:sz="4" w:space="0"/>
              <w:bottom w:val="single" w:color="auto" w:sz="4" w:space="0"/>
              <w:right w:val="single" w:color="auto" w:sz="4" w:space="0"/>
            </w:tcBorders>
          </w:tcPr>
          <w:p w14:paraId="0599879A">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137" w:type="pct"/>
            <w:tcBorders>
              <w:top w:val="single" w:color="auto" w:sz="4" w:space="0"/>
              <w:left w:val="single" w:color="auto" w:sz="4" w:space="0"/>
              <w:bottom w:val="single" w:color="auto" w:sz="4" w:space="0"/>
              <w:right w:val="single" w:color="auto" w:sz="4" w:space="0"/>
            </w:tcBorders>
          </w:tcPr>
          <w:p w14:paraId="6DF3C65B">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130" w:type="pct"/>
            <w:tcBorders>
              <w:top w:val="single" w:color="auto" w:sz="4" w:space="0"/>
              <w:left w:val="single" w:color="auto" w:sz="4" w:space="0"/>
              <w:bottom w:val="single" w:color="auto" w:sz="4" w:space="0"/>
              <w:right w:val="single" w:color="auto" w:sz="4" w:space="0"/>
            </w:tcBorders>
          </w:tcPr>
          <w:p w14:paraId="3C0D7FBA">
            <w:pPr>
              <w:jc w:val="right"/>
            </w:pPr>
          </w:p>
        </w:tc>
      </w:tr>
      <w:tr w14:paraId="326A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Borders>
              <w:top w:val="single" w:color="auto" w:sz="4" w:space="0"/>
              <w:left w:val="single" w:color="auto" w:sz="4" w:space="0"/>
              <w:bottom w:val="single" w:color="auto" w:sz="4" w:space="0"/>
              <w:right w:val="single" w:color="auto" w:sz="4" w:space="0"/>
            </w:tcBorders>
          </w:tcPr>
          <w:p w14:paraId="645D26EF">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w:t>
            </w:r>
            <w:sdt>
              <w:sdtPr>
                <w:alias w:val="以外币核算的币种明细-币种名称"/>
                <w:tag w:val="_GBC_21765b5e64364f62971250478e4ff572"/>
                <w:id w:val="-1205175177"/>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美元</w:t>
                </w:r>
              </w:sdtContent>
            </w:sdt>
          </w:p>
        </w:tc>
        <w:tc>
          <w:tcPr>
            <w:tcW w:w="1132" w:type="pct"/>
            <w:tcBorders>
              <w:top w:val="single" w:color="auto" w:sz="4" w:space="0"/>
              <w:left w:val="single" w:color="auto" w:sz="4" w:space="0"/>
              <w:bottom w:val="single" w:color="auto" w:sz="4" w:space="0"/>
              <w:right w:val="single" w:color="auto" w:sz="4" w:space="0"/>
            </w:tcBorders>
          </w:tcPr>
          <w:p w14:paraId="64AB845A">
            <w:pPr>
              <w:jc w:val="right"/>
            </w:pPr>
          </w:p>
        </w:tc>
        <w:tc>
          <w:tcPr>
            <w:tcW w:w="1137" w:type="pct"/>
            <w:tcBorders>
              <w:top w:val="single" w:color="auto" w:sz="4" w:space="0"/>
              <w:left w:val="single" w:color="auto" w:sz="4" w:space="0"/>
              <w:bottom w:val="single" w:color="auto" w:sz="4" w:space="0"/>
              <w:right w:val="single" w:color="auto" w:sz="4" w:space="0"/>
            </w:tcBorders>
          </w:tcPr>
          <w:p w14:paraId="23014F42">
            <w:pPr>
              <w:jc w:val="right"/>
            </w:pPr>
          </w:p>
        </w:tc>
        <w:tc>
          <w:tcPr>
            <w:tcW w:w="1130" w:type="pct"/>
            <w:tcBorders>
              <w:top w:val="single" w:color="auto" w:sz="4" w:space="0"/>
              <w:left w:val="single" w:color="auto" w:sz="4" w:space="0"/>
              <w:bottom w:val="single" w:color="auto" w:sz="4" w:space="0"/>
              <w:right w:val="single" w:color="auto" w:sz="4" w:space="0"/>
            </w:tcBorders>
          </w:tcPr>
          <w:p w14:paraId="044A534C">
            <w:pPr>
              <w:jc w:val="right"/>
            </w:pPr>
          </w:p>
        </w:tc>
      </w:tr>
      <w:tr w14:paraId="4D67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Borders>
              <w:top w:val="single" w:color="auto" w:sz="4" w:space="0"/>
              <w:left w:val="single" w:color="auto" w:sz="4" w:space="0"/>
              <w:bottom w:val="single" w:color="auto" w:sz="4" w:space="0"/>
              <w:right w:val="single" w:color="auto" w:sz="4" w:space="0"/>
            </w:tcBorders>
          </w:tcPr>
          <w:p w14:paraId="3221750D">
            <w:pPr>
              <w:rPr>
                <w:color w:val="000000" w:themeColor="text1"/>
                <w14:textFill>
                  <w14:solidFill>
                    <w14:schemeClr w14:val="tx1"/>
                  </w14:solidFill>
                </w14:textFill>
              </w:rPr>
            </w:pPr>
            <w:r>
              <w:t>　　　</w:t>
            </w:r>
            <w:sdt>
              <w:sdtPr>
                <w:alias w:val="以外币核算的币种明细-币种名称"/>
                <w:tag w:val="_GBC_21765b5e64364f62971250478e4ff572"/>
                <w:id w:val="738987461"/>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日元</w:t>
                </w:r>
              </w:sdtContent>
            </w:sdt>
          </w:p>
        </w:tc>
        <w:tc>
          <w:tcPr>
            <w:tcW w:w="1132" w:type="pct"/>
            <w:tcBorders>
              <w:top w:val="single" w:color="auto" w:sz="4" w:space="0"/>
              <w:left w:val="single" w:color="auto" w:sz="4" w:space="0"/>
              <w:bottom w:val="single" w:color="auto" w:sz="4" w:space="0"/>
              <w:right w:val="single" w:color="auto" w:sz="4" w:space="0"/>
            </w:tcBorders>
          </w:tcPr>
          <w:p w14:paraId="489447CB">
            <w:pPr>
              <w:jc w:val="right"/>
            </w:pPr>
          </w:p>
        </w:tc>
        <w:tc>
          <w:tcPr>
            <w:tcW w:w="1137" w:type="pct"/>
            <w:tcBorders>
              <w:top w:val="single" w:color="auto" w:sz="4" w:space="0"/>
              <w:left w:val="single" w:color="auto" w:sz="4" w:space="0"/>
              <w:bottom w:val="single" w:color="auto" w:sz="4" w:space="0"/>
              <w:right w:val="single" w:color="auto" w:sz="4" w:space="0"/>
            </w:tcBorders>
          </w:tcPr>
          <w:p w14:paraId="7B9308F0">
            <w:pPr>
              <w:jc w:val="right"/>
            </w:pPr>
          </w:p>
        </w:tc>
        <w:tc>
          <w:tcPr>
            <w:tcW w:w="1130" w:type="pct"/>
            <w:tcBorders>
              <w:top w:val="single" w:color="auto" w:sz="4" w:space="0"/>
              <w:left w:val="single" w:color="auto" w:sz="4" w:space="0"/>
              <w:bottom w:val="single" w:color="auto" w:sz="4" w:space="0"/>
              <w:right w:val="single" w:color="auto" w:sz="4" w:space="0"/>
            </w:tcBorders>
          </w:tcPr>
          <w:p w14:paraId="52CAE95B">
            <w:pPr>
              <w:jc w:val="right"/>
            </w:pPr>
          </w:p>
        </w:tc>
      </w:tr>
      <w:tr w14:paraId="47DF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Borders>
              <w:top w:val="single" w:color="auto" w:sz="4" w:space="0"/>
              <w:left w:val="single" w:color="auto" w:sz="4" w:space="0"/>
              <w:bottom w:val="single" w:color="auto" w:sz="4" w:space="0"/>
              <w:right w:val="single" w:color="auto" w:sz="4" w:space="0"/>
            </w:tcBorders>
          </w:tcPr>
          <w:p w14:paraId="083BC9DA">
            <w:pPr>
              <w:rPr>
                <w:color w:val="000000" w:themeColor="text1"/>
                <w14:textFill>
                  <w14:solidFill>
                    <w14:schemeClr w14:val="tx1"/>
                  </w14:solidFill>
                </w14:textFill>
              </w:rPr>
            </w:pPr>
            <w:r>
              <w:t>　　　</w:t>
            </w:r>
            <w:sdt>
              <w:sdtPr>
                <w:alias w:val="以外币核算的币种明细-币种名称"/>
                <w:tag w:val="_GBC_21765b5e64364f62971250478e4ff572"/>
                <w:id w:val="-1801059064"/>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港币</w:t>
                </w:r>
              </w:sdtContent>
            </w:sdt>
          </w:p>
        </w:tc>
        <w:tc>
          <w:tcPr>
            <w:tcW w:w="1132" w:type="pct"/>
            <w:tcBorders>
              <w:top w:val="single" w:color="auto" w:sz="4" w:space="0"/>
              <w:left w:val="single" w:color="auto" w:sz="4" w:space="0"/>
              <w:bottom w:val="single" w:color="auto" w:sz="4" w:space="0"/>
              <w:right w:val="single" w:color="auto" w:sz="4" w:space="0"/>
            </w:tcBorders>
          </w:tcPr>
          <w:p w14:paraId="78BB6385">
            <w:pPr>
              <w:jc w:val="right"/>
            </w:pPr>
          </w:p>
        </w:tc>
        <w:tc>
          <w:tcPr>
            <w:tcW w:w="1137" w:type="pct"/>
            <w:tcBorders>
              <w:top w:val="single" w:color="auto" w:sz="4" w:space="0"/>
              <w:left w:val="single" w:color="auto" w:sz="4" w:space="0"/>
              <w:bottom w:val="single" w:color="auto" w:sz="4" w:space="0"/>
              <w:right w:val="single" w:color="auto" w:sz="4" w:space="0"/>
            </w:tcBorders>
          </w:tcPr>
          <w:p w14:paraId="47E5CF6A">
            <w:pPr>
              <w:jc w:val="right"/>
            </w:pPr>
          </w:p>
        </w:tc>
        <w:tc>
          <w:tcPr>
            <w:tcW w:w="1130" w:type="pct"/>
            <w:tcBorders>
              <w:top w:val="single" w:color="auto" w:sz="4" w:space="0"/>
              <w:left w:val="single" w:color="auto" w:sz="4" w:space="0"/>
              <w:bottom w:val="single" w:color="auto" w:sz="4" w:space="0"/>
              <w:right w:val="single" w:color="auto" w:sz="4" w:space="0"/>
            </w:tcBorders>
          </w:tcPr>
          <w:p w14:paraId="5652F723">
            <w:pPr>
              <w:jc w:val="right"/>
            </w:pPr>
          </w:p>
        </w:tc>
      </w:tr>
      <w:tr w14:paraId="420F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Borders>
              <w:top w:val="single" w:color="auto" w:sz="4" w:space="0"/>
              <w:left w:val="single" w:color="auto" w:sz="4" w:space="0"/>
              <w:bottom w:val="single" w:color="auto" w:sz="4" w:space="0"/>
              <w:right w:val="single" w:color="auto" w:sz="4" w:space="0"/>
            </w:tcBorders>
          </w:tcPr>
          <w:p w14:paraId="74A93361">
            <w:r>
              <w:t>长期借款</w:t>
            </w:r>
          </w:p>
        </w:tc>
        <w:tc>
          <w:tcPr>
            <w:tcW w:w="1132" w:type="pct"/>
            <w:tcBorders>
              <w:top w:val="single" w:color="auto" w:sz="4" w:space="0"/>
              <w:left w:val="single" w:color="auto" w:sz="4" w:space="0"/>
              <w:bottom w:val="single" w:color="auto" w:sz="4" w:space="0"/>
              <w:right w:val="single" w:color="auto" w:sz="4" w:space="0"/>
            </w:tcBorders>
          </w:tcPr>
          <w:p w14:paraId="1A25056E">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137" w:type="pct"/>
            <w:tcBorders>
              <w:top w:val="single" w:color="auto" w:sz="4" w:space="0"/>
              <w:left w:val="single" w:color="auto" w:sz="4" w:space="0"/>
              <w:bottom w:val="single" w:color="auto" w:sz="4" w:space="0"/>
              <w:right w:val="single" w:color="auto" w:sz="4" w:space="0"/>
            </w:tcBorders>
          </w:tcPr>
          <w:p w14:paraId="194E03BC">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130" w:type="pct"/>
            <w:tcBorders>
              <w:top w:val="single" w:color="auto" w:sz="4" w:space="0"/>
              <w:left w:val="single" w:color="auto" w:sz="4" w:space="0"/>
              <w:bottom w:val="single" w:color="auto" w:sz="4" w:space="0"/>
              <w:right w:val="single" w:color="auto" w:sz="4" w:space="0"/>
            </w:tcBorders>
          </w:tcPr>
          <w:p w14:paraId="60F214AB">
            <w:pPr>
              <w:jc w:val="right"/>
            </w:pPr>
          </w:p>
        </w:tc>
      </w:tr>
      <w:tr w14:paraId="7C70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Borders>
              <w:top w:val="single" w:color="auto" w:sz="4" w:space="0"/>
              <w:left w:val="single" w:color="auto" w:sz="4" w:space="0"/>
              <w:bottom w:val="single" w:color="auto" w:sz="4" w:space="0"/>
              <w:right w:val="single" w:color="auto" w:sz="4" w:space="0"/>
            </w:tcBorders>
          </w:tcPr>
          <w:p w14:paraId="727886B5">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w:t>
            </w:r>
            <w:sdt>
              <w:sdtPr>
                <w:alias w:val="以外币核算的币种明细-币种名称"/>
                <w:tag w:val="_GBC_21765b5e64364f62971250478e4ff572"/>
                <w:id w:val="1188406791"/>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美元</w:t>
                </w:r>
              </w:sdtContent>
            </w:sdt>
          </w:p>
        </w:tc>
        <w:tc>
          <w:tcPr>
            <w:tcW w:w="1132" w:type="pct"/>
            <w:tcBorders>
              <w:top w:val="single" w:color="auto" w:sz="4" w:space="0"/>
              <w:left w:val="single" w:color="auto" w:sz="4" w:space="0"/>
              <w:bottom w:val="single" w:color="auto" w:sz="4" w:space="0"/>
              <w:right w:val="single" w:color="auto" w:sz="4" w:space="0"/>
            </w:tcBorders>
          </w:tcPr>
          <w:p w14:paraId="14D4BE60">
            <w:pPr>
              <w:jc w:val="right"/>
            </w:pPr>
          </w:p>
        </w:tc>
        <w:tc>
          <w:tcPr>
            <w:tcW w:w="1137" w:type="pct"/>
            <w:tcBorders>
              <w:top w:val="single" w:color="auto" w:sz="4" w:space="0"/>
              <w:left w:val="single" w:color="auto" w:sz="4" w:space="0"/>
              <w:bottom w:val="single" w:color="auto" w:sz="4" w:space="0"/>
              <w:right w:val="single" w:color="auto" w:sz="4" w:space="0"/>
            </w:tcBorders>
          </w:tcPr>
          <w:p w14:paraId="40981CA7">
            <w:pPr>
              <w:jc w:val="right"/>
            </w:pPr>
          </w:p>
        </w:tc>
        <w:tc>
          <w:tcPr>
            <w:tcW w:w="1130" w:type="pct"/>
            <w:tcBorders>
              <w:top w:val="single" w:color="auto" w:sz="4" w:space="0"/>
              <w:left w:val="single" w:color="auto" w:sz="4" w:space="0"/>
              <w:bottom w:val="single" w:color="auto" w:sz="4" w:space="0"/>
              <w:right w:val="single" w:color="auto" w:sz="4" w:space="0"/>
            </w:tcBorders>
          </w:tcPr>
          <w:p w14:paraId="268FF9DA">
            <w:pPr>
              <w:jc w:val="right"/>
            </w:pPr>
          </w:p>
        </w:tc>
      </w:tr>
      <w:tr w14:paraId="5A68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Borders>
              <w:top w:val="single" w:color="auto" w:sz="4" w:space="0"/>
              <w:left w:val="single" w:color="auto" w:sz="4" w:space="0"/>
              <w:bottom w:val="single" w:color="auto" w:sz="4" w:space="0"/>
              <w:right w:val="single" w:color="auto" w:sz="4" w:space="0"/>
            </w:tcBorders>
          </w:tcPr>
          <w:p w14:paraId="12AB5A2C">
            <w:pPr>
              <w:rPr>
                <w:color w:val="000000" w:themeColor="text1"/>
                <w14:textFill>
                  <w14:solidFill>
                    <w14:schemeClr w14:val="tx1"/>
                  </w14:solidFill>
                </w14:textFill>
              </w:rPr>
            </w:pPr>
            <w:r>
              <w:t>　　　</w:t>
            </w:r>
            <w:sdt>
              <w:sdtPr>
                <w:alias w:val="以外币核算的币种明细-币种名称"/>
                <w:tag w:val="_GBC_21765b5e64364f62971250478e4ff572"/>
                <w:id w:val="-1212719388"/>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欧元</w:t>
                </w:r>
              </w:sdtContent>
            </w:sdt>
          </w:p>
        </w:tc>
        <w:tc>
          <w:tcPr>
            <w:tcW w:w="1132" w:type="pct"/>
            <w:tcBorders>
              <w:top w:val="single" w:color="auto" w:sz="4" w:space="0"/>
              <w:left w:val="single" w:color="auto" w:sz="4" w:space="0"/>
              <w:bottom w:val="single" w:color="auto" w:sz="4" w:space="0"/>
              <w:right w:val="single" w:color="auto" w:sz="4" w:space="0"/>
            </w:tcBorders>
          </w:tcPr>
          <w:p w14:paraId="52AF07A6">
            <w:pPr>
              <w:jc w:val="right"/>
            </w:pPr>
          </w:p>
        </w:tc>
        <w:tc>
          <w:tcPr>
            <w:tcW w:w="1137" w:type="pct"/>
            <w:tcBorders>
              <w:top w:val="single" w:color="auto" w:sz="4" w:space="0"/>
              <w:left w:val="single" w:color="auto" w:sz="4" w:space="0"/>
              <w:bottom w:val="single" w:color="auto" w:sz="4" w:space="0"/>
              <w:right w:val="single" w:color="auto" w:sz="4" w:space="0"/>
            </w:tcBorders>
          </w:tcPr>
          <w:p w14:paraId="1FC557F4">
            <w:pPr>
              <w:jc w:val="right"/>
            </w:pPr>
          </w:p>
        </w:tc>
        <w:tc>
          <w:tcPr>
            <w:tcW w:w="1130" w:type="pct"/>
            <w:tcBorders>
              <w:top w:val="single" w:color="auto" w:sz="4" w:space="0"/>
              <w:left w:val="single" w:color="auto" w:sz="4" w:space="0"/>
              <w:bottom w:val="single" w:color="auto" w:sz="4" w:space="0"/>
              <w:right w:val="single" w:color="auto" w:sz="4" w:space="0"/>
            </w:tcBorders>
          </w:tcPr>
          <w:p w14:paraId="70CBEDA6">
            <w:pPr>
              <w:jc w:val="right"/>
            </w:pPr>
          </w:p>
        </w:tc>
      </w:tr>
      <w:tr w14:paraId="6D53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tcBorders>
              <w:top w:val="single" w:color="auto" w:sz="4" w:space="0"/>
              <w:left w:val="single" w:color="auto" w:sz="4" w:space="0"/>
              <w:bottom w:val="single" w:color="auto" w:sz="4" w:space="0"/>
              <w:right w:val="single" w:color="auto" w:sz="4" w:space="0"/>
            </w:tcBorders>
          </w:tcPr>
          <w:p w14:paraId="085E2039">
            <w:pPr>
              <w:rPr>
                <w:color w:val="000000" w:themeColor="text1"/>
                <w14:textFill>
                  <w14:solidFill>
                    <w14:schemeClr w14:val="tx1"/>
                  </w14:solidFill>
                </w14:textFill>
              </w:rPr>
            </w:pPr>
            <w:r>
              <w:t>　　　</w:t>
            </w:r>
            <w:sdt>
              <w:sdtPr>
                <w:alias w:val="以外币核算的币种明细-币种名称"/>
                <w:tag w:val="_GBC_21765b5e64364f62971250478e4ff572"/>
                <w:id w:val="-1463424138"/>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港币</w:t>
                </w:r>
              </w:sdtContent>
            </w:sdt>
          </w:p>
        </w:tc>
        <w:tc>
          <w:tcPr>
            <w:tcW w:w="1132" w:type="pct"/>
            <w:tcBorders>
              <w:top w:val="single" w:color="auto" w:sz="4" w:space="0"/>
              <w:left w:val="single" w:color="auto" w:sz="4" w:space="0"/>
              <w:bottom w:val="single" w:color="auto" w:sz="4" w:space="0"/>
              <w:right w:val="single" w:color="auto" w:sz="4" w:space="0"/>
            </w:tcBorders>
          </w:tcPr>
          <w:p w14:paraId="1E06CE86">
            <w:pPr>
              <w:jc w:val="right"/>
            </w:pPr>
          </w:p>
        </w:tc>
        <w:tc>
          <w:tcPr>
            <w:tcW w:w="1137" w:type="pct"/>
            <w:tcBorders>
              <w:top w:val="single" w:color="auto" w:sz="4" w:space="0"/>
              <w:left w:val="single" w:color="auto" w:sz="4" w:space="0"/>
              <w:bottom w:val="single" w:color="auto" w:sz="4" w:space="0"/>
              <w:right w:val="single" w:color="auto" w:sz="4" w:space="0"/>
            </w:tcBorders>
          </w:tcPr>
          <w:p w14:paraId="062DBDC7">
            <w:pPr>
              <w:jc w:val="right"/>
            </w:pPr>
          </w:p>
        </w:tc>
        <w:tc>
          <w:tcPr>
            <w:tcW w:w="1130" w:type="pct"/>
            <w:tcBorders>
              <w:top w:val="single" w:color="auto" w:sz="4" w:space="0"/>
              <w:left w:val="single" w:color="auto" w:sz="4" w:space="0"/>
              <w:bottom w:val="single" w:color="auto" w:sz="4" w:space="0"/>
              <w:right w:val="single" w:color="auto" w:sz="4" w:space="0"/>
            </w:tcBorders>
          </w:tcPr>
          <w:p w14:paraId="23D63FA1">
            <w:pPr>
              <w:jc w:val="right"/>
            </w:pPr>
          </w:p>
        </w:tc>
      </w:tr>
    </w:tbl>
    <w:p w14:paraId="4364C7F3">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外币货币性项目的其他说明"/>
        <w:tag w:val="_GBC_a16b850d98e24762adbee5a1d5628893"/>
        <w:id w:val="-2100620573"/>
        <w:placeholder>
          <w:docPart w:val="GBC22222222222222222222222222222"/>
        </w:placeholder>
      </w:sdtPr>
      <w:sdtEndPr>
        <w:rPr>
          <w:color w:val="000000" w:themeColor="text1"/>
          <w14:textFill>
            <w14:solidFill>
              <w14:schemeClr w14:val="tx1"/>
            </w14:solidFill>
          </w14:textFill>
        </w:rPr>
      </w:sdtEndPr>
      <w:sdtContent>
        <w:p w14:paraId="0C578B39">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1584CA4C">
      <w:pPr>
        <w:rPr>
          <w:color w:val="000000" w:themeColor="text1"/>
          <w14:textFill>
            <w14:solidFill>
              <w14:schemeClr w14:val="tx1"/>
            </w14:solidFill>
          </w14:textFill>
        </w:rPr>
      </w:pPr>
    </w:p>
    <w:p w14:paraId="22518F1E">
      <w:pPr>
        <w:pStyle w:val="5"/>
        <w:numPr>
          <w:ilvl w:val="0"/>
          <w:numId w:val="90"/>
        </w:numPr>
        <w:ind w:left="0" w:firstLine="0"/>
        <w:rPr>
          <w:rStyle w:val="47"/>
          <w:rFonts w:hint="eastAsia" w:ascii="宋体" w:hAnsi="宋体"/>
          <w:b w:val="0"/>
          <w:color w:val="000000" w:themeColor="text1"/>
          <w:szCs w:val="21"/>
          <w14:textFill>
            <w14:solidFill>
              <w14:schemeClr w14:val="tx1"/>
            </w14:solidFill>
          </w14:textFill>
        </w:rPr>
      </w:pPr>
      <w:r>
        <w:rPr>
          <w:rStyle w:val="47"/>
          <w:rFonts w:ascii="宋体" w:hAnsi="宋体"/>
          <w:b/>
          <w:color w:val="000000" w:themeColor="text1"/>
          <w:szCs w:val="21"/>
          <w14:textFill>
            <w14:solidFill>
              <w14:schemeClr w14:val="tx1"/>
            </w14:solidFill>
          </w14:textFill>
        </w:rPr>
        <w:t>货币缺乏可兑换性的性质及其财务影响、所采用的即期汇率及其估计过程，以及企业因货币缺乏可兑换性而面临的风险</w:t>
      </w:r>
    </w:p>
    <w:sdt>
      <w:sdtPr>
        <w:rPr>
          <w:color w:val="000000"/>
        </w:rPr>
        <w:alias w:val="是否适用：货币缺乏可兑换性的影响[双击切换]"/>
        <w:tag w:val="_GBC_18043b21e3c54c11b5aa41a19786fc15"/>
        <w:id w:val="-632019987"/>
        <w:placeholder>
          <w:docPart w:val="GBC22222222222222222222222222222"/>
        </w:placeholder>
      </w:sdtPr>
      <w:sdtEndPr>
        <w:rPr>
          <w:color w:val="000000"/>
        </w:rPr>
      </w:sdtEndPr>
      <w:sdtContent>
        <w:p w14:paraId="58797900">
          <w:pPr>
            <w:rPr>
              <w:color w:val="000000"/>
            </w:rPr>
          </w:pPr>
          <w:r>
            <w:rPr>
              <w:rFonts w:ascii="宋体" w:hAnsi="宋体"/>
              <w:color w:val="000000"/>
            </w:rPr>
            <w:fldChar w:fldCharType="begin"/>
          </w:r>
          <w:r>
            <w:rPr>
              <w:rFonts w:hint="eastAsia" w:ascii="宋体" w:hAnsi="宋体"/>
              <w:color w:val="000000"/>
            </w:rPr>
            <w:instrText xml:space="preserve"> MACROBUTTON  SnrToggleCheckbox □适用 </w:instrText>
          </w:r>
          <w:r>
            <w:rPr>
              <w:rFonts w:ascii="宋体" w:hAnsi="宋体"/>
              <w:color w:val="000000"/>
            </w:rPr>
            <w:fldChar w:fldCharType="end"/>
          </w:r>
          <w:r>
            <w:rPr>
              <w:rFonts w:ascii="宋体" w:hAnsi="宋体"/>
              <w:color w:val="000000"/>
            </w:rPr>
            <w:fldChar w:fldCharType="begin"/>
          </w:r>
          <w:r>
            <w:rPr>
              <w:rFonts w:hint="eastAsia" w:ascii="宋体" w:hAnsi="宋体"/>
              <w:color w:val="000000"/>
            </w:rPr>
            <w:instrText xml:space="preserve"> MACROBUTTON  SnrToggleCheckbox √不适用 </w:instrText>
          </w:r>
          <w:r>
            <w:rPr>
              <w:rFonts w:ascii="宋体" w:hAnsi="宋体"/>
              <w:color w:val="000000"/>
            </w:rPr>
            <w:fldChar w:fldCharType="end"/>
          </w:r>
        </w:p>
      </w:sdtContent>
    </w:sdt>
    <w:p w14:paraId="4723E4A5">
      <w:pPr>
        <w:rPr>
          <w:color w:val="000000"/>
        </w:rPr>
      </w:pPr>
    </w:p>
    <w:p w14:paraId="47075A25">
      <w:pPr>
        <w:pStyle w:val="5"/>
        <w:numPr>
          <w:ilvl w:val="0"/>
          <w:numId w:val="90"/>
        </w:numPr>
        <w:ind w:left="0" w:firstLine="0"/>
        <w:rPr>
          <w:rStyle w:val="47"/>
          <w:rFonts w:hint="eastAsia" w:ascii="宋体" w:hAnsi="宋体"/>
          <w:b/>
          <w:color w:val="000000" w:themeColor="text1"/>
          <w:szCs w:val="21"/>
          <w14:textFill>
            <w14:solidFill>
              <w14:schemeClr w14:val="tx1"/>
            </w14:solidFill>
          </w14:textFill>
        </w:rPr>
      </w:pPr>
      <w:r>
        <w:rPr>
          <w:rStyle w:val="47"/>
          <w:rFonts w:hint="eastAsia" w:ascii="宋体" w:hAnsi="宋体"/>
          <w:b/>
          <w:color w:val="000000" w:themeColor="text1"/>
          <w:szCs w:val="21"/>
          <w14:textFill>
            <w14:solidFill>
              <w14:schemeClr w14:val="tx1"/>
            </w14:solidFill>
          </w14:textFill>
        </w:rPr>
        <w:t>境外经营实体说明，包括对于重要的境外经营实体，应披露其境外主要经营地、记账本位币及选择依据，记账本位币发生变化的还应披露原因</w:t>
      </w:r>
    </w:p>
    <w:p w14:paraId="026C68CF">
      <w:pPr>
        <w:rPr>
          <w:color w:val="000000" w:themeColor="text1"/>
          <w14:textFill>
            <w14:solidFill>
              <w14:schemeClr w14:val="tx1"/>
            </w14:solidFill>
          </w14:textFill>
        </w:rPr>
      </w:pPr>
      <w:sdt>
        <w:sdtPr>
          <w:rPr>
            <w:color w:val="000000" w:themeColor="text1"/>
            <w14:textFill>
              <w14:solidFill>
                <w14:schemeClr w14:val="tx1"/>
              </w14:solidFill>
            </w14:textFill>
          </w:rPr>
          <w:alias w:val="是否适用：境外经营实体主要报表项目的折算汇率[双击切换]"/>
          <w:tag w:val="_GBC_4ad16f5c306d4c6ead144dfd007fb925"/>
          <w:id w:val="769666920"/>
          <w:placeholder>
            <w:docPart w:val="GBC22222222222222222222222222222"/>
          </w:placeholder>
        </w:sdtPr>
        <w:sdtEndPr>
          <w:rPr>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p w14:paraId="13FD7D9B">
      <w:pPr>
        <w:rPr>
          <w:color w:val="000000" w:themeColor="text1"/>
          <w14:textFill>
            <w14:solidFill>
              <w14:schemeClr w14:val="tx1"/>
            </w14:solidFill>
          </w14:textFill>
        </w:rPr>
      </w:pPr>
    </w:p>
    <w:p w14:paraId="7EC87231">
      <w:pPr>
        <w:pStyle w:val="5"/>
        <w:numPr>
          <w:ilvl w:val="0"/>
          <w:numId w:val="90"/>
        </w:numPr>
        <w:ind w:left="0" w:firstLine="0"/>
        <w:rPr>
          <w:rStyle w:val="47"/>
          <w:rFonts w:hint="eastAsia" w:ascii="宋体" w:hAnsi="宋体"/>
          <w:b w:val="0"/>
          <w:color w:val="000000" w:themeColor="text1"/>
          <w:szCs w:val="21"/>
          <w14:textFill>
            <w14:solidFill>
              <w14:schemeClr w14:val="tx1"/>
            </w14:solidFill>
          </w14:textFill>
        </w:rPr>
      </w:pPr>
      <w:r>
        <w:rPr>
          <w:rStyle w:val="47"/>
          <w:rFonts w:ascii="宋体" w:hAnsi="宋体"/>
          <w:b/>
          <w:color w:val="000000" w:themeColor="text1"/>
          <w:szCs w:val="21"/>
          <w14:textFill>
            <w14:solidFill>
              <w14:schemeClr w14:val="tx1"/>
            </w14:solidFill>
          </w14:textFill>
        </w:rPr>
        <w:t>境外经营的记账本位币与企业的列报货币之间缺乏可兑换性的情况</w:t>
      </w:r>
    </w:p>
    <w:sdt>
      <w:sdtPr>
        <w:rPr>
          <w:color w:val="000000"/>
        </w:rPr>
        <w:alias w:val="是否适用：境外经营的记账本位币与企业的列报货币之间缺乏可兑换性的情况[双击切换]"/>
        <w:tag w:val="_GBC_9f1bf9565cb742869f089a8eb8ccb4a2"/>
        <w:id w:val="1780613972"/>
        <w:placeholder>
          <w:docPart w:val="GBC22222222222222222222222222222"/>
        </w:placeholder>
      </w:sdtPr>
      <w:sdtEndPr>
        <w:rPr>
          <w:color w:val="000000"/>
        </w:rPr>
      </w:sdtEndPr>
      <w:sdtContent>
        <w:p w14:paraId="0D9A902A">
          <w:pPr>
            <w:rPr>
              <w:color w:val="000000"/>
            </w:rPr>
          </w:pPr>
          <w:r>
            <w:rPr>
              <w:rFonts w:ascii="宋体" w:hAnsi="宋体"/>
              <w:color w:val="000000"/>
            </w:rPr>
            <w:fldChar w:fldCharType="begin"/>
          </w:r>
          <w:r>
            <w:rPr>
              <w:rFonts w:hint="eastAsia" w:ascii="宋体" w:hAnsi="宋体"/>
              <w:color w:val="000000"/>
            </w:rPr>
            <w:instrText xml:space="preserve"> MACROBUTTON  SnrToggleCheckbox □适用 </w:instrText>
          </w:r>
          <w:r>
            <w:rPr>
              <w:rFonts w:ascii="宋体" w:hAnsi="宋体"/>
              <w:color w:val="000000"/>
            </w:rPr>
            <w:fldChar w:fldCharType="end"/>
          </w:r>
          <w:r>
            <w:rPr>
              <w:rFonts w:ascii="宋体" w:hAnsi="宋体"/>
              <w:color w:val="000000"/>
            </w:rPr>
            <w:fldChar w:fldCharType="begin"/>
          </w:r>
          <w:r>
            <w:rPr>
              <w:rFonts w:hint="eastAsia" w:ascii="宋体" w:hAnsi="宋体"/>
              <w:color w:val="000000"/>
            </w:rPr>
            <w:instrText xml:space="preserve"> MACROBUTTON  SnrToggleCheckbox √不适用 </w:instrText>
          </w:r>
          <w:r>
            <w:rPr>
              <w:rFonts w:ascii="宋体" w:hAnsi="宋体"/>
              <w:color w:val="000000"/>
            </w:rPr>
            <w:fldChar w:fldCharType="end"/>
          </w:r>
        </w:p>
      </w:sdtContent>
    </w:sdt>
    <w:p w14:paraId="7D995686">
      <w:pPr>
        <w:rPr>
          <w:color w:val="000000" w:themeColor="text1"/>
          <w14:textFill>
            <w14:solidFill>
              <w14:schemeClr w14:val="tx1"/>
            </w14:solidFill>
          </w14:textFill>
        </w:rPr>
      </w:pPr>
    </w:p>
    <w:bookmarkEnd w:id="382"/>
    <w:p w14:paraId="7E994684">
      <w:pPr>
        <w:pStyle w:val="4"/>
        <w:numPr>
          <w:ilvl w:val="0"/>
          <w:numId w:val="53"/>
        </w:numPr>
        <w:tabs>
          <w:tab w:val="left" w:pos="504"/>
        </w:tabs>
        <w:ind w:left="450" w:hanging="450"/>
        <w:rPr>
          <w:rFonts w:hint="eastAsia" w:ascii="宋体" w:hAnsi="宋体"/>
          <w:color w:val="000000" w:themeColor="text1"/>
          <w:szCs w:val="21"/>
          <w14:textFill>
            <w14:solidFill>
              <w14:schemeClr w14:val="tx1"/>
            </w14:solidFill>
          </w14:textFill>
        </w:rPr>
      </w:pPr>
      <w:bookmarkStart w:id="383" w:name="_Hlk167971524"/>
      <w:r>
        <w:rPr>
          <w:rFonts w:hint="eastAsia" w:ascii="宋体" w:hAnsi="宋体"/>
          <w:color w:val="000000" w:themeColor="text1"/>
          <w:szCs w:val="21"/>
          <w14:textFill>
            <w14:solidFill>
              <w14:schemeClr w14:val="tx1"/>
            </w14:solidFill>
          </w14:textFill>
        </w:rPr>
        <w:t>租赁</w:t>
      </w:r>
    </w:p>
    <w:p w14:paraId="59332F43">
      <w:pPr>
        <w:pStyle w:val="5"/>
        <w:numPr>
          <w:ilvl w:val="0"/>
          <w:numId w:val="91"/>
        </w:numPr>
        <w:ind w:left="0" w:firstLine="0"/>
        <w:rPr>
          <w:color w:val="000000" w:themeColor="text1"/>
          <w14:textFill>
            <w14:solidFill>
              <w14:schemeClr w14:val="tx1"/>
            </w14:solidFill>
          </w14:textFill>
        </w:rPr>
      </w:pPr>
      <w:r>
        <w:rPr>
          <w:color w:val="000000" w:themeColor="text1"/>
          <w14:textFill>
            <w14:solidFill>
              <w14:schemeClr w14:val="tx1"/>
            </w14:solidFill>
          </w14:textFill>
        </w:rPr>
        <w:t>作为承租人</w:t>
      </w:r>
    </w:p>
    <w:sdt>
      <w:sdtPr>
        <w:rPr>
          <w:color w:val="000000" w:themeColor="text1"/>
          <w14:textFill>
            <w14:solidFill>
              <w14:schemeClr w14:val="tx1"/>
            </w14:solidFill>
          </w14:textFill>
        </w:rPr>
        <w:alias w:val="是否适用：作为承租人[双击切换]"/>
        <w:tag w:val="_GBC_1a127bd18c664ed8bca6a513c43f1fa2"/>
        <w:id w:val="-404836866"/>
        <w:placeholder>
          <w:docPart w:val="GBC22222222222222222222222222222"/>
        </w:placeholder>
      </w:sdtPr>
      <w:sdtEndPr>
        <w:rPr>
          <w:color w:val="000000" w:themeColor="text1"/>
          <w14:textFill>
            <w14:solidFill>
              <w14:schemeClr w14:val="tx1"/>
            </w14:solidFill>
          </w14:textFill>
        </w:rPr>
      </w:sdtEndPr>
      <w:sdtContent>
        <w:p w14:paraId="1BA8FA2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879755A">
      <w:pPr>
        <w:rPr>
          <w:color w:val="000000" w:themeColor="text1"/>
          <w14:textFill>
            <w14:solidFill>
              <w14:schemeClr w14:val="tx1"/>
            </w14:solidFill>
          </w14:textFill>
        </w:rPr>
      </w:pPr>
    </w:p>
    <w:p w14:paraId="0697CE19">
      <w:pPr>
        <w:rPr>
          <w:color w:val="000000" w:themeColor="text1"/>
          <w14:textFill>
            <w14:solidFill>
              <w14:schemeClr w14:val="tx1"/>
            </w14:solidFill>
          </w14:textFill>
        </w:rPr>
      </w:pPr>
    </w:p>
    <w:p w14:paraId="08CA44BD">
      <w:pPr>
        <w:pStyle w:val="5"/>
        <w:numPr>
          <w:ilvl w:val="0"/>
          <w:numId w:val="91"/>
        </w:numPr>
        <w:ind w:left="0" w:firstLine="0"/>
        <w:rPr>
          <w:color w:val="000000" w:themeColor="text1"/>
          <w14:textFill>
            <w14:solidFill>
              <w14:schemeClr w14:val="tx1"/>
            </w14:solidFill>
          </w14:textFill>
        </w:rPr>
      </w:pPr>
      <w:r>
        <w:rPr>
          <w:color w:val="000000" w:themeColor="text1"/>
          <w14:textFill>
            <w14:solidFill>
              <w14:schemeClr w14:val="tx1"/>
            </w14:solidFill>
          </w14:textFill>
        </w:rPr>
        <w:t>作为出租人</w:t>
      </w:r>
    </w:p>
    <w:p w14:paraId="52BBCE37">
      <w:pPr>
        <w:rPr>
          <w:color w:val="000000" w:themeColor="text1"/>
          <w14:textFill>
            <w14:solidFill>
              <w14:schemeClr w14:val="tx1"/>
            </w14:solidFill>
          </w14:textFill>
        </w:rPr>
      </w:pPr>
      <w:r>
        <w:rPr>
          <w:color w:val="000000" w:themeColor="text1"/>
          <w14:textFill>
            <w14:solidFill>
              <w14:schemeClr w14:val="tx1"/>
            </w14:solidFill>
          </w14:textFill>
        </w:rPr>
        <w:t>作为出租人的经营</w:t>
      </w:r>
      <w:r>
        <w:rPr>
          <w:rFonts w:hint="eastAsia"/>
          <w:color w:val="000000" w:themeColor="text1"/>
          <w14:textFill>
            <w14:solidFill>
              <w14:schemeClr w14:val="tx1"/>
            </w14:solidFill>
          </w14:textFill>
        </w:rPr>
        <w:t>租赁</w:t>
      </w:r>
    </w:p>
    <w:sdt>
      <w:sdtPr>
        <w:rPr>
          <w:rFonts w:hint="eastAsia"/>
          <w:color w:val="000000" w:themeColor="text1"/>
          <w14:textFill>
            <w14:solidFill>
              <w14:schemeClr w14:val="tx1"/>
            </w14:solidFill>
          </w14:textFill>
        </w:rPr>
        <w:alias w:val="是否适用：作为出租人的经营租赁[双击切换]"/>
        <w:tag w:val="_GBC_8caa55cbe72d4d8cacd2b07a9782c9d1"/>
        <w:id w:val="1377666250"/>
        <w:placeholder>
          <w:docPart w:val="GBC22222222222222222222222222222"/>
        </w:placeholder>
      </w:sdtPr>
      <w:sdtEndPr>
        <w:rPr>
          <w:rFonts w:hint="eastAsia"/>
          <w:color w:val="000000" w:themeColor="text1"/>
          <w14:textFill>
            <w14:solidFill>
              <w14:schemeClr w14:val="tx1"/>
            </w14:solidFill>
          </w14:textFill>
        </w:rPr>
      </w:sdtEndPr>
      <w:sdtContent>
        <w:p w14:paraId="26F45EF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ACDBCE0">
      <w:pPr>
        <w:rPr>
          <w:b/>
          <w:color w:val="000000" w:themeColor="text1"/>
          <w14:textFill>
            <w14:solidFill>
              <w14:schemeClr w14:val="tx1"/>
            </w14:solidFill>
          </w14:textFill>
        </w:rPr>
      </w:pPr>
    </w:p>
    <w:p w14:paraId="07EBEB99">
      <w:pPr>
        <w:rPr>
          <w:color w:val="000000" w:themeColor="text1"/>
          <w14:textFill>
            <w14:solidFill>
              <w14:schemeClr w14:val="tx1"/>
            </w14:solidFill>
          </w14:textFill>
        </w:rPr>
      </w:pPr>
      <w:r>
        <w:rPr>
          <w:color w:val="000000" w:themeColor="text1"/>
          <w14:textFill>
            <w14:solidFill>
              <w14:schemeClr w14:val="tx1"/>
            </w14:solidFill>
          </w14:textFill>
        </w:rPr>
        <w:t>作为出租人的融资租赁</w:t>
      </w:r>
    </w:p>
    <w:sdt>
      <w:sdtPr>
        <w:rPr>
          <w:color w:val="000000" w:themeColor="text1"/>
          <w14:textFill>
            <w14:solidFill>
              <w14:schemeClr w14:val="tx1"/>
            </w14:solidFill>
          </w14:textFill>
        </w:rPr>
        <w:alias w:val="是否适用：作为出租人的融资租赁[双击切换]"/>
        <w:tag w:val="_GBC_b8e25c7d290240c1ad7a8b299dddafda"/>
        <w:id w:val="-389654938"/>
        <w:placeholder>
          <w:docPart w:val="GBC22222222222222222222222222222"/>
        </w:placeholder>
      </w:sdtPr>
      <w:sdtEndPr>
        <w:rPr>
          <w:color w:val="000000" w:themeColor="text1"/>
          <w14:textFill>
            <w14:solidFill>
              <w14:schemeClr w14:val="tx1"/>
            </w14:solidFill>
          </w14:textFill>
        </w:rPr>
      </w:sdtEndPr>
      <w:sdtContent>
        <w:p w14:paraId="7FB1398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6F4B44F">
      <w:pPr>
        <w:rPr>
          <w:b/>
          <w:color w:val="000000" w:themeColor="text1"/>
          <w14:textFill>
            <w14:solidFill>
              <w14:schemeClr w14:val="tx1"/>
            </w14:solidFill>
          </w14:textFill>
        </w:rPr>
      </w:pPr>
    </w:p>
    <w:p w14:paraId="4CF9B1DC">
      <w:pPr>
        <w:rPr>
          <w:color w:val="000000" w:themeColor="text1"/>
          <w14:textFill>
            <w14:solidFill>
              <w14:schemeClr w14:val="tx1"/>
            </w14:solidFill>
          </w14:textFill>
        </w:rPr>
      </w:pPr>
      <w:r>
        <w:rPr>
          <w:color w:val="000000" w:themeColor="text1"/>
          <w14:textFill>
            <w14:solidFill>
              <w14:schemeClr w14:val="tx1"/>
            </w14:solidFill>
          </w14:textFill>
        </w:rPr>
        <w:t>未折现租赁收款额与租赁投资净额的调节表</w:t>
      </w:r>
    </w:p>
    <w:sdt>
      <w:sdtPr>
        <w:rPr>
          <w:color w:val="000000" w:themeColor="text1"/>
          <w14:textFill>
            <w14:solidFill>
              <w14:schemeClr w14:val="tx1"/>
            </w14:solidFill>
          </w14:textFill>
        </w:rPr>
        <w:alias w:val="是否适用：未折现租赁收款额与租赁投资净额的调节表?[双击切换]"/>
        <w:tag w:val="_GBC_24749e03a4f14d0186b6eef9cbb8456c"/>
        <w:id w:val="841589980"/>
        <w:placeholder>
          <w:docPart w:val="GBC22222222222222222222222222222"/>
        </w:placeholder>
      </w:sdtPr>
      <w:sdtEndPr>
        <w:rPr>
          <w:color w:val="000000" w:themeColor="text1"/>
          <w14:textFill>
            <w14:solidFill>
              <w14:schemeClr w14:val="tx1"/>
            </w14:solidFill>
          </w14:textFill>
        </w:rPr>
      </w:sdtEndPr>
      <w:sdtContent>
        <w:p w14:paraId="1F6866A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3381AAC">
      <w:pPr>
        <w:rPr>
          <w:b/>
          <w:color w:val="000000" w:themeColor="text1"/>
          <w14:textFill>
            <w14:solidFill>
              <w14:schemeClr w14:val="tx1"/>
            </w14:solidFill>
          </w14:textFill>
        </w:rPr>
      </w:pPr>
    </w:p>
    <w:p w14:paraId="1A63FCD2">
      <w:pPr>
        <w:rPr>
          <w:color w:val="000000" w:themeColor="text1"/>
          <w14:textFill>
            <w14:solidFill>
              <w14:schemeClr w14:val="tx1"/>
            </w14:solidFill>
          </w14:textFill>
        </w:rPr>
      </w:pPr>
      <w:r>
        <w:rPr>
          <w:color w:val="000000" w:themeColor="text1"/>
          <w14:textFill>
            <w14:solidFill>
              <w14:schemeClr w14:val="tx1"/>
            </w14:solidFill>
          </w14:textFill>
        </w:rPr>
        <w:t>未来五年</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折现租赁收款额</w:t>
      </w:r>
    </w:p>
    <w:sdt>
      <w:sdtPr>
        <w:rPr>
          <w:color w:val="000000" w:themeColor="text1"/>
          <w14:textFill>
            <w14:solidFill>
              <w14:schemeClr w14:val="tx1"/>
            </w14:solidFill>
          </w14:textFill>
        </w:rPr>
        <w:alias w:val="是否适用：未来五年未折现租赁收款额[双击切换]"/>
        <w:tag w:val="_GBC_6011fa033af24e8c940b4fc9b0df290d"/>
        <w:id w:val="1351911446"/>
        <w:placeholder>
          <w:docPart w:val="GBC22222222222222222222222222222"/>
        </w:placeholder>
      </w:sdtPr>
      <w:sdtEndPr>
        <w:rPr>
          <w:color w:val="000000" w:themeColor="text1"/>
          <w14:textFill>
            <w14:solidFill>
              <w14:schemeClr w14:val="tx1"/>
            </w14:solidFill>
          </w14:textFill>
        </w:rPr>
      </w:sdtEndPr>
      <w:sdtContent>
        <w:p w14:paraId="064FB94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4C6A968">
      <w:pPr>
        <w:rPr>
          <w:b/>
          <w:color w:val="000000" w:themeColor="text1"/>
          <w14:textFill>
            <w14:solidFill>
              <w14:schemeClr w14:val="tx1"/>
            </w14:solidFill>
          </w14:textFill>
        </w:rPr>
      </w:pPr>
    </w:p>
    <w:p w14:paraId="3B8429EB">
      <w:pPr>
        <w:pStyle w:val="5"/>
        <w:numPr>
          <w:ilvl w:val="0"/>
          <w:numId w:val="91"/>
        </w:numPr>
        <w:ind w:left="0" w:firstLine="0"/>
        <w:rPr>
          <w:color w:val="000000" w:themeColor="text1"/>
          <w14:textFill>
            <w14:solidFill>
              <w14:schemeClr w14:val="tx1"/>
            </w14:solidFill>
          </w14:textFill>
        </w:rPr>
      </w:pPr>
      <w:r>
        <w:rPr>
          <w:color w:val="000000" w:themeColor="text1"/>
          <w14:textFill>
            <w14:solidFill>
              <w14:schemeClr w14:val="tx1"/>
            </w14:solidFill>
          </w14:textFill>
        </w:rPr>
        <w:t>作为生产商或经销商确认融资租赁销售损益</w:t>
      </w:r>
    </w:p>
    <w:sdt>
      <w:sdtPr>
        <w:rPr>
          <w:color w:val="000000" w:themeColor="text1"/>
          <w14:textFill>
            <w14:solidFill>
              <w14:schemeClr w14:val="tx1"/>
            </w14:solidFill>
          </w14:textFill>
        </w:rPr>
        <w:alias w:val="是否适用：作为生产商或经销商确认融资租赁销售损益[双击切换]"/>
        <w:tag w:val="_GBC_213bb116a7f04deab5b21583470b1e43"/>
        <w:id w:val="461708382"/>
        <w:placeholder>
          <w:docPart w:val="GBC22222222222222222222222222222"/>
        </w:placeholder>
      </w:sdtPr>
      <w:sdtEndPr>
        <w:rPr>
          <w:color w:val="000000" w:themeColor="text1"/>
          <w14:textFill>
            <w14:solidFill>
              <w14:schemeClr w14:val="tx1"/>
            </w14:solidFill>
          </w14:textFill>
        </w:rPr>
      </w:sdtEndPr>
      <w:sdtContent>
        <w:p w14:paraId="25FB804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bookmarkStart w:id="384" w:name="OLE_LINK3"/>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384"/>
    <w:p w14:paraId="1610B487">
      <w:pPr>
        <w:rPr>
          <w:color w:val="000000" w:themeColor="text1"/>
          <w14:textFill>
            <w14:solidFill>
              <w14:schemeClr w14:val="tx1"/>
            </w14:solidFill>
          </w14:textFill>
        </w:rPr>
      </w:pPr>
    </w:p>
    <w:p w14:paraId="3C762DFE">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租赁其他说明"/>
        <w:tag w:val="_GBC_7b832cbbef274cceadb68c4291f1d973"/>
        <w:id w:val="514885515"/>
        <w:placeholder>
          <w:docPart w:val="GBC22222222222222222222222222222"/>
        </w:placeholder>
      </w:sdtPr>
      <w:sdtEndPr>
        <w:rPr>
          <w:color w:val="000000" w:themeColor="text1"/>
          <w14:textFill>
            <w14:solidFill>
              <w14:schemeClr w14:val="tx1"/>
            </w14:solidFill>
          </w14:textFill>
        </w:rPr>
      </w:sdtEndPr>
      <w:sdtContent>
        <w:p w14:paraId="1CCF3FB5">
          <w:pPr>
            <w:rPr>
              <w:color w:val="000000" w:themeColor="text1"/>
              <w14:textFill>
                <w14:solidFill>
                  <w14:schemeClr w14:val="tx1"/>
                </w14:solidFill>
              </w14:textFill>
            </w:rPr>
          </w:pPr>
          <w:r>
            <w:rPr>
              <w:color w:val="000000" w:themeColor="text1"/>
              <w14:textFill>
                <w14:solidFill>
                  <w14:schemeClr w14:val="tx1"/>
                </w14:solidFill>
              </w14:textFill>
            </w:rPr>
            <w:t>无</w:t>
          </w:r>
        </w:p>
      </w:sdtContent>
    </w:sdt>
    <w:p w14:paraId="55CBB70E">
      <w:pPr>
        <w:rPr>
          <w:color w:val="000000" w:themeColor="text1"/>
          <w14:textFill>
            <w14:solidFill>
              <w14:schemeClr w14:val="tx1"/>
            </w14:solidFill>
          </w14:textFill>
        </w:rPr>
      </w:pPr>
    </w:p>
    <w:bookmarkEnd w:id="383"/>
    <w:p w14:paraId="033A65B0">
      <w:pPr>
        <w:pStyle w:val="4"/>
        <w:numPr>
          <w:ilvl w:val="0"/>
          <w:numId w:val="53"/>
        </w:numPr>
        <w:tabs>
          <w:tab w:val="left" w:pos="504"/>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数据资源</w:t>
      </w:r>
    </w:p>
    <w:sdt>
      <w:sdtPr>
        <w:rPr>
          <w:color w:val="000000" w:themeColor="text1"/>
          <w14:textFill>
            <w14:solidFill>
              <w14:schemeClr w14:val="tx1"/>
            </w14:solidFill>
          </w14:textFill>
        </w:rPr>
        <w:alias w:val="是否适用：附注数据资源需要说明的事项[双击切换]"/>
        <w:tag w:val="_GBC_69b3c483faf0482e86f2ca96cb446815"/>
        <w:id w:val="1298103129"/>
        <w:placeholder>
          <w:docPart w:val="GBC22222222222222222222222222222"/>
        </w:placeholder>
      </w:sdtPr>
      <w:sdtEndPr>
        <w:rPr>
          <w:color w:val="000000" w:themeColor="text1"/>
          <w14:textFill>
            <w14:solidFill>
              <w14:schemeClr w14:val="tx1"/>
            </w14:solidFill>
          </w14:textFill>
        </w:rPr>
      </w:sdtEndPr>
      <w:sdtContent>
        <w:p w14:paraId="446E54F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7BF29ED">
      <w:pPr>
        <w:rPr>
          <w:color w:val="000000" w:themeColor="text1"/>
          <w14:textFill>
            <w14:solidFill>
              <w14:schemeClr w14:val="tx1"/>
            </w14:solidFill>
          </w14:textFill>
        </w:rPr>
      </w:pPr>
    </w:p>
    <w:p w14:paraId="5BB855E4">
      <w:pPr>
        <w:pStyle w:val="4"/>
        <w:numPr>
          <w:ilvl w:val="0"/>
          <w:numId w:val="53"/>
        </w:numPr>
        <w:tabs>
          <w:tab w:val="left" w:pos="504"/>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w:t>
      </w:r>
    </w:p>
    <w:sdt>
      <w:sdtPr>
        <w:rPr>
          <w:color w:val="000000" w:themeColor="text1"/>
          <w14:textFill>
            <w14:solidFill>
              <w14:schemeClr w14:val="tx1"/>
            </w14:solidFill>
          </w14:textFill>
        </w:rPr>
        <w:alias w:val="是否适用：合并财务报表项目注释其他需要说明的事项[双击切换]"/>
        <w:tag w:val="_GBC_d9335575f6594653aa8718dc633c644c"/>
        <w:id w:val="1323234838"/>
        <w:placeholder>
          <w:docPart w:val="GBC22222222222222222222222222222"/>
        </w:placeholder>
      </w:sdtPr>
      <w:sdtEndPr>
        <w:rPr>
          <w:color w:val="000000" w:themeColor="text1"/>
          <w14:textFill>
            <w14:solidFill>
              <w14:schemeClr w14:val="tx1"/>
            </w14:solidFill>
          </w14:textFill>
        </w:rPr>
      </w:sdtEndPr>
      <w:sdtContent>
        <w:p w14:paraId="7F92F1A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34D4D96">
      <w:pPr>
        <w:rPr>
          <w:color w:val="000000" w:themeColor="text1"/>
          <w14:textFill>
            <w14:solidFill>
              <w14:schemeClr w14:val="tx1"/>
            </w14:solidFill>
          </w14:textFill>
        </w:rPr>
      </w:pPr>
    </w:p>
    <w:p w14:paraId="07A65D12">
      <w:pPr>
        <w:pStyle w:val="3"/>
        <w:numPr>
          <w:ilvl w:val="0"/>
          <w:numId w:val="30"/>
        </w:numPr>
        <w:ind w:left="420" w:hanging="420"/>
        <w:rPr>
          <w:color w:val="000000" w:themeColor="text1"/>
          <w14:textFill>
            <w14:solidFill>
              <w14:schemeClr w14:val="tx1"/>
            </w14:solidFill>
          </w14:textFill>
        </w:rPr>
      </w:pPr>
      <w:bookmarkStart w:id="385" w:name="_Hlk40108415"/>
      <w:bookmarkStart w:id="386" w:name="_Hlk167971708"/>
      <w:r>
        <w:rPr>
          <w:rFonts w:hint="eastAsia"/>
          <w:color w:val="000000" w:themeColor="text1"/>
          <w14:textFill>
            <w14:solidFill>
              <w14:schemeClr w14:val="tx1"/>
            </w14:solidFill>
          </w14:textFill>
        </w:rPr>
        <w:t>研发支出</w:t>
      </w:r>
    </w:p>
    <w:p w14:paraId="144D2C65">
      <w:pPr>
        <w:pStyle w:val="4"/>
        <w:numPr>
          <w:ilvl w:val="0"/>
          <w:numId w:val="92"/>
        </w:numPr>
        <w:ind w:left="360" w:hanging="360"/>
        <w:rPr>
          <w:color w:val="000000" w:themeColor="text1"/>
          <w14:textFill>
            <w14:solidFill>
              <w14:schemeClr w14:val="tx1"/>
            </w14:solidFill>
          </w14:textFill>
        </w:rPr>
      </w:pPr>
      <w:r>
        <w:rPr>
          <w:rFonts w:hint="eastAsia"/>
          <w:color w:val="000000" w:themeColor="text1"/>
          <w14:textFill>
            <w14:solidFill>
              <w14:schemeClr w14:val="tx1"/>
            </w14:solidFill>
          </w14:textFill>
        </w:rPr>
        <w:t>按费用性质列示</w:t>
      </w:r>
    </w:p>
    <w:sdt>
      <w:sdtPr>
        <w:rPr>
          <w:color w:val="000000" w:themeColor="text1"/>
          <w14:textFill>
            <w14:solidFill>
              <w14:schemeClr w14:val="tx1"/>
            </w14:solidFill>
          </w14:textFill>
        </w:rPr>
        <w:alias w:val="是否适用：研发费用[双击切换]"/>
        <w:tag w:val="_GBC_c038265fdb0b49dea367e73fadbd1bf3"/>
        <w:id w:val="1494911793"/>
        <w:placeholder>
          <w:docPart w:val="GBC22222222222222222222222222222"/>
        </w:placeholder>
      </w:sdtPr>
      <w:sdtEndPr>
        <w:rPr>
          <w:color w:val="000000" w:themeColor="text1"/>
          <w14:textFill>
            <w14:solidFill>
              <w14:schemeClr w14:val="tx1"/>
            </w14:solidFill>
          </w14:textFill>
        </w:rPr>
      </w:sdtEndPr>
      <w:sdtContent>
        <w:p w14:paraId="6FACE2A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67FF0D7">
      <w:pPr>
        <w:pStyle w:val="55"/>
        <w:ind w:left="420" w:firstLine="0" w:firstLineChars="0"/>
        <w:jc w:val="righ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单位：</w:t>
      </w:r>
      <w:sdt>
        <w:sdtPr>
          <w:rPr>
            <w:rFonts w:hint="eastAsia"/>
            <w:color w:val="000000" w:themeColor="text1"/>
            <w:szCs w:val="21"/>
            <w14:textFill>
              <w14:solidFill>
                <w14:schemeClr w14:val="tx1"/>
              </w14:solidFill>
            </w14:textFill>
          </w:rPr>
          <w:alias w:val="单位：研发费用"/>
          <w:tag w:val="_GBC_ba6e122abfd8443283c681cd38b3d395"/>
          <w:id w:val="6290604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szCs w:val="21"/>
            <w14:textFill>
              <w14:solidFill>
                <w14:schemeClr w14:val="tx1"/>
              </w14:solidFill>
            </w14:textFill>
          </w:rPr>
        </w:sdtEndPr>
        <w:sdtContent>
          <w:r>
            <w:rPr>
              <w:rFonts w:hint="eastAsia"/>
              <w:color w:val="000000" w:themeColor="text1"/>
              <w:szCs w:val="21"/>
              <w14:textFill>
                <w14:solidFill>
                  <w14:schemeClr w14:val="tx1"/>
                </w14:solidFill>
              </w14:textFill>
            </w:rPr>
            <w:t>元</w:t>
          </w:r>
        </w:sdtContent>
      </w:sdt>
      <w:r>
        <w:rPr>
          <w:rFonts w:hint="eastAsia"/>
          <w:color w:val="000000" w:themeColor="text1"/>
          <w:szCs w:val="21"/>
          <w14:textFill>
            <w14:solidFill>
              <w14:schemeClr w14:val="tx1"/>
            </w14:solidFill>
          </w14:textFill>
        </w:rPr>
        <w:t xml:space="preserve"> 币种：</w:t>
      </w:r>
      <w:sdt>
        <w:sdtPr>
          <w:rPr>
            <w:rFonts w:hint="eastAsia"/>
            <w:color w:val="000000" w:themeColor="text1"/>
            <w:szCs w:val="21"/>
            <w14:textFill>
              <w14:solidFill>
                <w14:schemeClr w14:val="tx1"/>
              </w14:solidFill>
            </w14:textFill>
          </w:rPr>
          <w:alias w:val="币种：研发费用"/>
          <w:tag w:val="_GBC_d5e978ec78684853899851ff1623b4fc"/>
          <w:id w:val="-8902695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szCs w:val="21"/>
            <w14:textFill>
              <w14:solidFill>
                <w14:schemeClr w14:val="tx1"/>
              </w14:solidFill>
            </w14:textFill>
          </w:rPr>
        </w:sdtEndPr>
        <w:sdtContent>
          <w:r>
            <w:rPr>
              <w:rFonts w:hint="eastAsia"/>
              <w:color w:val="000000" w:themeColor="text1"/>
              <w:szCs w:val="2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5"/>
        <w:gridCol w:w="2539"/>
        <w:gridCol w:w="2379"/>
      </w:tblGrid>
      <w:tr w14:paraId="2D66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0d7c4dfc9e774f139ca83d0601e815ea"/>
            <w:id w:val="50432332"/>
          </w:sdtPr>
          <w:sdtContent>
            <w:tc>
              <w:tcPr>
                <w:tcW w:w="2213" w:type="pct"/>
                <w:tcBorders>
                  <w:top w:val="single" w:color="auto" w:sz="4" w:space="0"/>
                  <w:left w:val="single" w:color="auto" w:sz="4" w:space="0"/>
                  <w:bottom w:val="single" w:color="auto" w:sz="4" w:space="0"/>
                  <w:right w:val="single" w:color="auto" w:sz="4" w:space="0"/>
                </w:tcBorders>
              </w:tcPr>
              <w:p w14:paraId="05474FB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1d1e5baa8c6741cda3956270e192cc79"/>
            <w:id w:val="2055736192"/>
          </w:sdtPr>
          <w:sdtContent>
            <w:tc>
              <w:tcPr>
                <w:tcW w:w="1439" w:type="pct"/>
                <w:tcBorders>
                  <w:top w:val="single" w:color="auto" w:sz="4" w:space="0"/>
                  <w:left w:val="single" w:color="auto" w:sz="4" w:space="0"/>
                  <w:bottom w:val="single" w:color="auto" w:sz="4" w:space="0"/>
                  <w:right w:val="single" w:color="auto" w:sz="4" w:space="0"/>
                </w:tcBorders>
              </w:tcPr>
              <w:p w14:paraId="1BCA9AC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91cd6ee02fbd4f6e86f6503667dce560"/>
            <w:id w:val="-1982077610"/>
          </w:sdtPr>
          <w:sdtContent>
            <w:tc>
              <w:tcPr>
                <w:tcW w:w="1348" w:type="pct"/>
                <w:tcBorders>
                  <w:top w:val="single" w:color="auto" w:sz="4" w:space="0"/>
                  <w:left w:val="single" w:color="auto" w:sz="4" w:space="0"/>
                  <w:bottom w:val="single" w:color="auto" w:sz="4" w:space="0"/>
                  <w:right w:val="single" w:color="auto" w:sz="4" w:space="0"/>
                </w:tcBorders>
              </w:tcPr>
              <w:p w14:paraId="46A119C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7466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45E44F2A">
            <w:r>
              <w:rPr>
                <w:rFonts w:hint="eastAsia" w:ascii="宋体" w:hAnsi="宋体"/>
              </w:rPr>
              <w:t>人工费</w:t>
            </w:r>
          </w:p>
        </w:tc>
        <w:tc>
          <w:tcPr>
            <w:tcW w:w="1439" w:type="pct"/>
            <w:tcBorders>
              <w:top w:val="single" w:color="auto" w:sz="4" w:space="0"/>
              <w:left w:val="single" w:color="auto" w:sz="4" w:space="0"/>
              <w:bottom w:val="single" w:color="auto" w:sz="4" w:space="0"/>
              <w:right w:val="single" w:color="auto" w:sz="4" w:space="0"/>
            </w:tcBorders>
          </w:tcPr>
          <w:p w14:paraId="62BDD0D4">
            <w:pPr>
              <w:jc w:val="right"/>
            </w:pPr>
            <w:r>
              <w:t>1,074,235.27</w:t>
            </w:r>
          </w:p>
        </w:tc>
        <w:tc>
          <w:tcPr>
            <w:tcW w:w="1348" w:type="pct"/>
            <w:tcBorders>
              <w:top w:val="single" w:color="auto" w:sz="4" w:space="0"/>
              <w:left w:val="single" w:color="auto" w:sz="4" w:space="0"/>
              <w:bottom w:val="single" w:color="auto" w:sz="4" w:space="0"/>
              <w:right w:val="single" w:color="auto" w:sz="4" w:space="0"/>
            </w:tcBorders>
          </w:tcPr>
          <w:p w14:paraId="2701354D">
            <w:pPr>
              <w:jc w:val="right"/>
            </w:pPr>
            <w:r>
              <w:t>964,970.98</w:t>
            </w:r>
          </w:p>
        </w:tc>
      </w:tr>
      <w:tr w14:paraId="5957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6BC33DF0">
            <w:r>
              <w:rPr>
                <w:rFonts w:hint="eastAsia" w:ascii="宋体" w:hAnsi="宋体"/>
              </w:rPr>
              <w:t>物料消耗</w:t>
            </w:r>
          </w:p>
        </w:tc>
        <w:tc>
          <w:tcPr>
            <w:tcW w:w="1439" w:type="pct"/>
            <w:tcBorders>
              <w:top w:val="single" w:color="auto" w:sz="4" w:space="0"/>
              <w:left w:val="single" w:color="auto" w:sz="4" w:space="0"/>
              <w:bottom w:val="single" w:color="auto" w:sz="4" w:space="0"/>
              <w:right w:val="single" w:color="auto" w:sz="4" w:space="0"/>
            </w:tcBorders>
          </w:tcPr>
          <w:p w14:paraId="3C2C07F7">
            <w:pPr>
              <w:jc w:val="right"/>
            </w:pPr>
            <w:r>
              <w:t>684,926.97</w:t>
            </w:r>
          </w:p>
        </w:tc>
        <w:tc>
          <w:tcPr>
            <w:tcW w:w="1348" w:type="pct"/>
            <w:tcBorders>
              <w:top w:val="single" w:color="auto" w:sz="4" w:space="0"/>
              <w:left w:val="single" w:color="auto" w:sz="4" w:space="0"/>
              <w:bottom w:val="single" w:color="auto" w:sz="4" w:space="0"/>
              <w:right w:val="single" w:color="auto" w:sz="4" w:space="0"/>
            </w:tcBorders>
          </w:tcPr>
          <w:p w14:paraId="003A583D">
            <w:pPr>
              <w:jc w:val="right"/>
            </w:pPr>
            <w:r>
              <w:t>787,575.25</w:t>
            </w:r>
          </w:p>
        </w:tc>
      </w:tr>
      <w:tr w14:paraId="7429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5FB274FB">
            <w:r>
              <w:rPr>
                <w:rFonts w:hint="eastAsia" w:ascii="宋体" w:hAnsi="宋体"/>
              </w:rPr>
              <w:t>折旧与摊销</w:t>
            </w:r>
          </w:p>
        </w:tc>
        <w:tc>
          <w:tcPr>
            <w:tcW w:w="1439" w:type="pct"/>
            <w:tcBorders>
              <w:top w:val="single" w:color="auto" w:sz="4" w:space="0"/>
              <w:left w:val="single" w:color="auto" w:sz="4" w:space="0"/>
              <w:bottom w:val="single" w:color="auto" w:sz="4" w:space="0"/>
              <w:right w:val="single" w:color="auto" w:sz="4" w:space="0"/>
            </w:tcBorders>
          </w:tcPr>
          <w:p w14:paraId="5C3E9A46">
            <w:pPr>
              <w:jc w:val="right"/>
            </w:pPr>
            <w:r>
              <w:t>1,159,083.72</w:t>
            </w:r>
          </w:p>
        </w:tc>
        <w:tc>
          <w:tcPr>
            <w:tcW w:w="1348" w:type="pct"/>
            <w:tcBorders>
              <w:top w:val="single" w:color="auto" w:sz="4" w:space="0"/>
              <w:left w:val="single" w:color="auto" w:sz="4" w:space="0"/>
              <w:bottom w:val="single" w:color="auto" w:sz="4" w:space="0"/>
              <w:right w:val="single" w:color="auto" w:sz="4" w:space="0"/>
            </w:tcBorders>
          </w:tcPr>
          <w:p w14:paraId="68B14825">
            <w:pPr>
              <w:jc w:val="right"/>
            </w:pPr>
            <w:r>
              <w:rPr>
                <w:rFonts w:hint="eastAsia"/>
              </w:rPr>
              <w:t>948912.46</w:t>
            </w:r>
          </w:p>
        </w:tc>
      </w:tr>
      <w:tr w14:paraId="0C58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1D66986C">
            <w:r>
              <w:rPr>
                <w:rFonts w:hint="eastAsia" w:ascii="宋体" w:hAnsi="宋体"/>
              </w:rPr>
              <w:t>其他</w:t>
            </w:r>
          </w:p>
        </w:tc>
        <w:tc>
          <w:tcPr>
            <w:tcW w:w="1439" w:type="pct"/>
            <w:tcBorders>
              <w:top w:val="single" w:color="auto" w:sz="4" w:space="0"/>
              <w:left w:val="single" w:color="auto" w:sz="4" w:space="0"/>
              <w:bottom w:val="single" w:color="auto" w:sz="4" w:space="0"/>
              <w:right w:val="single" w:color="auto" w:sz="4" w:space="0"/>
            </w:tcBorders>
          </w:tcPr>
          <w:p w14:paraId="03F22F65">
            <w:pPr>
              <w:jc w:val="right"/>
            </w:pPr>
            <w:r>
              <w:t>534,019.48</w:t>
            </w:r>
          </w:p>
        </w:tc>
        <w:tc>
          <w:tcPr>
            <w:tcW w:w="1348" w:type="pct"/>
            <w:tcBorders>
              <w:top w:val="single" w:color="auto" w:sz="4" w:space="0"/>
              <w:left w:val="single" w:color="auto" w:sz="4" w:space="0"/>
              <w:bottom w:val="single" w:color="auto" w:sz="4" w:space="0"/>
              <w:right w:val="single" w:color="auto" w:sz="4" w:space="0"/>
            </w:tcBorders>
          </w:tcPr>
          <w:p w14:paraId="7D10E617">
            <w:pPr>
              <w:jc w:val="right"/>
            </w:pPr>
            <w:r>
              <w:t>1,312,778.20</w:t>
            </w:r>
          </w:p>
        </w:tc>
      </w:tr>
      <w:tr w14:paraId="6264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290E693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439" w:type="pct"/>
            <w:tcBorders>
              <w:top w:val="single" w:color="auto" w:sz="4" w:space="0"/>
              <w:left w:val="single" w:color="auto" w:sz="4" w:space="0"/>
              <w:bottom w:val="single" w:color="auto" w:sz="4" w:space="0"/>
              <w:right w:val="single" w:color="auto" w:sz="4" w:space="0"/>
            </w:tcBorders>
          </w:tcPr>
          <w:p w14:paraId="28E66900">
            <w:pPr>
              <w:jc w:val="right"/>
            </w:pPr>
            <w:r>
              <w:t>3,452,265.44</w:t>
            </w:r>
          </w:p>
        </w:tc>
        <w:tc>
          <w:tcPr>
            <w:tcW w:w="1348" w:type="pct"/>
            <w:tcBorders>
              <w:top w:val="single" w:color="auto" w:sz="4" w:space="0"/>
              <w:left w:val="single" w:color="auto" w:sz="4" w:space="0"/>
              <w:bottom w:val="single" w:color="auto" w:sz="4" w:space="0"/>
              <w:right w:val="single" w:color="auto" w:sz="4" w:space="0"/>
            </w:tcBorders>
          </w:tcPr>
          <w:p w14:paraId="2A56E391">
            <w:pPr>
              <w:jc w:val="right"/>
            </w:pPr>
            <w:r>
              <w:t>4,014,236.89</w:t>
            </w:r>
          </w:p>
        </w:tc>
      </w:tr>
      <w:tr w14:paraId="4EC6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5791CE7B">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其中：费用化研发支出</w:t>
            </w:r>
          </w:p>
        </w:tc>
        <w:tc>
          <w:tcPr>
            <w:tcW w:w="1439" w:type="pct"/>
            <w:tcBorders>
              <w:top w:val="single" w:color="auto" w:sz="4" w:space="0"/>
              <w:left w:val="single" w:color="auto" w:sz="4" w:space="0"/>
              <w:bottom w:val="single" w:color="auto" w:sz="4" w:space="0"/>
              <w:right w:val="single" w:color="auto" w:sz="4" w:space="0"/>
            </w:tcBorders>
          </w:tcPr>
          <w:p w14:paraId="0FAB23FF">
            <w:pPr>
              <w:jc w:val="right"/>
            </w:pPr>
            <w:r>
              <w:t>3,452,265.44</w:t>
            </w:r>
          </w:p>
        </w:tc>
        <w:tc>
          <w:tcPr>
            <w:tcW w:w="1348" w:type="pct"/>
            <w:tcBorders>
              <w:top w:val="single" w:color="auto" w:sz="4" w:space="0"/>
              <w:left w:val="single" w:color="auto" w:sz="4" w:space="0"/>
              <w:bottom w:val="single" w:color="auto" w:sz="4" w:space="0"/>
              <w:right w:val="single" w:color="auto" w:sz="4" w:space="0"/>
            </w:tcBorders>
          </w:tcPr>
          <w:p w14:paraId="3390A2E9">
            <w:pPr>
              <w:jc w:val="right"/>
            </w:pPr>
            <w:r>
              <w:t>4,014,236.89</w:t>
            </w:r>
          </w:p>
        </w:tc>
      </w:tr>
      <w:tr w14:paraId="78DE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pct"/>
            <w:tcBorders>
              <w:top w:val="single" w:color="auto" w:sz="4" w:space="0"/>
              <w:left w:val="single" w:color="auto" w:sz="4" w:space="0"/>
              <w:bottom w:val="single" w:color="auto" w:sz="4" w:space="0"/>
              <w:right w:val="single" w:color="auto" w:sz="4" w:space="0"/>
            </w:tcBorders>
            <w:vAlign w:val="center"/>
          </w:tcPr>
          <w:p w14:paraId="35926305">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资本化研发支出</w:t>
            </w:r>
          </w:p>
        </w:tc>
        <w:tc>
          <w:tcPr>
            <w:tcW w:w="1439" w:type="pct"/>
            <w:tcBorders>
              <w:top w:val="single" w:color="auto" w:sz="4" w:space="0"/>
              <w:left w:val="single" w:color="auto" w:sz="4" w:space="0"/>
              <w:bottom w:val="single" w:color="auto" w:sz="4" w:space="0"/>
              <w:right w:val="single" w:color="auto" w:sz="4" w:space="0"/>
            </w:tcBorders>
          </w:tcPr>
          <w:p w14:paraId="4BED8E08">
            <w:pPr>
              <w:jc w:val="right"/>
            </w:pPr>
          </w:p>
        </w:tc>
        <w:tc>
          <w:tcPr>
            <w:tcW w:w="1348" w:type="pct"/>
            <w:tcBorders>
              <w:top w:val="single" w:color="auto" w:sz="4" w:space="0"/>
              <w:left w:val="single" w:color="auto" w:sz="4" w:space="0"/>
              <w:bottom w:val="single" w:color="auto" w:sz="4" w:space="0"/>
              <w:right w:val="single" w:color="auto" w:sz="4" w:space="0"/>
            </w:tcBorders>
          </w:tcPr>
          <w:p w14:paraId="736EB33A">
            <w:pPr>
              <w:jc w:val="right"/>
            </w:pPr>
          </w:p>
        </w:tc>
      </w:tr>
    </w:tbl>
    <w:p w14:paraId="11DD57F0">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研发支出按费用性质列示的其他说明"/>
        <w:tag w:val="_GBC_6b3d42161462405e8011d40253de8df9"/>
        <w:id w:val="-2118822830"/>
        <w:placeholder>
          <w:docPart w:val="GBC22222222222222222222222222222"/>
        </w:placeholder>
      </w:sdtPr>
      <w:sdtEndPr>
        <w:rPr>
          <w:color w:val="000000" w:themeColor="text1"/>
          <w14:textFill>
            <w14:solidFill>
              <w14:schemeClr w14:val="tx1"/>
            </w14:solidFill>
          </w14:textFill>
        </w:rPr>
      </w:sdtEndPr>
      <w:sdtContent>
        <w:p w14:paraId="73834DC1">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0F4ACE77">
      <w:pPr>
        <w:rPr>
          <w:color w:val="000000" w:themeColor="text1"/>
          <w14:textFill>
            <w14:solidFill>
              <w14:schemeClr w14:val="tx1"/>
            </w14:solidFill>
          </w14:textFill>
        </w:rPr>
      </w:pPr>
    </w:p>
    <w:bookmarkEnd w:id="385"/>
    <w:p w14:paraId="43DF6DB1">
      <w:pPr>
        <w:pStyle w:val="4"/>
        <w:numPr>
          <w:ilvl w:val="0"/>
          <w:numId w:val="92"/>
        </w:numPr>
        <w:ind w:left="360" w:hanging="360"/>
        <w:rPr>
          <w:color w:val="000000" w:themeColor="text1"/>
          <w14:textFill>
            <w14:solidFill>
              <w14:schemeClr w14:val="tx1"/>
            </w14:solidFill>
          </w14:textFill>
        </w:rPr>
      </w:pPr>
      <w:bookmarkStart w:id="387" w:name="_Hlk153266294"/>
      <w:r>
        <w:rPr>
          <w:color w:val="000000" w:themeColor="text1"/>
          <w14:textFill>
            <w14:solidFill>
              <w14:schemeClr w14:val="tx1"/>
            </w14:solidFill>
          </w14:textFill>
        </w:rPr>
        <w:t>符合资本化条件的研发项目</w:t>
      </w:r>
      <w:r>
        <w:rPr>
          <w:rFonts w:hint="eastAsia"/>
          <w:color w:val="000000" w:themeColor="text1"/>
          <w14:textFill>
            <w14:solidFill>
              <w14:schemeClr w14:val="tx1"/>
            </w14:solidFill>
          </w14:textFill>
        </w:rPr>
        <w:t>开发支出</w:t>
      </w:r>
    </w:p>
    <w:sdt>
      <w:sdtPr>
        <w:rPr>
          <w:color w:val="000000" w:themeColor="text1"/>
          <w14:textFill>
            <w14:solidFill>
              <w14:schemeClr w14:val="tx1"/>
            </w14:solidFill>
          </w14:textFill>
        </w:rPr>
        <w:alias w:val="是否适用：开发支出[双击切换]"/>
        <w:tag w:val="_GBC_c4491189045f4579aa1097e6d5456e9e"/>
        <w:id w:val="508725694"/>
        <w:placeholder>
          <w:docPart w:val="GBC22222222222222222222222222222"/>
        </w:placeholder>
      </w:sdtPr>
      <w:sdtEndPr>
        <w:rPr>
          <w:color w:val="000000" w:themeColor="text1"/>
          <w14:textFill>
            <w14:solidFill>
              <w14:schemeClr w14:val="tx1"/>
            </w14:solidFill>
          </w14:textFill>
        </w:rPr>
      </w:sdtEndPr>
      <w:sdtContent>
        <w:p w14:paraId="7FDBBD1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9AC4024">
      <w:pPr>
        <w:rPr>
          <w:color w:val="000000" w:themeColor="text1"/>
          <w14:textFill>
            <w14:solidFill>
              <w14:schemeClr w14:val="tx1"/>
            </w14:solidFill>
          </w14:textFill>
        </w:rPr>
      </w:pPr>
    </w:p>
    <w:bookmarkEnd w:id="387"/>
    <w:p w14:paraId="2BF2D54E">
      <w:pPr>
        <w:rPr>
          <w:color w:val="000000" w:themeColor="text1"/>
          <w14:textFill>
            <w14:solidFill>
              <w14:schemeClr w14:val="tx1"/>
            </w14:solidFill>
          </w14:textFill>
        </w:rPr>
      </w:pPr>
      <w:r>
        <w:rPr>
          <w:color w:val="000000" w:themeColor="text1"/>
          <w14:textFill>
            <w14:solidFill>
              <w14:schemeClr w14:val="tx1"/>
            </w14:solidFill>
          </w14:textFill>
        </w:rPr>
        <w:t>重要的资本化研发项目</w:t>
      </w:r>
    </w:p>
    <w:sdt>
      <w:sdtPr>
        <w:rPr>
          <w:color w:val="000000" w:themeColor="text1"/>
          <w14:textFill>
            <w14:solidFill>
              <w14:schemeClr w14:val="tx1"/>
            </w14:solidFill>
          </w14:textFill>
        </w:rPr>
        <w:alias w:val="是否适用：重要的资本化研发项目[双击切换]"/>
        <w:tag w:val="_GBC_1cd050ceff7c445bb12c764341f77187"/>
        <w:id w:val="1582554472"/>
        <w:placeholder>
          <w:docPart w:val="GBC22222222222222222222222222222"/>
        </w:placeholder>
      </w:sdtPr>
      <w:sdtEndPr>
        <w:rPr>
          <w:color w:val="000000" w:themeColor="text1"/>
          <w14:textFill>
            <w14:solidFill>
              <w14:schemeClr w14:val="tx1"/>
            </w14:solidFill>
          </w14:textFill>
        </w:rPr>
      </w:sdtEndPr>
      <w:sdtContent>
        <w:p w14:paraId="2278F07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92B5969">
      <w:pPr>
        <w:rPr>
          <w:color w:val="000000" w:themeColor="text1"/>
          <w14:textFill>
            <w14:solidFill>
              <w14:schemeClr w14:val="tx1"/>
            </w14:solidFill>
          </w14:textFill>
        </w:rPr>
      </w:pPr>
    </w:p>
    <w:p w14:paraId="14AE3996">
      <w:pPr>
        <w:rPr>
          <w:color w:val="000000" w:themeColor="text1"/>
          <w14:textFill>
            <w14:solidFill>
              <w14:schemeClr w14:val="tx1"/>
            </w14:solidFill>
          </w14:textFill>
        </w:rPr>
      </w:pPr>
      <w:r>
        <w:rPr>
          <w:color w:val="000000" w:themeColor="text1"/>
          <w14:textFill>
            <w14:solidFill>
              <w14:schemeClr w14:val="tx1"/>
            </w14:solidFill>
          </w14:textFill>
        </w:rPr>
        <w:t>开发支出减值准备</w:t>
      </w:r>
    </w:p>
    <w:sdt>
      <w:sdtPr>
        <w:rPr>
          <w:color w:val="000000" w:themeColor="text1"/>
          <w14:textFill>
            <w14:solidFill>
              <w14:schemeClr w14:val="tx1"/>
            </w14:solidFill>
          </w14:textFill>
        </w:rPr>
        <w:alias w:val="是否适用：开发支出减值准备[双击切换]"/>
        <w:tag w:val="_GBC_61f8745227c4412fa050b0628c64a40a"/>
        <w:id w:val="-1383398239"/>
        <w:placeholder>
          <w:docPart w:val="GBC22222222222222222222222222222"/>
        </w:placeholder>
      </w:sdtPr>
      <w:sdtEndPr>
        <w:rPr>
          <w:color w:val="000000" w:themeColor="text1"/>
          <w14:textFill>
            <w14:solidFill>
              <w14:schemeClr w14:val="tx1"/>
            </w14:solidFill>
          </w14:textFill>
        </w:rPr>
      </w:sdtEndPr>
      <w:sdtContent>
        <w:p w14:paraId="577ABF9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6476564">
      <w:pPr>
        <w:rPr>
          <w:color w:val="000000" w:themeColor="text1"/>
          <w14:textFill>
            <w14:solidFill>
              <w14:schemeClr w14:val="tx1"/>
            </w14:solidFill>
          </w14:textFill>
        </w:rPr>
      </w:pPr>
    </w:p>
    <w:p w14:paraId="1B15629F">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符合资本化条件的研发项目开发支出的其他说明"/>
        <w:tag w:val="_GBC_6f5dba19dcad4294ab6f74834cfe3448"/>
        <w:id w:val="-1170099273"/>
        <w:placeholder>
          <w:docPart w:val="GBC22222222222222222222222222222"/>
        </w:placeholder>
      </w:sdtPr>
      <w:sdtEndPr>
        <w:rPr>
          <w:color w:val="000000" w:themeColor="text1"/>
          <w14:textFill>
            <w14:solidFill>
              <w14:schemeClr w14:val="tx1"/>
            </w14:solidFill>
          </w14:textFill>
        </w:rPr>
      </w:sdtEndPr>
      <w:sdtContent>
        <w:p w14:paraId="1E7521EA">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0EA2D1AC">
      <w:pPr>
        <w:rPr>
          <w:color w:val="000000" w:themeColor="text1"/>
          <w14:textFill>
            <w14:solidFill>
              <w14:schemeClr w14:val="tx1"/>
            </w14:solidFill>
          </w14:textFill>
        </w:rPr>
      </w:pPr>
    </w:p>
    <w:p w14:paraId="175267CA">
      <w:pPr>
        <w:pStyle w:val="4"/>
        <w:numPr>
          <w:ilvl w:val="0"/>
          <w:numId w:val="92"/>
        </w:numPr>
        <w:ind w:left="360" w:hanging="360"/>
        <w:rPr>
          <w:color w:val="000000" w:themeColor="text1"/>
          <w14:textFill>
            <w14:solidFill>
              <w14:schemeClr w14:val="tx1"/>
            </w14:solidFill>
          </w14:textFill>
        </w:rPr>
      </w:pPr>
      <w:r>
        <w:rPr>
          <w:color w:val="000000" w:themeColor="text1"/>
          <w14:textFill>
            <w14:solidFill>
              <w14:schemeClr w14:val="tx1"/>
            </w14:solidFill>
          </w14:textFill>
        </w:rPr>
        <w:t>重要的外购在研项目</w:t>
      </w:r>
    </w:p>
    <w:sdt>
      <w:sdtPr>
        <w:rPr>
          <w:color w:val="000000" w:themeColor="text1"/>
          <w14:textFill>
            <w14:solidFill>
              <w14:schemeClr w14:val="tx1"/>
            </w14:solidFill>
          </w14:textFill>
        </w:rPr>
        <w:alias w:val="是否适用：重要的外购在研项目[双击切换]"/>
        <w:tag w:val="_GBC_d8453a2bfa274fa6906f48d9a4c81bac"/>
        <w:id w:val="-859903312"/>
        <w:placeholder>
          <w:docPart w:val="GBC22222222222222222222222222222"/>
        </w:placeholder>
      </w:sdtPr>
      <w:sdtEndPr>
        <w:rPr>
          <w:color w:val="000000" w:themeColor="text1"/>
          <w14:textFill>
            <w14:solidFill>
              <w14:schemeClr w14:val="tx1"/>
            </w14:solidFill>
          </w14:textFill>
        </w:rPr>
      </w:sdtEndPr>
      <w:sdtContent>
        <w:p w14:paraId="4F645B9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CA8E4F4">
      <w:pPr>
        <w:rPr>
          <w:color w:val="000000" w:themeColor="text1"/>
          <w14:textFill>
            <w14:solidFill>
              <w14:schemeClr w14:val="tx1"/>
            </w14:solidFill>
          </w14:textFill>
        </w:rPr>
      </w:pPr>
    </w:p>
    <w:bookmarkEnd w:id="386"/>
    <w:p w14:paraId="466425FA">
      <w:pPr>
        <w:rPr>
          <w:color w:val="000000" w:themeColor="text1"/>
          <w14:textFill>
            <w14:solidFill>
              <w14:schemeClr w14:val="tx1"/>
            </w14:solidFill>
          </w14:textFill>
        </w:rPr>
      </w:pPr>
    </w:p>
    <w:p w14:paraId="0B11D0A6">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合并范围的变更</w:t>
      </w:r>
    </w:p>
    <w:p w14:paraId="457E2834">
      <w:pPr>
        <w:pStyle w:val="4"/>
        <w:numPr>
          <w:ilvl w:val="0"/>
          <w:numId w:val="93"/>
        </w:numP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非同一控制下企业合并</w:t>
      </w:r>
    </w:p>
    <w:sdt>
      <w:sdtPr>
        <w:rPr>
          <w:color w:val="000000" w:themeColor="text1"/>
          <w14:textFill>
            <w14:solidFill>
              <w14:schemeClr w14:val="tx1"/>
            </w14:solidFill>
          </w14:textFill>
        </w:rPr>
        <w:alias w:val="是否适用：非同一控制下企业合并[双击切换]"/>
        <w:tag w:val="_GBC_2f9a65b0b4644b14ab5af1407e6467f1"/>
        <w:id w:val="162598721"/>
        <w:placeholder>
          <w:docPart w:val="GBC22222222222222222222222222222"/>
        </w:placeholder>
      </w:sdtPr>
      <w:sdtEndPr>
        <w:rPr>
          <w:color w:val="000000" w:themeColor="text1"/>
          <w14:textFill>
            <w14:solidFill>
              <w14:schemeClr w14:val="tx1"/>
            </w14:solidFill>
          </w14:textFill>
        </w:rPr>
      </w:sdtEndPr>
      <w:sdtContent>
        <w:p w14:paraId="13D919B3">
          <w:pPr>
            <w:rPr>
              <w:rFonts w:cstheme="minorBidi"/>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A17A64D">
      <w:pPr>
        <w:rPr>
          <w:rFonts w:cstheme="minorBidi"/>
          <w:color w:val="000000" w:themeColor="text1"/>
          <w14:textFill>
            <w14:solidFill>
              <w14:schemeClr w14:val="tx1"/>
            </w14:solidFill>
          </w14:textFill>
        </w:rPr>
      </w:pPr>
    </w:p>
    <w:p w14:paraId="1853975D">
      <w:pPr>
        <w:rPr>
          <w:color w:val="000000" w:themeColor="text1"/>
          <w14:textFill>
            <w14:solidFill>
              <w14:schemeClr w14:val="tx1"/>
            </w14:solidFill>
          </w14:textFill>
        </w:rPr>
      </w:pPr>
    </w:p>
    <w:p w14:paraId="59E297E3">
      <w:pPr>
        <w:pStyle w:val="4"/>
        <w:numPr>
          <w:ilvl w:val="0"/>
          <w:numId w:val="93"/>
        </w:numP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同一控制下企业合并</w:t>
      </w:r>
    </w:p>
    <w:sdt>
      <w:sdtPr>
        <w:rPr>
          <w:color w:val="000000" w:themeColor="text1"/>
          <w14:textFill>
            <w14:solidFill>
              <w14:schemeClr w14:val="tx1"/>
            </w14:solidFill>
          </w14:textFill>
        </w:rPr>
        <w:alias w:val="是否适用：同一控制下企业合并[双击切换]"/>
        <w:tag w:val="_GBC_cde296136a1d4f2094eb79d21291eae2"/>
        <w:id w:val="-1710569227"/>
        <w:placeholder>
          <w:docPart w:val="GBC22222222222222222222222222222"/>
        </w:placeholder>
      </w:sdtPr>
      <w:sdtEndPr>
        <w:rPr>
          <w:color w:val="000000" w:themeColor="text1"/>
          <w14:textFill>
            <w14:solidFill>
              <w14:schemeClr w14:val="tx1"/>
            </w14:solidFill>
          </w14:textFill>
        </w:rPr>
      </w:sdtEndPr>
      <w:sdtContent>
        <w:p w14:paraId="2C1A0A08">
          <w:pPr>
            <w:rPr>
              <w:rFonts w:cs="Arial"/>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DFFA706">
      <w:pPr>
        <w:rPr>
          <w:color w:val="000000" w:themeColor="text1"/>
          <w14:textFill>
            <w14:solidFill>
              <w14:schemeClr w14:val="tx1"/>
            </w14:solidFill>
          </w14:textFill>
        </w:rPr>
        <w:sectPr>
          <w:pgSz w:w="11906" w:h="16838"/>
          <w:pgMar w:top="1525" w:right="1276" w:bottom="1440" w:left="1797" w:header="856" w:footer="992" w:gutter="0"/>
          <w:cols w:space="425" w:num="1"/>
          <w:docGrid w:linePitch="312" w:charSpace="0"/>
        </w:sectPr>
      </w:pPr>
    </w:p>
    <w:p w14:paraId="53B79461">
      <w:pPr>
        <w:rPr>
          <w:color w:val="000000" w:themeColor="text1"/>
          <w14:textFill>
            <w14:solidFill>
              <w14:schemeClr w14:val="tx1"/>
            </w14:solidFill>
          </w14:textFill>
        </w:rPr>
      </w:pPr>
    </w:p>
    <w:p w14:paraId="44C4292D">
      <w:pPr>
        <w:pStyle w:val="4"/>
        <w:numPr>
          <w:ilvl w:val="0"/>
          <w:numId w:val="93"/>
        </w:numP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反向购买</w:t>
      </w:r>
    </w:p>
    <w:sdt>
      <w:sdtPr>
        <w:rPr>
          <w:color w:val="000000" w:themeColor="text1"/>
          <w14:textFill>
            <w14:solidFill>
              <w14:schemeClr w14:val="tx1"/>
            </w14:solidFill>
          </w14:textFill>
        </w:rPr>
        <w:alias w:val="是否适用：反向购买[双击切换]"/>
        <w:tag w:val="_GBC_973cde3cea5d460790de47cc49169bde"/>
        <w:id w:val="621893295"/>
        <w:placeholder>
          <w:docPart w:val="GBC22222222222222222222222222222"/>
        </w:placeholder>
      </w:sdtPr>
      <w:sdtEndPr>
        <w:rPr>
          <w:color w:val="000000" w:themeColor="text1"/>
          <w14:textFill>
            <w14:solidFill>
              <w14:schemeClr w14:val="tx1"/>
            </w14:solidFill>
          </w14:textFill>
        </w:rPr>
      </w:sdtEndPr>
      <w:sdtContent>
        <w:p w14:paraId="346C7851">
          <w:pPr>
            <w:rPr>
              <w:rFonts w:cs="Arial"/>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E5E64AA">
      <w:pPr>
        <w:rPr>
          <w:rFonts w:cs="Arial"/>
          <w:color w:val="000000" w:themeColor="text1"/>
          <w14:textFill>
            <w14:solidFill>
              <w14:schemeClr w14:val="tx1"/>
            </w14:solidFill>
          </w14:textFill>
        </w:rPr>
      </w:pPr>
    </w:p>
    <w:p w14:paraId="3648D05C">
      <w:pPr>
        <w:rPr>
          <w:rFonts w:cs="Arial"/>
          <w:color w:val="000000" w:themeColor="text1"/>
          <w:lang w:val="en-GB"/>
          <w14:textFill>
            <w14:solidFill>
              <w14:schemeClr w14:val="tx1"/>
            </w14:solidFill>
          </w14:textFill>
        </w:rPr>
      </w:pPr>
    </w:p>
    <w:p w14:paraId="226E23FA">
      <w:pPr>
        <w:pStyle w:val="4"/>
        <w:numPr>
          <w:ilvl w:val="0"/>
          <w:numId w:val="93"/>
        </w:numPr>
        <w:rPr>
          <w:rFonts w:hint="eastAsia" w:ascii="宋体" w:hAnsi="宋体" w:cs="Arial"/>
          <w:color w:val="000000" w:themeColor="text1"/>
          <w:szCs w:val="21"/>
          <w14:textFill>
            <w14:solidFill>
              <w14:schemeClr w14:val="tx1"/>
            </w14:solidFill>
          </w14:textFill>
        </w:rPr>
      </w:pPr>
      <w:bookmarkStart w:id="388" w:name="_Hlk167975840"/>
      <w:r>
        <w:rPr>
          <w:rFonts w:hint="eastAsia" w:ascii="宋体" w:hAnsi="宋体" w:cs="Arial"/>
          <w:color w:val="000000" w:themeColor="text1"/>
          <w:szCs w:val="21"/>
          <w14:textFill>
            <w14:solidFill>
              <w14:schemeClr w14:val="tx1"/>
            </w14:solidFill>
          </w14:textFill>
        </w:rPr>
        <w:t>处置子公司</w:t>
      </w:r>
    </w:p>
    <w:p w14:paraId="7666FD64">
      <w:pPr>
        <w:rPr>
          <w:color w:val="000000" w:themeColor="text1"/>
          <w14:textFill>
            <w14:solidFill>
              <w14:schemeClr w14:val="tx1"/>
            </w14:solidFill>
          </w14:textFill>
        </w:rPr>
      </w:pPr>
      <w:r>
        <w:rPr>
          <w:rFonts w:hint="eastAsia"/>
          <w:color w:val="000000" w:themeColor="text1"/>
          <w14:textFill>
            <w14:solidFill>
              <w14:schemeClr w14:val="tx1"/>
            </w14:solidFill>
          </w14:textFill>
        </w:rPr>
        <w:t>本期是否存在</w:t>
      </w:r>
      <w:r>
        <w:rPr>
          <w:color w:val="000000" w:themeColor="text1"/>
          <w14:textFill>
            <w14:solidFill>
              <w14:schemeClr w14:val="tx1"/>
            </w14:solidFill>
          </w14:textFill>
        </w:rPr>
        <w:t>丧失</w:t>
      </w:r>
      <w:r>
        <w:rPr>
          <w:rFonts w:hint="eastAsia"/>
          <w:color w:val="000000" w:themeColor="text1"/>
          <w14:textFill>
            <w14:solidFill>
              <w14:schemeClr w14:val="tx1"/>
            </w14:solidFill>
          </w14:textFill>
        </w:rPr>
        <w:t>子公司</w:t>
      </w:r>
      <w:r>
        <w:rPr>
          <w:color w:val="000000" w:themeColor="text1"/>
          <w14:textFill>
            <w14:solidFill>
              <w14:schemeClr w14:val="tx1"/>
            </w14:solidFill>
          </w14:textFill>
        </w:rPr>
        <w:t>控制权</w:t>
      </w:r>
      <w:r>
        <w:rPr>
          <w:rFonts w:hint="eastAsia"/>
          <w:color w:val="000000" w:themeColor="text1"/>
          <w14:textFill>
            <w14:solidFill>
              <w14:schemeClr w14:val="tx1"/>
            </w14:solidFill>
          </w14:textFill>
        </w:rPr>
        <w:t>的交易或事项</w:t>
      </w:r>
    </w:p>
    <w:sdt>
      <w:sdtPr>
        <w:rPr>
          <w:rFonts w:hint="eastAsia" w:cs="Arial"/>
          <w:color w:val="000000" w:themeColor="text1"/>
          <w14:textFill>
            <w14:solidFill>
              <w14:schemeClr w14:val="tx1"/>
            </w14:solidFill>
          </w14:textFill>
        </w:rPr>
        <w:alias w:val="是否存在单次交易处置对子公司投资即丧失控制权的情形[双击切换]"/>
        <w:tag w:val="_GBC_3326559ea8a84c1f80452d301a368ec5"/>
        <w:id w:val="641625650"/>
        <w:placeholder>
          <w:docPart w:val="GBC22222222222222222222222222222"/>
        </w:placeholder>
      </w:sdtPr>
      <w:sdtEndPr>
        <w:rPr>
          <w:rFonts w:hint="eastAsia" w:cs="Arial"/>
          <w:color w:val="000000" w:themeColor="text1"/>
          <w14:textFill>
            <w14:solidFill>
              <w14:schemeClr w14:val="tx1"/>
            </w14:solidFill>
          </w14:textFill>
        </w:rPr>
      </w:sdtEndPr>
      <w:sdtContent>
        <w:p w14:paraId="7E108540">
          <w:pPr>
            <w:rPr>
              <w:rFonts w:cs="Arial"/>
              <w:color w:val="000000" w:themeColor="text1"/>
              <w14:textFill>
                <w14:solidFill>
                  <w14:schemeClr w14:val="tx1"/>
                </w14:solidFill>
              </w14:textFill>
            </w:rPr>
          </w:pPr>
          <w:r>
            <w:rPr>
              <w:rFonts w:ascii="宋体" w:hAnsi="宋体" w:cs="Arial"/>
              <w:color w:val="000000" w:themeColor="text1"/>
              <w14:textFill>
                <w14:solidFill>
                  <w14:schemeClr w14:val="tx1"/>
                </w14:solidFill>
              </w14:textFill>
            </w:rPr>
            <w:fldChar w:fldCharType="begin"/>
          </w:r>
          <w:r>
            <w:rPr>
              <w:rFonts w:hint="eastAsia" w:ascii="宋体" w:hAnsi="宋体" w:cs="Arial"/>
              <w:color w:val="000000" w:themeColor="text1"/>
              <w14:textFill>
                <w14:solidFill>
                  <w14:schemeClr w14:val="tx1"/>
                </w14:solidFill>
              </w14:textFill>
            </w:rPr>
            <w:instrText xml:space="preserve">MACROBUTTON  SnrToggleCheckbox √适用 </w:instrText>
          </w:r>
          <w:r>
            <w:rPr>
              <w:rFonts w:ascii="宋体" w:hAnsi="宋体" w:cs="Arial"/>
              <w:color w:val="000000" w:themeColor="text1"/>
              <w14:textFill>
                <w14:solidFill>
                  <w14:schemeClr w14:val="tx1"/>
                </w14:solidFill>
              </w14:textFill>
            </w:rPr>
            <w:fldChar w:fldCharType="end"/>
          </w:r>
          <w:r>
            <w:rPr>
              <w:rFonts w:ascii="宋体" w:hAnsi="宋体" w:cs="Arial"/>
              <w:color w:val="000000" w:themeColor="text1"/>
              <w14:textFill>
                <w14:solidFill>
                  <w14:schemeClr w14:val="tx1"/>
                </w14:solidFill>
              </w14:textFill>
            </w:rPr>
            <w:fldChar w:fldCharType="begin"/>
          </w:r>
          <w:r>
            <w:rPr>
              <w:rFonts w:hint="eastAsia" w:ascii="宋体" w:hAnsi="宋体" w:cs="Arial"/>
              <w:color w:val="000000" w:themeColor="text1"/>
              <w14:textFill>
                <w14:solidFill>
                  <w14:schemeClr w14:val="tx1"/>
                </w14:solidFill>
              </w14:textFill>
            </w:rPr>
            <w:instrText xml:space="preserve"> MACROBUTTON  SnrToggleCheckbox □不适用 </w:instrText>
          </w:r>
          <w:r>
            <w:rPr>
              <w:rFonts w:ascii="宋体" w:hAnsi="宋体" w:cs="Arial"/>
              <w:color w:val="000000" w:themeColor="text1"/>
              <w14:textFill>
                <w14:solidFill>
                  <w14:schemeClr w14:val="tx1"/>
                </w14:solidFill>
              </w14:textFill>
            </w:rPr>
            <w:fldChar w:fldCharType="end"/>
          </w:r>
        </w:p>
      </w:sdtContent>
    </w:sdt>
    <w:p w14:paraId="0D91F770">
      <w:pPr>
        <w:jc w:val="right"/>
        <w:rPr>
          <w:rFonts w:cs="Arial"/>
          <w:color w:val="000000" w:themeColor="text1"/>
          <w14:textFill>
            <w14:solidFill>
              <w14:schemeClr w14:val="tx1"/>
            </w14:solidFill>
          </w14:textFill>
        </w:rPr>
      </w:pPr>
      <w:r>
        <w:rPr>
          <w:rFonts w:hint="eastAsia" w:cs="Arial"/>
          <w:color w:val="000000" w:themeColor="text1"/>
          <w14:textFill>
            <w14:solidFill>
              <w14:schemeClr w14:val="tx1"/>
            </w14:solidFill>
          </w14:textFill>
        </w:rPr>
        <w:t>单位：</w:t>
      </w:r>
      <w:sdt>
        <w:sdtPr>
          <w:rPr>
            <w:rFonts w:hint="eastAsia" w:cs="Arial"/>
            <w:color w:val="000000" w:themeColor="text1"/>
            <w14:textFill>
              <w14:solidFill>
                <w14:schemeClr w14:val="tx1"/>
              </w14:solidFill>
            </w14:textFill>
          </w:rPr>
          <w:alias w:val="单位：财务附注：单次交易处置对子公司投资即丧失控制权的情形"/>
          <w:tag w:val="_GBC_a079dc7d2e694638a6dc7235bfcbfe33"/>
          <w:id w:val="-740408645"/>
          <w:placeholder>
            <w:docPart w:val="6A59C7CD68E54F05AA9924077F9C83FC"/>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s="Arial"/>
            <w:color w:val="000000" w:themeColor="text1"/>
            <w14:textFill>
              <w14:solidFill>
                <w14:schemeClr w14:val="tx1"/>
              </w14:solidFill>
            </w14:textFill>
          </w:rPr>
        </w:sdtEndPr>
        <w:sdtContent>
          <w:r>
            <w:rPr>
              <w:rFonts w:hint="eastAsia" w:cs="Arial"/>
              <w:color w:val="000000" w:themeColor="text1"/>
              <w14:textFill>
                <w14:solidFill>
                  <w14:schemeClr w14:val="tx1"/>
                </w14:solidFill>
              </w14:textFill>
            </w:rPr>
            <w:t>万元</w:t>
          </w:r>
        </w:sdtContent>
      </w:sdt>
      <w:r>
        <w:rPr>
          <w:rFonts w:hint="eastAsia" w:cs="Arial"/>
          <w:color w:val="000000" w:themeColor="text1"/>
          <w14:textFill>
            <w14:solidFill>
              <w14:schemeClr w14:val="tx1"/>
            </w14:solidFill>
          </w14:textFill>
        </w:rPr>
        <w:t xml:space="preserve"> 币种：</w:t>
      </w:r>
      <w:sdt>
        <w:sdtPr>
          <w:rPr>
            <w:rFonts w:hint="eastAsia" w:cs="Arial"/>
            <w:color w:val="000000" w:themeColor="text1"/>
            <w14:textFill>
              <w14:solidFill>
                <w14:schemeClr w14:val="tx1"/>
              </w14:solidFill>
            </w14:textFill>
          </w:rPr>
          <w:alias w:val="币种：财务附注：单次交易处置对子公司投资即丧失控制权的情形"/>
          <w:tag w:val="_GBC_4ab04d4bc1454d11a829ed53c3ff7e1f"/>
          <w:id w:val="1641309507"/>
          <w:placeholder>
            <w:docPart w:val="6A59C7CD68E54F05AA9924077F9C83FC"/>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s="Arial"/>
            <w:color w:val="000000" w:themeColor="text1"/>
            <w14:textFill>
              <w14:solidFill>
                <w14:schemeClr w14:val="tx1"/>
              </w14:solidFill>
            </w14:textFill>
          </w:rPr>
        </w:sdtEndPr>
        <w:sdtContent>
          <w:r>
            <w:rPr>
              <w:rFonts w:hint="eastAsia" w:cs="Arial"/>
              <w:color w:val="000000" w:themeColor="text1"/>
              <w14:textFill>
                <w14:solidFill>
                  <w14:schemeClr w14:val="tx1"/>
                </w14:solidFill>
              </w14:textFill>
            </w:rPr>
            <w:t>人民币</w:t>
          </w:r>
        </w:sdtContent>
      </w:sdt>
    </w:p>
    <w:tbl>
      <w:tblPr>
        <w:tblStyle w:val="37"/>
        <w:tblW w:w="5778" w:type="pct"/>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397"/>
        <w:gridCol w:w="830"/>
        <w:gridCol w:w="811"/>
        <w:gridCol w:w="1381"/>
        <w:gridCol w:w="1243"/>
        <w:gridCol w:w="1592"/>
        <w:gridCol w:w="888"/>
        <w:gridCol w:w="1141"/>
        <w:gridCol w:w="1131"/>
        <w:gridCol w:w="1240"/>
        <w:gridCol w:w="1554"/>
        <w:gridCol w:w="1701"/>
      </w:tblGrid>
      <w:tr w14:paraId="6F4A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sz w:val="18"/>
              <w:szCs w:val="18"/>
            </w:rPr>
            <w:tag w:val="_PLD_c77296e415ac4281a48ad58564d2f70c"/>
            <w:id w:val="277766346"/>
          </w:sdtPr>
          <w:sdtEndPr>
            <w:rPr>
              <w:sz w:val="18"/>
              <w:szCs w:val="18"/>
            </w:rPr>
          </w:sdtEndPr>
          <w:sdtContent>
            <w:tc>
              <w:tcPr>
                <w:tcW w:w="347" w:type="pct"/>
                <w:vAlign w:val="center"/>
              </w:tcPr>
              <w:p w14:paraId="33CE41BB">
                <w:pPr>
                  <w:pStyle w:val="15"/>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子公司名称</w:t>
                </w:r>
              </w:p>
            </w:tc>
          </w:sdtContent>
        </w:sdt>
        <w:sdt>
          <w:sdtPr>
            <w:rPr>
              <w:sz w:val="18"/>
              <w:szCs w:val="18"/>
            </w:rPr>
            <w:tag w:val="_PLD_40792ecc63a44bb2b462d18a35427a99"/>
            <w:id w:val="-2075651606"/>
          </w:sdtPr>
          <w:sdtEndPr>
            <w:rPr>
              <w:sz w:val="18"/>
              <w:szCs w:val="18"/>
            </w:rPr>
          </w:sdtEndPr>
          <w:sdtContent>
            <w:tc>
              <w:tcPr>
                <w:tcW w:w="436" w:type="pct"/>
                <w:vAlign w:val="center"/>
              </w:tcPr>
              <w:p w14:paraId="0ABC65B3">
                <w:pPr>
                  <w:pStyle w:val="15"/>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丧失控制权的时点</w:t>
                </w:r>
              </w:p>
            </w:tc>
          </w:sdtContent>
        </w:sdt>
        <w:sdt>
          <w:sdtPr>
            <w:rPr>
              <w:sz w:val="18"/>
              <w:szCs w:val="18"/>
            </w:rPr>
            <w:tag w:val="_PLD_26e9f3fa37e04e78b857a214af781e55"/>
            <w:id w:val="-2124064967"/>
          </w:sdtPr>
          <w:sdtEndPr>
            <w:rPr>
              <w:sz w:val="18"/>
              <w:szCs w:val="18"/>
            </w:rPr>
          </w:sdtEndPr>
          <w:sdtContent>
            <w:tc>
              <w:tcPr>
                <w:tcW w:w="259" w:type="pct"/>
                <w:vAlign w:val="center"/>
              </w:tcPr>
              <w:p w14:paraId="7896316E">
                <w:pPr>
                  <w:pStyle w:val="15"/>
                  <w:jc w:val="center"/>
                  <w:rPr>
                    <w:rFonts w:hint="eastAsia" w:ascii="宋体" w:hAnsi="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丧失控制权时点的处置价款</w:t>
                </w:r>
              </w:p>
            </w:tc>
          </w:sdtContent>
        </w:sdt>
        <w:sdt>
          <w:sdtPr>
            <w:rPr>
              <w:sz w:val="18"/>
              <w:szCs w:val="18"/>
            </w:rPr>
            <w:tag w:val="_PLD_87a7891a3dbd4269928003f1e72bc3b6"/>
            <w:id w:val="2094743699"/>
          </w:sdtPr>
          <w:sdtEndPr>
            <w:rPr>
              <w:sz w:val="18"/>
              <w:szCs w:val="18"/>
            </w:rPr>
          </w:sdtEndPr>
          <w:sdtContent>
            <w:tc>
              <w:tcPr>
                <w:tcW w:w="253" w:type="pct"/>
                <w:vAlign w:val="center"/>
              </w:tcPr>
              <w:p w14:paraId="34F34C03">
                <w:pPr>
                  <w:pStyle w:val="15"/>
                  <w:jc w:val="center"/>
                  <w:rPr>
                    <w:rFonts w:hint="eastAsia" w:ascii="宋体" w:hAnsi="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丧失控制权时点的处置比例（%）</w:t>
                </w:r>
              </w:p>
            </w:tc>
          </w:sdtContent>
        </w:sdt>
        <w:sdt>
          <w:sdtPr>
            <w:rPr>
              <w:sz w:val="18"/>
              <w:szCs w:val="18"/>
            </w:rPr>
            <w:tag w:val="_PLD_df1e141754bc4407bebb543cacf95af6"/>
            <w:id w:val="-1523548972"/>
          </w:sdtPr>
          <w:sdtEndPr>
            <w:rPr>
              <w:sz w:val="18"/>
              <w:szCs w:val="18"/>
            </w:rPr>
          </w:sdtEndPr>
          <w:sdtContent>
            <w:tc>
              <w:tcPr>
                <w:tcW w:w="431" w:type="pct"/>
                <w:vAlign w:val="center"/>
              </w:tcPr>
              <w:p w14:paraId="74B7DD16">
                <w:pPr>
                  <w:pStyle w:val="15"/>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丧失控制权时点的处置方式</w:t>
                </w:r>
              </w:p>
            </w:tc>
          </w:sdtContent>
        </w:sdt>
        <w:sdt>
          <w:sdtPr>
            <w:rPr>
              <w:sz w:val="18"/>
              <w:szCs w:val="18"/>
            </w:rPr>
            <w:tag w:val="_PLD_f82ffb7ef97d428284f08baa2b77ad58"/>
            <w:id w:val="1056817525"/>
          </w:sdtPr>
          <w:sdtEndPr>
            <w:rPr>
              <w:sz w:val="18"/>
              <w:szCs w:val="18"/>
            </w:rPr>
          </w:sdtEndPr>
          <w:sdtContent>
            <w:tc>
              <w:tcPr>
                <w:tcW w:w="388" w:type="pct"/>
                <w:vAlign w:val="center"/>
              </w:tcPr>
              <w:p w14:paraId="4CA99891">
                <w:pPr>
                  <w:pStyle w:val="15"/>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丧失控制权时点的判断依据</w:t>
                </w:r>
              </w:p>
            </w:tc>
          </w:sdtContent>
        </w:sdt>
        <w:sdt>
          <w:sdtPr>
            <w:rPr>
              <w:sz w:val="18"/>
              <w:szCs w:val="18"/>
            </w:rPr>
            <w:tag w:val="_PLD_ddf6caea87d3476597d93d9aa139e5c8"/>
            <w:id w:val="-76590529"/>
          </w:sdtPr>
          <w:sdtEndPr>
            <w:rPr>
              <w:sz w:val="18"/>
              <w:szCs w:val="18"/>
            </w:rPr>
          </w:sdtEndPr>
          <w:sdtContent>
            <w:tc>
              <w:tcPr>
                <w:tcW w:w="497" w:type="pct"/>
                <w:vAlign w:val="center"/>
              </w:tcPr>
              <w:p w14:paraId="214ECB05">
                <w:pPr>
                  <w:pStyle w:val="15"/>
                  <w:jc w:val="center"/>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处置价款与处置投资对应的合并财务报表层面享有该子公司净资产份额的差额</w:t>
                </w:r>
              </w:p>
            </w:tc>
          </w:sdtContent>
        </w:sdt>
        <w:sdt>
          <w:sdtPr>
            <w:rPr>
              <w:sz w:val="18"/>
              <w:szCs w:val="18"/>
            </w:rPr>
            <w:tag w:val="_PLD_c3f6d661cbf8452eac5ddc11f8d4eed8"/>
            <w:id w:val="-1949076834"/>
          </w:sdtPr>
          <w:sdtEndPr>
            <w:rPr>
              <w:sz w:val="18"/>
              <w:szCs w:val="18"/>
            </w:rPr>
          </w:sdtEndPr>
          <w:sdtContent>
            <w:tc>
              <w:tcPr>
                <w:tcW w:w="277" w:type="pct"/>
                <w:vAlign w:val="center"/>
              </w:tcPr>
              <w:p w14:paraId="66CF3836">
                <w:pPr>
                  <w:pStyle w:val="15"/>
                  <w:jc w:val="center"/>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丧失控制权之日剩余股权的比例</w:t>
                </w:r>
                <w:r>
                  <w:rPr>
                    <w:rFonts w:hint="eastAsia" w:cs="Arial" w:asciiTheme="minorEastAsia" w:hAnsiTheme="minorEastAsia" w:eastAsiaTheme="minorEastAsia"/>
                    <w:color w:val="000000" w:themeColor="text1"/>
                    <w:sz w:val="18"/>
                    <w:szCs w:val="18"/>
                    <w:lang w:val="en-GB"/>
                    <w14:textFill>
                      <w14:solidFill>
                        <w14:schemeClr w14:val="tx1"/>
                      </w14:solidFill>
                    </w14:textFill>
                  </w:rPr>
                  <w:t>（%）</w:t>
                </w:r>
              </w:p>
            </w:tc>
          </w:sdtContent>
        </w:sdt>
        <w:sdt>
          <w:sdtPr>
            <w:rPr>
              <w:sz w:val="18"/>
              <w:szCs w:val="18"/>
            </w:rPr>
            <w:tag w:val="_PLD_a38ec4c04a064cd4b7fe05d6cbdf8759"/>
            <w:id w:val="1782454629"/>
          </w:sdtPr>
          <w:sdtEndPr>
            <w:rPr>
              <w:sz w:val="18"/>
              <w:szCs w:val="18"/>
            </w:rPr>
          </w:sdtEndPr>
          <w:sdtContent>
            <w:tc>
              <w:tcPr>
                <w:tcW w:w="356" w:type="pct"/>
                <w:vAlign w:val="center"/>
              </w:tcPr>
              <w:p w14:paraId="36AC4EB4">
                <w:pPr>
                  <w:pStyle w:val="15"/>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丧失控制权之日合并财务报表层面剩余股权的账面价值</w:t>
                </w:r>
              </w:p>
            </w:tc>
          </w:sdtContent>
        </w:sdt>
        <w:sdt>
          <w:sdtPr>
            <w:rPr>
              <w:sz w:val="18"/>
              <w:szCs w:val="18"/>
            </w:rPr>
            <w:tag w:val="_PLD_a65b19ee8c99463c8b5b6b19c3adcca1"/>
            <w:id w:val="2052956529"/>
          </w:sdtPr>
          <w:sdtEndPr>
            <w:rPr>
              <w:sz w:val="18"/>
              <w:szCs w:val="18"/>
            </w:rPr>
          </w:sdtEndPr>
          <w:sdtContent>
            <w:tc>
              <w:tcPr>
                <w:tcW w:w="353" w:type="pct"/>
                <w:vAlign w:val="center"/>
              </w:tcPr>
              <w:p w14:paraId="0B541620">
                <w:pPr>
                  <w:pStyle w:val="15"/>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丧失控制权之日合并财务报表层面剩余股权的公允价值</w:t>
                </w:r>
              </w:p>
            </w:tc>
          </w:sdtContent>
        </w:sdt>
        <w:sdt>
          <w:sdtPr>
            <w:rPr>
              <w:sz w:val="18"/>
              <w:szCs w:val="18"/>
            </w:rPr>
            <w:tag w:val="_PLD_34835d0139aa4d5eb7eaa2f47566b6fb"/>
            <w:id w:val="-542827489"/>
          </w:sdtPr>
          <w:sdtEndPr>
            <w:rPr>
              <w:sz w:val="18"/>
              <w:szCs w:val="18"/>
            </w:rPr>
          </w:sdtEndPr>
          <w:sdtContent>
            <w:tc>
              <w:tcPr>
                <w:tcW w:w="387" w:type="pct"/>
                <w:vAlign w:val="center"/>
              </w:tcPr>
              <w:p w14:paraId="33E18F16">
                <w:pPr>
                  <w:pStyle w:val="15"/>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按照公允价值重新计量剩余股权产生的利得或损失</w:t>
                </w:r>
              </w:p>
            </w:tc>
          </w:sdtContent>
        </w:sdt>
        <w:sdt>
          <w:sdtPr>
            <w:rPr>
              <w:sz w:val="18"/>
              <w:szCs w:val="18"/>
            </w:rPr>
            <w:tag w:val="_PLD_01d9c0ea306d42a88e5557becb63b0b2"/>
            <w:id w:val="612179077"/>
          </w:sdtPr>
          <w:sdtEndPr>
            <w:rPr>
              <w:sz w:val="18"/>
              <w:szCs w:val="18"/>
            </w:rPr>
          </w:sdtEndPr>
          <w:sdtContent>
            <w:tc>
              <w:tcPr>
                <w:tcW w:w="485" w:type="pct"/>
                <w:vAlign w:val="center"/>
              </w:tcPr>
              <w:p w14:paraId="6F3B0114">
                <w:pPr>
                  <w:pStyle w:val="15"/>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丧失控制权之日合并财务报表层面剩余股权公允价值的确定方法及主要假设</w:t>
                </w:r>
              </w:p>
            </w:tc>
          </w:sdtContent>
        </w:sdt>
        <w:sdt>
          <w:sdtPr>
            <w:rPr>
              <w:sz w:val="18"/>
              <w:szCs w:val="18"/>
            </w:rPr>
            <w:tag w:val="_PLD_0f257a3422164fae8a2d5121b41f626f"/>
            <w:id w:val="1458295947"/>
          </w:sdtPr>
          <w:sdtEndPr>
            <w:rPr>
              <w:sz w:val="18"/>
              <w:szCs w:val="18"/>
            </w:rPr>
          </w:sdtEndPr>
          <w:sdtContent>
            <w:tc>
              <w:tcPr>
                <w:tcW w:w="531" w:type="pct"/>
                <w:vAlign w:val="center"/>
              </w:tcPr>
              <w:p w14:paraId="45A53E0C">
                <w:pPr>
                  <w:pStyle w:val="15"/>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与原子公司股权投资相关的其他综合收益转入投资损益或留存收益的金额</w:t>
                </w:r>
              </w:p>
            </w:tc>
          </w:sdtContent>
        </w:sdt>
      </w:tr>
      <w:tr w14:paraId="51AE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 w:type="pct"/>
          </w:tcPr>
          <w:p w14:paraId="0BCDAF5C">
            <w:pPr>
              <w:pStyle w:val="15"/>
              <w:rPr>
                <w:rFonts w:hint="eastAsia" w:ascii="宋体" w:hAnsi="宋体"/>
                <w:sz w:val="18"/>
                <w:szCs w:val="18"/>
              </w:rPr>
            </w:pPr>
            <w:r>
              <w:rPr>
                <w:rFonts w:hint="eastAsia" w:ascii="宋体" w:hAnsi="宋体"/>
                <w:sz w:val="18"/>
                <w:szCs w:val="18"/>
              </w:rPr>
              <w:t>防城港市好当家海洋捕捞有限公司</w:t>
            </w:r>
          </w:p>
        </w:tc>
        <w:tc>
          <w:tcPr>
            <w:tcW w:w="436" w:type="pct"/>
            <w:vAlign w:val="center"/>
          </w:tcPr>
          <w:p w14:paraId="6CCD0182">
            <w:pPr>
              <w:pStyle w:val="15"/>
              <w:rPr>
                <w:rFonts w:hint="eastAsia" w:ascii="宋体" w:hAnsi="宋体"/>
                <w:sz w:val="18"/>
                <w:szCs w:val="18"/>
              </w:rPr>
            </w:pPr>
            <w:r>
              <w:rPr>
                <w:rFonts w:hint="eastAsia" w:ascii="宋体" w:hAnsi="宋体"/>
                <w:sz w:val="18"/>
                <w:szCs w:val="18"/>
              </w:rPr>
              <w:t>2026-2-28</w:t>
            </w:r>
          </w:p>
        </w:tc>
        <w:tc>
          <w:tcPr>
            <w:tcW w:w="259" w:type="pct"/>
            <w:vAlign w:val="center"/>
          </w:tcPr>
          <w:p w14:paraId="0FBFD50F">
            <w:pPr>
              <w:pStyle w:val="15"/>
              <w:jc w:val="right"/>
              <w:rPr>
                <w:rFonts w:hint="eastAsia" w:ascii="宋体" w:hAnsi="宋体"/>
                <w:sz w:val="18"/>
                <w:szCs w:val="18"/>
              </w:rPr>
            </w:pPr>
            <w:r>
              <w:rPr>
                <w:rFonts w:hint="eastAsia" w:ascii="宋体" w:hAnsi="宋体"/>
                <w:sz w:val="18"/>
                <w:szCs w:val="18"/>
              </w:rPr>
              <w:t>600</w:t>
            </w:r>
          </w:p>
        </w:tc>
        <w:tc>
          <w:tcPr>
            <w:tcW w:w="253" w:type="pct"/>
            <w:vAlign w:val="center"/>
          </w:tcPr>
          <w:p w14:paraId="4D5D6B9A">
            <w:pPr>
              <w:pStyle w:val="15"/>
              <w:jc w:val="right"/>
              <w:rPr>
                <w:rFonts w:hint="eastAsia" w:ascii="宋体" w:hAnsi="宋体"/>
                <w:sz w:val="18"/>
                <w:szCs w:val="18"/>
              </w:rPr>
            </w:pPr>
            <w:r>
              <w:rPr>
                <w:rFonts w:hint="eastAsia" w:ascii="宋体" w:hAnsi="宋体"/>
                <w:sz w:val="18"/>
                <w:szCs w:val="18"/>
              </w:rPr>
              <w:t>100</w:t>
            </w:r>
          </w:p>
        </w:tc>
        <w:tc>
          <w:tcPr>
            <w:tcW w:w="431" w:type="pct"/>
            <w:vAlign w:val="center"/>
          </w:tcPr>
          <w:p w14:paraId="13F5D3E8">
            <w:pPr>
              <w:pStyle w:val="15"/>
              <w:jc w:val="center"/>
              <w:rPr>
                <w:rFonts w:hint="eastAsia" w:ascii="宋体" w:hAnsi="宋体"/>
                <w:sz w:val="18"/>
                <w:szCs w:val="18"/>
              </w:rPr>
            </w:pPr>
            <w:r>
              <w:rPr>
                <w:rFonts w:hint="eastAsia" w:ascii="宋体" w:hAnsi="宋体"/>
                <w:sz w:val="18"/>
                <w:szCs w:val="18"/>
              </w:rPr>
              <w:t>全部处置</w:t>
            </w:r>
          </w:p>
        </w:tc>
        <w:tc>
          <w:tcPr>
            <w:tcW w:w="388" w:type="pct"/>
            <w:vAlign w:val="center"/>
          </w:tcPr>
          <w:p w14:paraId="58CF2067">
            <w:pPr>
              <w:pStyle w:val="15"/>
              <w:rPr>
                <w:rFonts w:hint="eastAsia" w:ascii="宋体" w:hAnsi="宋体"/>
                <w:sz w:val="18"/>
                <w:szCs w:val="18"/>
              </w:rPr>
            </w:pPr>
            <w:r>
              <w:rPr>
                <w:rFonts w:hint="eastAsia" w:ascii="宋体" w:hAnsi="宋体"/>
                <w:sz w:val="18"/>
                <w:szCs w:val="18"/>
              </w:rPr>
              <w:t>完成工商变更船舶资产完成交接</w:t>
            </w:r>
          </w:p>
        </w:tc>
        <w:tc>
          <w:tcPr>
            <w:tcW w:w="497" w:type="pct"/>
            <w:vAlign w:val="center"/>
          </w:tcPr>
          <w:p w14:paraId="1D1B074E">
            <w:pPr>
              <w:pStyle w:val="15"/>
              <w:jc w:val="right"/>
              <w:rPr>
                <w:rFonts w:hint="eastAsia" w:ascii="宋体" w:hAnsi="宋体"/>
                <w:sz w:val="18"/>
                <w:szCs w:val="18"/>
              </w:rPr>
            </w:pPr>
            <w:r>
              <w:rPr>
                <w:rFonts w:hint="eastAsia" w:ascii="宋体" w:hAnsi="宋体"/>
                <w:sz w:val="18"/>
                <w:szCs w:val="18"/>
              </w:rPr>
              <w:t>190.68</w:t>
            </w:r>
          </w:p>
        </w:tc>
        <w:tc>
          <w:tcPr>
            <w:tcW w:w="277" w:type="pct"/>
          </w:tcPr>
          <w:p w14:paraId="30F406CA">
            <w:pPr>
              <w:pStyle w:val="15"/>
              <w:jc w:val="right"/>
              <w:rPr>
                <w:rFonts w:hint="eastAsia" w:ascii="宋体" w:hAnsi="宋体"/>
                <w:sz w:val="18"/>
                <w:szCs w:val="18"/>
              </w:rPr>
            </w:pPr>
          </w:p>
        </w:tc>
        <w:tc>
          <w:tcPr>
            <w:tcW w:w="356" w:type="pct"/>
          </w:tcPr>
          <w:p w14:paraId="1CB549DA">
            <w:pPr>
              <w:pStyle w:val="15"/>
              <w:jc w:val="right"/>
              <w:rPr>
                <w:rFonts w:hint="eastAsia" w:ascii="宋体" w:hAnsi="宋体"/>
                <w:sz w:val="18"/>
                <w:szCs w:val="18"/>
              </w:rPr>
            </w:pPr>
          </w:p>
        </w:tc>
        <w:tc>
          <w:tcPr>
            <w:tcW w:w="353" w:type="pct"/>
          </w:tcPr>
          <w:p w14:paraId="71DEFB32">
            <w:pPr>
              <w:pStyle w:val="15"/>
              <w:jc w:val="right"/>
              <w:rPr>
                <w:rFonts w:hint="eastAsia" w:ascii="宋体" w:hAnsi="宋体"/>
                <w:sz w:val="18"/>
                <w:szCs w:val="18"/>
              </w:rPr>
            </w:pPr>
          </w:p>
        </w:tc>
        <w:tc>
          <w:tcPr>
            <w:tcW w:w="387" w:type="pct"/>
          </w:tcPr>
          <w:p w14:paraId="1257A68D">
            <w:pPr>
              <w:pStyle w:val="15"/>
              <w:jc w:val="right"/>
              <w:rPr>
                <w:rFonts w:hint="eastAsia" w:ascii="宋体" w:hAnsi="宋体"/>
                <w:sz w:val="18"/>
                <w:szCs w:val="18"/>
              </w:rPr>
            </w:pPr>
          </w:p>
        </w:tc>
        <w:tc>
          <w:tcPr>
            <w:tcW w:w="485" w:type="pct"/>
          </w:tcPr>
          <w:p w14:paraId="479D2C97">
            <w:pPr>
              <w:pStyle w:val="15"/>
              <w:rPr>
                <w:rFonts w:hint="eastAsia" w:ascii="宋体" w:hAnsi="宋体"/>
                <w:sz w:val="18"/>
                <w:szCs w:val="18"/>
              </w:rPr>
            </w:pPr>
          </w:p>
        </w:tc>
        <w:tc>
          <w:tcPr>
            <w:tcW w:w="531" w:type="pct"/>
          </w:tcPr>
          <w:p w14:paraId="73C46DA0">
            <w:pPr>
              <w:pStyle w:val="15"/>
              <w:jc w:val="right"/>
              <w:rPr>
                <w:rFonts w:hint="eastAsia" w:ascii="宋体" w:hAnsi="宋体"/>
                <w:sz w:val="18"/>
                <w:szCs w:val="18"/>
              </w:rPr>
            </w:pPr>
          </w:p>
        </w:tc>
      </w:tr>
    </w:tbl>
    <w:p w14:paraId="35B13873"/>
    <w:p w14:paraId="4A33FF22">
      <w:pPr>
        <w:rPr>
          <w:color w:val="000000" w:themeColor="text1"/>
          <w14:textFill>
            <w14:solidFill>
              <w14:schemeClr w14:val="tx1"/>
            </w14:solidFill>
          </w14:textFill>
        </w:rPr>
      </w:pPr>
    </w:p>
    <w:p w14:paraId="5AD4D678">
      <w:pPr>
        <w:rPr>
          <w:rFonts w:cs="Arial"/>
          <w:color w:val="000000" w:themeColor="text1"/>
          <w14:textFill>
            <w14:solidFill>
              <w14:schemeClr w14:val="tx1"/>
            </w14:solidFill>
          </w14:textFill>
        </w:rPr>
      </w:pPr>
      <w:r>
        <w:rPr>
          <w:rFonts w:hint="eastAsia" w:cs="Arial"/>
          <w:color w:val="000000" w:themeColor="text1"/>
          <w14:textFill>
            <w14:solidFill>
              <w14:schemeClr w14:val="tx1"/>
            </w14:solidFill>
          </w14:textFill>
        </w:rPr>
        <w:t>其他说明：</w:t>
      </w:r>
    </w:p>
    <w:sdt>
      <w:sdtPr>
        <w:rPr>
          <w:rFonts w:cs="Arial"/>
          <w:color w:val="000000" w:themeColor="text1"/>
          <w14:textFill>
            <w14:solidFill>
              <w14:schemeClr w14:val="tx1"/>
            </w14:solidFill>
          </w14:textFill>
        </w:rPr>
        <w:alias w:val="是否适用：单次交易处置对子公司投资即丧失控制权的情形的说明[双击切换]"/>
        <w:tag w:val="_GBC_29528d4c1c444136b1c9a196f82e0e52"/>
        <w:id w:val="1417279377"/>
        <w:placeholder>
          <w:docPart w:val="GBC22222222222222222222222222222"/>
        </w:placeholder>
      </w:sdtPr>
      <w:sdtEndPr>
        <w:rPr>
          <w:rFonts w:cs="Arial"/>
          <w:color w:val="000000" w:themeColor="text1"/>
          <w14:textFill>
            <w14:solidFill>
              <w14:schemeClr w14:val="tx1"/>
            </w14:solidFill>
          </w14:textFill>
        </w:rPr>
      </w:sdtEndPr>
      <w:sdtContent>
        <w:p w14:paraId="27284E11">
          <w:pPr>
            <w:rPr>
              <w:color w:val="000000" w:themeColor="text1"/>
              <w14:textFill>
                <w14:solidFill>
                  <w14:schemeClr w14:val="tx1"/>
                </w14:solidFill>
              </w14:textFill>
            </w:rPr>
          </w:pPr>
          <w:r>
            <w:rPr>
              <w:rFonts w:ascii="宋体" w:hAnsi="宋体" w:cs="Arial"/>
              <w:color w:val="000000" w:themeColor="text1"/>
              <w14:textFill>
                <w14:solidFill>
                  <w14:schemeClr w14:val="tx1"/>
                </w14:solidFill>
              </w14:textFill>
            </w:rPr>
            <w:fldChar w:fldCharType="begin"/>
          </w:r>
          <w:r>
            <w:rPr>
              <w:rFonts w:hint="eastAsia" w:ascii="宋体" w:hAnsi="宋体" w:cs="Arial"/>
              <w:color w:val="000000" w:themeColor="text1"/>
              <w14:textFill>
                <w14:solidFill>
                  <w14:schemeClr w14:val="tx1"/>
                </w14:solidFill>
              </w14:textFill>
            </w:rPr>
            <w:instrText xml:space="preserve">MACROBUTTON  SnrToggleCheckbox □适用 </w:instrText>
          </w:r>
          <w:r>
            <w:rPr>
              <w:rFonts w:ascii="宋体" w:hAnsi="宋体" w:cs="Arial"/>
              <w:color w:val="000000" w:themeColor="text1"/>
              <w14:textFill>
                <w14:solidFill>
                  <w14:schemeClr w14:val="tx1"/>
                </w14:solidFill>
              </w14:textFill>
            </w:rPr>
            <w:fldChar w:fldCharType="end"/>
          </w:r>
          <w:r>
            <w:rPr>
              <w:rFonts w:ascii="宋体" w:hAnsi="宋体" w:cs="Arial"/>
              <w:color w:val="000000" w:themeColor="text1"/>
              <w14:textFill>
                <w14:solidFill>
                  <w14:schemeClr w14:val="tx1"/>
                </w14:solidFill>
              </w14:textFill>
            </w:rPr>
            <w:fldChar w:fldCharType="begin"/>
          </w:r>
          <w:r>
            <w:rPr>
              <w:rFonts w:hint="eastAsia" w:ascii="宋体" w:hAnsi="宋体" w:cs="Arial"/>
              <w:color w:val="000000" w:themeColor="text1"/>
              <w14:textFill>
                <w14:solidFill>
                  <w14:schemeClr w14:val="tx1"/>
                </w14:solidFill>
              </w14:textFill>
            </w:rPr>
            <w:instrText xml:space="preserve"> MACROBUTTON  SnrToggleCheckbox √不适用 </w:instrText>
          </w:r>
          <w:r>
            <w:rPr>
              <w:rFonts w:ascii="宋体" w:hAnsi="宋体" w:cs="Arial"/>
              <w:color w:val="000000" w:themeColor="text1"/>
              <w14:textFill>
                <w14:solidFill>
                  <w14:schemeClr w14:val="tx1"/>
                </w14:solidFill>
              </w14:textFill>
            </w:rPr>
            <w:fldChar w:fldCharType="end"/>
          </w:r>
        </w:p>
      </w:sdtContent>
    </w:sdt>
    <w:p w14:paraId="50479F18">
      <w:pPr>
        <w:pStyle w:val="15"/>
        <w:rPr>
          <w:color w:val="000000" w:themeColor="text1"/>
          <w14:textFill>
            <w14:solidFill>
              <w14:schemeClr w14:val="tx1"/>
            </w14:solidFill>
          </w14:textFill>
        </w:rPr>
      </w:pPr>
    </w:p>
    <w:p w14:paraId="66AF290B">
      <w:pPr>
        <w:rPr>
          <w:rFonts w:cs="Arial"/>
          <w:color w:val="000000" w:themeColor="text1"/>
          <w14:textFill>
            <w14:solidFill>
              <w14:schemeClr w14:val="tx1"/>
            </w14:solidFill>
          </w14:textFill>
        </w:rPr>
      </w:pPr>
      <w:bookmarkStart w:id="389" w:name="_Hlk153549147"/>
      <w:r>
        <w:rPr>
          <w:rFonts w:hint="eastAsia" w:cs="Arial"/>
          <w:color w:val="000000" w:themeColor="text1"/>
          <w14:textFill>
            <w14:solidFill>
              <w14:schemeClr w14:val="tx1"/>
            </w14:solidFill>
          </w14:textFill>
        </w:rPr>
        <w:t>是否存在通过多次交易分步处置对子公司投资且在本期丧失控制权的情形</w:t>
      </w:r>
    </w:p>
    <w:sdt>
      <w:sdtPr>
        <w:rPr>
          <w:rFonts w:hint="eastAsia"/>
          <w:color w:val="000000" w:themeColor="text1"/>
          <w14:textFill>
            <w14:solidFill>
              <w14:schemeClr w14:val="tx1"/>
            </w14:solidFill>
          </w14:textFill>
        </w:rPr>
        <w:alias w:val="是否存在通过多次交易分步处置对子公司投资且在本期丧失控制权的情形[双击切换]"/>
        <w:tag w:val="_GBC_1aa1c46a77684c9fbd35fa14e4e37b0c"/>
        <w:id w:val="-1611356780"/>
        <w:placeholder>
          <w:docPart w:val="GBC22222222222222222222222222222"/>
        </w:placeholder>
      </w:sdtPr>
      <w:sdtEndPr>
        <w:rPr>
          <w:rFonts w:hint="eastAsia"/>
          <w:color w:val="000000" w:themeColor="text1"/>
          <w14:textFill>
            <w14:solidFill>
              <w14:schemeClr w14:val="tx1"/>
            </w14:solidFill>
          </w14:textFill>
        </w:rPr>
      </w:sdtEndPr>
      <w:sdtContent>
        <w:p w14:paraId="62F9721C">
          <w:pPr>
            <w:pStyle w:val="15"/>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7AD3FF6"/>
    <w:bookmarkEnd w:id="389"/>
    <w:p w14:paraId="169B96E8">
      <w:pPr>
        <w:rPr>
          <w:rFonts w:cs="Arial"/>
          <w:color w:val="000000" w:themeColor="text1"/>
          <w14:textFill>
            <w14:solidFill>
              <w14:schemeClr w14:val="tx1"/>
            </w14:solidFill>
          </w14:textFill>
        </w:rPr>
      </w:pPr>
      <w:r>
        <w:rPr>
          <w:rFonts w:hint="eastAsia" w:cs="Arial"/>
          <w:color w:val="000000" w:themeColor="text1"/>
          <w14:textFill>
            <w14:solidFill>
              <w14:schemeClr w14:val="tx1"/>
            </w14:solidFill>
          </w14:textFill>
        </w:rPr>
        <w:t>其他说明：</w:t>
      </w:r>
    </w:p>
    <w:sdt>
      <w:sdtPr>
        <w:rPr>
          <w:rFonts w:cs="Arial"/>
          <w:color w:val="000000" w:themeColor="text1"/>
          <w14:textFill>
            <w14:solidFill>
              <w14:schemeClr w14:val="tx1"/>
            </w14:solidFill>
          </w14:textFill>
        </w:rPr>
        <w:alias w:val="是否适用：是否存在通过多次交易分步处置对子公司投资且在本期丧失控制权的情形的说明[双击切换]"/>
        <w:tag w:val="_GBC_4d734455db284d62936c6dddb9394149"/>
        <w:id w:val="881986554"/>
        <w:placeholder>
          <w:docPart w:val="GBC22222222222222222222222222222"/>
        </w:placeholder>
      </w:sdtPr>
      <w:sdtEndPr>
        <w:rPr>
          <w:rFonts w:cs="Arial"/>
          <w:color w:val="000000" w:themeColor="text1"/>
          <w14:textFill>
            <w14:solidFill>
              <w14:schemeClr w14:val="tx1"/>
            </w14:solidFill>
          </w14:textFill>
        </w:rPr>
      </w:sdtEndPr>
      <w:sdtContent>
        <w:p w14:paraId="1201023C">
          <w:pPr>
            <w:rPr>
              <w:rFonts w:ascii="Calibri" w:hAnsi="Calibri" w:cs="Arial"/>
              <w:color w:val="000000" w:themeColor="text1"/>
              <w14:textFill>
                <w14:solidFill>
                  <w14:schemeClr w14:val="tx1"/>
                </w14:solidFill>
              </w14:textFill>
            </w:rPr>
          </w:pPr>
          <w:r>
            <w:rPr>
              <w:rFonts w:ascii="宋体" w:hAnsi="宋体" w:cs="Arial"/>
              <w:color w:val="000000" w:themeColor="text1"/>
              <w14:textFill>
                <w14:solidFill>
                  <w14:schemeClr w14:val="tx1"/>
                </w14:solidFill>
              </w14:textFill>
            </w:rPr>
            <w:fldChar w:fldCharType="begin"/>
          </w:r>
          <w:r>
            <w:rPr>
              <w:rFonts w:hint="eastAsia" w:ascii="宋体" w:hAnsi="宋体" w:cs="Arial"/>
              <w:color w:val="000000" w:themeColor="text1"/>
              <w14:textFill>
                <w14:solidFill>
                  <w14:schemeClr w14:val="tx1"/>
                </w14:solidFill>
              </w14:textFill>
            </w:rPr>
            <w:instrText xml:space="preserve"> MACROBUTTON  SnrToggleCheckbox □适用 </w:instrText>
          </w:r>
          <w:r>
            <w:rPr>
              <w:rFonts w:ascii="宋体" w:hAnsi="宋体" w:cs="Arial"/>
              <w:color w:val="000000" w:themeColor="text1"/>
              <w14:textFill>
                <w14:solidFill>
                  <w14:schemeClr w14:val="tx1"/>
                </w14:solidFill>
              </w14:textFill>
            </w:rPr>
            <w:fldChar w:fldCharType="end"/>
          </w:r>
          <w:r>
            <w:rPr>
              <w:rFonts w:ascii="宋体" w:hAnsi="宋体" w:cs="Arial"/>
              <w:color w:val="000000" w:themeColor="text1"/>
              <w14:textFill>
                <w14:solidFill>
                  <w14:schemeClr w14:val="tx1"/>
                </w14:solidFill>
              </w14:textFill>
            </w:rPr>
            <w:fldChar w:fldCharType="begin"/>
          </w:r>
          <w:r>
            <w:rPr>
              <w:rFonts w:hint="eastAsia" w:ascii="宋体" w:hAnsi="宋体" w:cs="Arial"/>
              <w:color w:val="000000" w:themeColor="text1"/>
              <w14:textFill>
                <w14:solidFill>
                  <w14:schemeClr w14:val="tx1"/>
                </w14:solidFill>
              </w14:textFill>
            </w:rPr>
            <w:instrText xml:space="preserve"> MACROBUTTON  SnrToggleCheckbox √不适用 </w:instrText>
          </w:r>
          <w:r>
            <w:rPr>
              <w:rFonts w:ascii="宋体" w:hAnsi="宋体" w:cs="Arial"/>
              <w:color w:val="000000" w:themeColor="text1"/>
              <w14:textFill>
                <w14:solidFill>
                  <w14:schemeClr w14:val="tx1"/>
                </w14:solidFill>
              </w14:textFill>
            </w:rPr>
            <w:fldChar w:fldCharType="end"/>
          </w:r>
        </w:p>
      </w:sdtContent>
    </w:sdt>
    <w:p w14:paraId="4BBF6AAC">
      <w:pPr>
        <w:rPr>
          <w:rFonts w:ascii="Calibri" w:hAnsi="Calibri" w:cs="Arial"/>
          <w:color w:val="000000" w:themeColor="text1"/>
          <w14:textFill>
            <w14:solidFill>
              <w14:schemeClr w14:val="tx1"/>
            </w14:solidFill>
          </w14:textFill>
        </w:rPr>
      </w:pPr>
    </w:p>
    <w:bookmarkEnd w:id="388"/>
    <w:p w14:paraId="096C2F24">
      <w:pPr>
        <w:pStyle w:val="4"/>
        <w:numPr>
          <w:ilvl w:val="0"/>
          <w:numId w:val="93"/>
        </w:numPr>
        <w:rPr>
          <w:rFonts w:hint="eastAsia" w:ascii="宋体" w:hAnsi="宋体" w:cs="Arial"/>
          <w:color w:val="000000" w:themeColor="text1"/>
          <w14:textFill>
            <w14:solidFill>
              <w14:schemeClr w14:val="tx1"/>
            </w14:solidFill>
          </w14:textFill>
        </w:rPr>
      </w:pPr>
      <w:r>
        <w:rPr>
          <w:rFonts w:hint="eastAsia" w:ascii="宋体" w:hAnsi="宋体" w:cs="Arial"/>
          <w:color w:val="000000" w:themeColor="text1"/>
          <w14:textFill>
            <w14:solidFill>
              <w14:schemeClr w14:val="tx1"/>
            </w14:solidFill>
          </w14:textFill>
        </w:rPr>
        <w:t>其他原因的合并范围变动</w:t>
      </w:r>
    </w:p>
    <w:p w14:paraId="165925B6">
      <w:pPr>
        <w:rPr>
          <w:color w:val="000000" w:themeColor="text1"/>
          <w14:textFill>
            <w14:solidFill>
              <w14:schemeClr w14:val="tx1"/>
            </w14:solidFill>
          </w14:textFill>
        </w:rPr>
      </w:pPr>
      <w:r>
        <w:rPr>
          <w:rFonts w:hint="eastAsia"/>
          <w:color w:val="000000" w:themeColor="text1"/>
          <w14:textFill>
            <w14:solidFill>
              <w14:schemeClr w14:val="tx1"/>
            </w14:solidFill>
          </w14:textFill>
        </w:rPr>
        <w:t>说明其他原因导致的合并范围变动（如，新设子公司、清算子公司等）及其相关情况：</w:t>
      </w:r>
    </w:p>
    <w:sdt>
      <w:sdtPr>
        <w:rPr>
          <w:color w:val="000000" w:themeColor="text1"/>
          <w14:textFill>
            <w14:solidFill>
              <w14:schemeClr w14:val="tx1"/>
            </w14:solidFill>
          </w14:textFill>
        </w:rPr>
        <w:alias w:val="是否适用：其他原因导致的合并范围变动及其相关情况[双击切换]"/>
        <w:tag w:val="_GBC_55cbf4f78793498cb1532f08bfbb61f4"/>
        <w:id w:val="-1809474163"/>
        <w:placeholder>
          <w:docPart w:val="GBC22222222222222222222222222222"/>
        </w:placeholder>
      </w:sdtPr>
      <w:sdtEndPr>
        <w:rPr>
          <w:color w:val="000000" w:themeColor="text1"/>
          <w14:textFill>
            <w14:solidFill>
              <w14:schemeClr w14:val="tx1"/>
            </w14:solidFill>
          </w14:textFill>
        </w:rPr>
      </w:sdtEndPr>
      <w:sdtContent>
        <w:p w14:paraId="627D51E4">
          <w:pPr>
            <w:rPr>
              <w:rFonts w:cs="Arial"/>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CBB95A1">
      <w:pPr>
        <w:rPr>
          <w:rFonts w:cs="Arial"/>
          <w:color w:val="000000" w:themeColor="text1"/>
          <w14:textFill>
            <w14:solidFill>
              <w14:schemeClr w14:val="tx1"/>
            </w14:solidFill>
          </w14:textFill>
        </w:rPr>
      </w:pPr>
    </w:p>
    <w:p w14:paraId="436840B7">
      <w:pPr>
        <w:pStyle w:val="4"/>
        <w:numPr>
          <w:ilvl w:val="0"/>
          <w:numId w:val="93"/>
        </w:numPr>
        <w:rPr>
          <w:rFonts w:hint="eastAsia" w:ascii="宋体" w:hAnsi="宋体" w:cs="Arial"/>
          <w:color w:val="000000" w:themeColor="text1"/>
          <w14:textFill>
            <w14:solidFill>
              <w14:schemeClr w14:val="tx1"/>
            </w14:solidFill>
          </w14:textFill>
        </w:rPr>
      </w:pPr>
      <w:r>
        <w:rPr>
          <w:rFonts w:hint="eastAsia" w:ascii="宋体" w:hAnsi="宋体" w:cs="Arial"/>
          <w:color w:val="000000" w:themeColor="text1"/>
          <w14:textFill>
            <w14:solidFill>
              <w14:schemeClr w14:val="tx1"/>
            </w14:solidFill>
          </w14:textFill>
        </w:rPr>
        <w:t>其他</w:t>
      </w:r>
    </w:p>
    <w:sdt>
      <w:sdtPr>
        <w:rPr>
          <w:color w:val="000000" w:themeColor="text1"/>
          <w14:textFill>
            <w14:solidFill>
              <w14:schemeClr w14:val="tx1"/>
            </w14:solidFill>
          </w14:textFill>
        </w:rPr>
        <w:alias w:val="是否适用：合并范围的变更-其他说明[双击切换]"/>
        <w:tag w:val="_GBC_cca0ea12df6c44878cdcbeced06ed993"/>
        <w:id w:val="-778480931"/>
        <w:placeholder>
          <w:docPart w:val="GBC22222222222222222222222222222"/>
        </w:placeholder>
      </w:sdtPr>
      <w:sdtEndPr>
        <w:rPr>
          <w:color w:val="000000" w:themeColor="text1"/>
          <w14:textFill>
            <w14:solidFill>
              <w14:schemeClr w14:val="tx1"/>
            </w14:solidFill>
          </w14:textFill>
        </w:rPr>
      </w:sdtEndPr>
      <w:sdtContent>
        <w:p w14:paraId="19B12D03">
          <w:pPr>
            <w:rPr>
              <w:rFonts w:cs="Arial"/>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D188D34">
      <w:pPr>
        <w:rPr>
          <w:color w:val="000000" w:themeColor="text1"/>
          <w14:textFill>
            <w14:solidFill>
              <w14:schemeClr w14:val="tx1"/>
            </w14:solidFill>
          </w14:textFill>
        </w:rPr>
      </w:pPr>
    </w:p>
    <w:p w14:paraId="71EDD7CF">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在其他主体中的权益</w:t>
      </w:r>
    </w:p>
    <w:p w14:paraId="4C7D0AD2">
      <w:pPr>
        <w:pStyle w:val="4"/>
        <w:numPr>
          <w:ilvl w:val="2"/>
          <w:numId w:val="94"/>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在子公司中的权益</w:t>
      </w:r>
    </w:p>
    <w:p w14:paraId="74150668">
      <w:pPr>
        <w:pStyle w:val="5"/>
        <w:numPr>
          <w:ilvl w:val="3"/>
          <w:numId w:val="95"/>
        </w:numPr>
        <w:ind w:left="426" w:hanging="426" w:hangingChars="202"/>
        <w:rPr>
          <w:color w:val="000000" w:themeColor="text1"/>
          <w14:textFill>
            <w14:solidFill>
              <w14:schemeClr w14:val="tx1"/>
            </w14:solidFill>
          </w14:textFill>
        </w:rPr>
      </w:pPr>
      <w:bookmarkStart w:id="390" w:name="_Hlk167975969"/>
      <w:r>
        <w:rPr>
          <w:rFonts w:hint="eastAsia"/>
          <w:color w:val="000000" w:themeColor="text1"/>
          <w14:textFill>
            <w14:solidFill>
              <w14:schemeClr w14:val="tx1"/>
            </w14:solidFill>
          </w14:textFill>
        </w:rPr>
        <w:t>企业集团的构成</w:t>
      </w:r>
    </w:p>
    <w:sdt>
      <w:sdtPr>
        <w:rPr>
          <w:color w:val="000000" w:themeColor="text1"/>
          <w14:textFill>
            <w14:solidFill>
              <w14:schemeClr w14:val="tx1"/>
            </w14:solidFill>
          </w14:textFill>
        </w:rPr>
        <w:alias w:val="是否适用：企业集团的构成[双击切换]"/>
        <w:tag w:val="_GBC_d1c28d303a594095b9e1cc6b9a265571"/>
        <w:id w:val="-165788843"/>
        <w:placeholder>
          <w:docPart w:val="GBC22222222222222222222222222222"/>
        </w:placeholder>
      </w:sdtPr>
      <w:sdtEndPr>
        <w:rPr>
          <w:color w:val="000000" w:themeColor="text1"/>
          <w14:textFill>
            <w14:solidFill>
              <w14:schemeClr w14:val="tx1"/>
            </w14:solidFill>
          </w14:textFill>
        </w:rPr>
      </w:sdtEndPr>
      <w:sdtContent>
        <w:p w14:paraId="65A3C81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7408541">
      <w:pPr>
        <w:jc w:val="righ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单位：</w:t>
      </w:r>
      <w:sdt>
        <w:sdtPr>
          <w:rPr>
            <w:rFonts w:hint="eastAsia"/>
            <w:color w:val="000000" w:themeColor="text1"/>
            <w:sz w:val="18"/>
            <w:szCs w:val="18"/>
            <w14:textFill>
              <w14:solidFill>
                <w14:schemeClr w14:val="tx1"/>
              </w14:solidFill>
            </w14:textFill>
          </w:rPr>
          <w:alias w:val="单位：企业集团的构成"/>
          <w:tag w:val="_GBC_02462820d05142eca3713abc443b34f5"/>
          <w:id w:val="142375942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color w:val="000000" w:themeColor="text1"/>
            <w:sz w:val="18"/>
            <w:szCs w:val="18"/>
            <w14:textFill>
              <w14:solidFill>
                <w14:schemeClr w14:val="tx1"/>
              </w14:solidFill>
            </w14:textFill>
          </w:rPr>
        </w:sdtEndPr>
        <w:sdtContent>
          <w:r>
            <w:rPr>
              <w:rFonts w:hint="eastAsia"/>
              <w:color w:val="000000" w:themeColor="text1"/>
              <w:sz w:val="18"/>
              <w:szCs w:val="18"/>
              <w14:textFill>
                <w14:solidFill>
                  <w14:schemeClr w14:val="tx1"/>
                </w14:solidFill>
              </w14:textFill>
            </w:rPr>
            <w:t>元</w:t>
          </w:r>
        </w:sdtContent>
      </w:sdt>
      <w:r>
        <w:rPr>
          <w:rFonts w:hint="eastAsia"/>
          <w:color w:val="000000" w:themeColor="text1"/>
          <w:sz w:val="18"/>
          <w:szCs w:val="18"/>
          <w14:textFill>
            <w14:solidFill>
              <w14:schemeClr w14:val="tx1"/>
            </w14:solidFill>
          </w14:textFill>
        </w:rPr>
        <w:t xml:space="preserve"> 币种：</w:t>
      </w:r>
      <w:sdt>
        <w:sdtPr>
          <w:rPr>
            <w:rFonts w:hint="eastAsia"/>
            <w:color w:val="000000" w:themeColor="text1"/>
            <w:sz w:val="18"/>
            <w:szCs w:val="18"/>
            <w14:textFill>
              <w14:solidFill>
                <w14:schemeClr w14:val="tx1"/>
              </w14:solidFill>
            </w14:textFill>
          </w:rPr>
          <w:alias w:val="币种：企业集团的构成"/>
          <w:tag w:val="_GBC_9d84d297c94f41a5a9a7a18208389646"/>
          <w:id w:val="-14525498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sz w:val="18"/>
            <w:szCs w:val="18"/>
            <w14:textFill>
              <w14:solidFill>
                <w14:schemeClr w14:val="tx1"/>
              </w14:solidFill>
            </w14:textFill>
          </w:rPr>
        </w:sdtEndPr>
        <w:sdtContent>
          <w:r>
            <w:rPr>
              <w:rFonts w:hint="eastAsia"/>
              <w:color w:val="000000" w:themeColor="text1"/>
              <w:sz w:val="18"/>
              <w:szCs w:val="18"/>
              <w14:textFill>
                <w14:solidFill>
                  <w14:schemeClr w14:val="tx1"/>
                </w14:solidFill>
              </w14:textFill>
            </w:rPr>
            <w:t>人民币</w:t>
          </w:r>
        </w:sdtContent>
      </w:sdt>
    </w:p>
    <w:tbl>
      <w:tblPr>
        <w:tblStyle w:val="37"/>
        <w:tblW w:w="5830" w:type="pct"/>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8"/>
        <w:gridCol w:w="2117"/>
        <w:gridCol w:w="1267"/>
        <w:gridCol w:w="2121"/>
        <w:gridCol w:w="4287"/>
        <w:gridCol w:w="708"/>
        <w:gridCol w:w="721"/>
        <w:gridCol w:w="1975"/>
      </w:tblGrid>
      <w:tr w14:paraId="3536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sdt>
          <w:sdtPr>
            <w:rPr>
              <w:sz w:val="18"/>
              <w:szCs w:val="18"/>
            </w:rPr>
            <w:tag w:val="_PLD_f9c2120a205a401daafe7d623ad6f73f"/>
            <w:id w:val="-1634856642"/>
          </w:sdtPr>
          <w:sdtEndPr>
            <w:rPr>
              <w:sz w:val="18"/>
              <w:szCs w:val="18"/>
            </w:rPr>
          </w:sdtEndPr>
          <w:sdtContent>
            <w:tc>
              <w:tcPr>
                <w:tcW w:w="918" w:type="pct"/>
                <w:vMerge w:val="restart"/>
                <w:vAlign w:val="center"/>
              </w:tcPr>
              <w:p w14:paraId="6144F976">
                <w:pPr>
                  <w:jc w:val="center"/>
                  <w:rPr>
                    <w:rFonts w:cs="Arial"/>
                    <w:color w:val="000000" w:themeColor="text1"/>
                    <w:sz w:val="18"/>
                    <w:szCs w:val="18"/>
                    <w:lang w:val="en-GB"/>
                    <w14:textFill>
                      <w14:solidFill>
                        <w14:schemeClr w14:val="tx1"/>
                      </w14:solidFill>
                    </w14:textFill>
                  </w:rPr>
                </w:pPr>
                <w:r>
                  <w:rPr>
                    <w:rFonts w:hint="eastAsia" w:cs="Arial"/>
                    <w:color w:val="000000" w:themeColor="text1"/>
                    <w:sz w:val="18"/>
                    <w:szCs w:val="18"/>
                    <w:lang w:val="en-GB"/>
                    <w14:textFill>
                      <w14:solidFill>
                        <w14:schemeClr w14:val="tx1"/>
                      </w14:solidFill>
                    </w14:textFill>
                  </w:rPr>
                  <w:t>子公司名称</w:t>
                </w:r>
              </w:p>
            </w:tc>
          </w:sdtContent>
        </w:sdt>
        <w:sdt>
          <w:sdtPr>
            <w:rPr>
              <w:sz w:val="18"/>
              <w:szCs w:val="18"/>
            </w:rPr>
            <w:tag w:val="_PLD_723e5916e8d942aa8a0a08bb0a7836d4"/>
            <w:id w:val="-1236624378"/>
          </w:sdtPr>
          <w:sdtEndPr>
            <w:rPr>
              <w:sz w:val="18"/>
              <w:szCs w:val="18"/>
            </w:rPr>
          </w:sdtEndPr>
          <w:sdtContent>
            <w:tc>
              <w:tcPr>
                <w:tcW w:w="655" w:type="pct"/>
                <w:vMerge w:val="restart"/>
                <w:vAlign w:val="center"/>
              </w:tcPr>
              <w:p w14:paraId="2E22FE75">
                <w:pPr>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主要经营地</w:t>
                </w:r>
              </w:p>
            </w:tc>
          </w:sdtContent>
        </w:sdt>
        <w:tc>
          <w:tcPr>
            <w:tcW w:w="392" w:type="pct"/>
            <w:vMerge w:val="restart"/>
            <w:vAlign w:val="center"/>
          </w:tcPr>
          <w:sdt>
            <w:sdtPr>
              <w:rPr>
                <w:sz w:val="18"/>
                <w:szCs w:val="18"/>
              </w:rPr>
              <w:tag w:val="_PLD_d5e3d7a26fa0476b87e5fb13adf75c0b"/>
              <w:id w:val="-283731081"/>
            </w:sdtPr>
            <w:sdtEndPr>
              <w:rPr>
                <w:sz w:val="18"/>
                <w:szCs w:val="18"/>
              </w:rPr>
            </w:sdtEndPr>
            <w:sdtContent>
              <w:p w14:paraId="0F88992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注册资本</w:t>
                </w:r>
              </w:p>
            </w:sdtContent>
          </w:sdt>
        </w:tc>
        <w:sdt>
          <w:sdtPr>
            <w:rPr>
              <w:sz w:val="18"/>
              <w:szCs w:val="18"/>
            </w:rPr>
            <w:tag w:val="_PLD_75992b931bd8473e8e862e94745012a5"/>
            <w:id w:val="2012415262"/>
          </w:sdtPr>
          <w:sdtEndPr>
            <w:rPr>
              <w:sz w:val="18"/>
              <w:szCs w:val="18"/>
            </w:rPr>
          </w:sdtEndPr>
          <w:sdtContent>
            <w:tc>
              <w:tcPr>
                <w:tcW w:w="656" w:type="pct"/>
                <w:vMerge w:val="restart"/>
                <w:vAlign w:val="center"/>
              </w:tcPr>
              <w:p w14:paraId="066783E6">
                <w:pPr>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注册地</w:t>
                </w:r>
              </w:p>
            </w:tc>
          </w:sdtContent>
        </w:sdt>
        <w:sdt>
          <w:sdtPr>
            <w:rPr>
              <w:sz w:val="18"/>
              <w:szCs w:val="18"/>
            </w:rPr>
            <w:tag w:val="_PLD_81986d200a3740efb1af7efc5e522b86"/>
            <w:id w:val="-1498886716"/>
          </w:sdtPr>
          <w:sdtEndPr>
            <w:rPr>
              <w:sz w:val="18"/>
              <w:szCs w:val="18"/>
            </w:rPr>
          </w:sdtEndPr>
          <w:sdtContent>
            <w:tc>
              <w:tcPr>
                <w:tcW w:w="1326" w:type="pct"/>
                <w:vMerge w:val="restart"/>
                <w:vAlign w:val="center"/>
              </w:tcPr>
              <w:p w14:paraId="4C3BBA2A">
                <w:pPr>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业务性质</w:t>
                </w:r>
              </w:p>
            </w:tc>
          </w:sdtContent>
        </w:sdt>
        <w:sdt>
          <w:sdtPr>
            <w:rPr>
              <w:sz w:val="18"/>
              <w:szCs w:val="18"/>
            </w:rPr>
            <w:tag w:val="_PLD_03c285667c254271b982c3c49476d597"/>
            <w:id w:val="958612481"/>
          </w:sdtPr>
          <w:sdtEndPr>
            <w:rPr>
              <w:sz w:val="18"/>
              <w:szCs w:val="18"/>
            </w:rPr>
          </w:sdtEndPr>
          <w:sdtContent>
            <w:tc>
              <w:tcPr>
                <w:tcW w:w="442" w:type="pct"/>
                <w:gridSpan w:val="2"/>
                <w:vAlign w:val="center"/>
              </w:tcPr>
              <w:p w14:paraId="2A61AC29">
                <w:pPr>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持股比例</w:t>
                </w:r>
                <w:r>
                  <w:rPr>
                    <w:rFonts w:cs="Arial"/>
                    <w:color w:val="000000" w:themeColor="text1"/>
                    <w:sz w:val="18"/>
                    <w:szCs w:val="18"/>
                    <w14:textFill>
                      <w14:solidFill>
                        <w14:schemeClr w14:val="tx1"/>
                      </w14:solidFill>
                    </w14:textFill>
                  </w:rPr>
                  <w:t>(%)</w:t>
                </w:r>
              </w:p>
            </w:tc>
          </w:sdtContent>
        </w:sdt>
        <w:sdt>
          <w:sdtPr>
            <w:rPr>
              <w:sz w:val="18"/>
              <w:szCs w:val="18"/>
            </w:rPr>
            <w:tag w:val="_PLD_b9a7fd2e9d044a72815c35f904479ae4"/>
            <w:id w:val="764650413"/>
          </w:sdtPr>
          <w:sdtEndPr>
            <w:rPr>
              <w:sz w:val="18"/>
              <w:szCs w:val="18"/>
            </w:rPr>
          </w:sdtEndPr>
          <w:sdtContent>
            <w:tc>
              <w:tcPr>
                <w:tcW w:w="611" w:type="pct"/>
                <w:vMerge w:val="restart"/>
                <w:vAlign w:val="center"/>
              </w:tcPr>
              <w:p w14:paraId="00165EA4">
                <w:pPr>
                  <w:jc w:val="center"/>
                  <w:rPr>
                    <w:rFonts w:cs="Arial"/>
                    <w:color w:val="000000" w:themeColor="text1"/>
                    <w:sz w:val="18"/>
                    <w:szCs w:val="18"/>
                    <w:lang w:val="en-GB"/>
                    <w14:textFill>
                      <w14:solidFill>
                        <w14:schemeClr w14:val="tx1"/>
                      </w14:solidFill>
                    </w14:textFill>
                  </w:rPr>
                </w:pPr>
                <w:r>
                  <w:rPr>
                    <w:rFonts w:hint="eastAsia" w:cs="Arial"/>
                    <w:color w:val="000000" w:themeColor="text1"/>
                    <w:sz w:val="18"/>
                    <w:szCs w:val="18"/>
                    <w:lang w:val="en-GB"/>
                    <w14:textFill>
                      <w14:solidFill>
                        <w14:schemeClr w14:val="tx1"/>
                      </w14:solidFill>
                    </w14:textFill>
                  </w:rPr>
                  <w:t>取得</w:t>
                </w:r>
              </w:p>
              <w:p w14:paraId="75396077">
                <w:pPr>
                  <w:jc w:val="center"/>
                  <w:rPr>
                    <w:rFonts w:cs="Arial"/>
                    <w:color w:val="000000" w:themeColor="text1"/>
                    <w:sz w:val="18"/>
                    <w:szCs w:val="18"/>
                    <w:lang w:val="en-GB"/>
                    <w14:textFill>
                      <w14:solidFill>
                        <w14:schemeClr w14:val="tx1"/>
                      </w14:solidFill>
                    </w14:textFill>
                  </w:rPr>
                </w:pPr>
                <w:r>
                  <w:rPr>
                    <w:rFonts w:hint="eastAsia" w:cs="Arial"/>
                    <w:color w:val="000000" w:themeColor="text1"/>
                    <w:sz w:val="18"/>
                    <w:szCs w:val="18"/>
                    <w:lang w:val="en-GB"/>
                    <w14:textFill>
                      <w14:solidFill>
                        <w14:schemeClr w14:val="tx1"/>
                      </w14:solidFill>
                    </w14:textFill>
                  </w:rPr>
                  <w:t>方式</w:t>
                </w:r>
              </w:p>
            </w:tc>
          </w:sdtContent>
        </w:sdt>
      </w:tr>
      <w:tr w14:paraId="7F18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18" w:type="pct"/>
            <w:vMerge w:val="continue"/>
            <w:vAlign w:val="center"/>
          </w:tcPr>
          <w:p w14:paraId="0AAB1306">
            <w:pPr>
              <w:rPr>
                <w:rFonts w:cs="Arial"/>
                <w:color w:val="000000" w:themeColor="text1"/>
                <w14:textFill>
                  <w14:solidFill>
                    <w14:schemeClr w14:val="tx1"/>
                  </w14:solidFill>
                </w14:textFill>
              </w:rPr>
            </w:pPr>
          </w:p>
        </w:tc>
        <w:tc>
          <w:tcPr>
            <w:tcW w:w="655" w:type="pct"/>
            <w:vMerge w:val="continue"/>
            <w:vAlign w:val="center"/>
          </w:tcPr>
          <w:p w14:paraId="60059303">
            <w:pPr>
              <w:rPr>
                <w:rFonts w:cs="Arial"/>
                <w:color w:val="000000" w:themeColor="text1"/>
                <w14:textFill>
                  <w14:solidFill>
                    <w14:schemeClr w14:val="tx1"/>
                  </w14:solidFill>
                </w14:textFill>
              </w:rPr>
            </w:pPr>
          </w:p>
        </w:tc>
        <w:tc>
          <w:tcPr>
            <w:tcW w:w="392" w:type="pct"/>
            <w:vMerge w:val="continue"/>
          </w:tcPr>
          <w:p w14:paraId="50E5BF04">
            <w:pPr>
              <w:rPr>
                <w:rFonts w:cs="Arial"/>
                <w:color w:val="000000" w:themeColor="text1"/>
                <w14:textFill>
                  <w14:solidFill>
                    <w14:schemeClr w14:val="tx1"/>
                  </w14:solidFill>
                </w14:textFill>
              </w:rPr>
            </w:pPr>
          </w:p>
        </w:tc>
        <w:tc>
          <w:tcPr>
            <w:tcW w:w="656" w:type="pct"/>
            <w:vMerge w:val="continue"/>
            <w:vAlign w:val="center"/>
          </w:tcPr>
          <w:p w14:paraId="18DDEFFF">
            <w:pPr>
              <w:rPr>
                <w:rFonts w:cs="Arial"/>
                <w:color w:val="000000" w:themeColor="text1"/>
                <w14:textFill>
                  <w14:solidFill>
                    <w14:schemeClr w14:val="tx1"/>
                  </w14:solidFill>
                </w14:textFill>
              </w:rPr>
            </w:pPr>
          </w:p>
        </w:tc>
        <w:tc>
          <w:tcPr>
            <w:tcW w:w="1326" w:type="pct"/>
            <w:vMerge w:val="continue"/>
            <w:vAlign w:val="center"/>
          </w:tcPr>
          <w:p w14:paraId="154CC090">
            <w:pPr>
              <w:rPr>
                <w:rFonts w:cs="Arial"/>
                <w:color w:val="000000" w:themeColor="text1"/>
                <w14:textFill>
                  <w14:solidFill>
                    <w14:schemeClr w14:val="tx1"/>
                  </w14:solidFill>
                </w14:textFill>
              </w:rPr>
            </w:pPr>
          </w:p>
        </w:tc>
        <w:sdt>
          <w:sdtPr>
            <w:rPr>
              <w:sz w:val="18"/>
              <w:szCs w:val="18"/>
            </w:rPr>
            <w:tag w:val="_PLD_de578ebcf9ae4a679d3c9d71857b038a"/>
            <w:id w:val="-1971128039"/>
          </w:sdtPr>
          <w:sdtEndPr>
            <w:rPr>
              <w:sz w:val="18"/>
              <w:szCs w:val="18"/>
            </w:rPr>
          </w:sdtEndPr>
          <w:sdtContent>
            <w:tc>
              <w:tcPr>
                <w:tcW w:w="219" w:type="pct"/>
                <w:vAlign w:val="center"/>
              </w:tcPr>
              <w:p w14:paraId="3C840D42">
                <w:pPr>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直接</w:t>
                </w:r>
              </w:p>
            </w:tc>
          </w:sdtContent>
        </w:sdt>
        <w:sdt>
          <w:sdtPr>
            <w:rPr>
              <w:sz w:val="18"/>
              <w:szCs w:val="18"/>
            </w:rPr>
            <w:tag w:val="_PLD_154fe2dd001b4c93b14ff5f5aec1fbc8"/>
            <w:id w:val="-1272325194"/>
          </w:sdtPr>
          <w:sdtEndPr>
            <w:rPr>
              <w:sz w:val="18"/>
              <w:szCs w:val="18"/>
            </w:rPr>
          </w:sdtEndPr>
          <w:sdtContent>
            <w:tc>
              <w:tcPr>
                <w:tcW w:w="223" w:type="pct"/>
                <w:vAlign w:val="center"/>
              </w:tcPr>
              <w:p w14:paraId="30FD789D">
                <w:pPr>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间接</w:t>
                </w:r>
              </w:p>
            </w:tc>
          </w:sdtContent>
        </w:sdt>
        <w:tc>
          <w:tcPr>
            <w:tcW w:w="611" w:type="pct"/>
            <w:vMerge w:val="continue"/>
          </w:tcPr>
          <w:p w14:paraId="0708FE7F">
            <w:pPr>
              <w:rPr>
                <w:rFonts w:cs="Arial"/>
                <w:color w:val="000000" w:themeColor="text1"/>
                <w14:textFill>
                  <w14:solidFill>
                    <w14:schemeClr w14:val="tx1"/>
                  </w14:solidFill>
                </w14:textFill>
              </w:rPr>
            </w:pPr>
          </w:p>
        </w:tc>
      </w:tr>
      <w:tr w14:paraId="2CF3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595E5A8C">
            <w:r>
              <w:rPr>
                <w:rFonts w:hint="eastAsia" w:ascii="宋体" w:hAnsi="宋体"/>
                <w:sz w:val="18"/>
                <w:szCs w:val="18"/>
              </w:rPr>
              <w:t>荣成荣山食品有限公司</w:t>
            </w:r>
          </w:p>
        </w:tc>
        <w:tc>
          <w:tcPr>
            <w:tcW w:w="655" w:type="pct"/>
            <w:vAlign w:val="center"/>
          </w:tcPr>
          <w:p w14:paraId="13C49730">
            <w:r>
              <w:rPr>
                <w:rFonts w:hint="eastAsia" w:ascii="宋体" w:hAnsi="宋体"/>
                <w:sz w:val="18"/>
                <w:szCs w:val="18"/>
              </w:rPr>
              <w:t>荣成市虎山镇沙嘴子村</w:t>
            </w:r>
          </w:p>
        </w:tc>
        <w:tc>
          <w:tcPr>
            <w:tcW w:w="392" w:type="pct"/>
            <w:vAlign w:val="center"/>
          </w:tcPr>
          <w:p w14:paraId="77E8B63F">
            <w:pPr>
              <w:jc w:val="right"/>
            </w:pPr>
            <w:r>
              <w:rPr>
                <w:rFonts w:hint="eastAsia"/>
                <w:sz w:val="18"/>
                <w:szCs w:val="18"/>
              </w:rPr>
              <w:t>200</w:t>
            </w:r>
            <w:r>
              <w:rPr>
                <w:rFonts w:hint="eastAsia" w:ascii="宋体" w:hAnsi="宋体"/>
                <w:sz w:val="18"/>
                <w:szCs w:val="18"/>
              </w:rPr>
              <w:t>万美元</w:t>
            </w:r>
          </w:p>
        </w:tc>
        <w:tc>
          <w:tcPr>
            <w:tcW w:w="656" w:type="pct"/>
            <w:vAlign w:val="center"/>
          </w:tcPr>
          <w:p w14:paraId="35A4765D">
            <w:r>
              <w:rPr>
                <w:rFonts w:hint="eastAsia" w:ascii="宋体" w:hAnsi="宋体"/>
                <w:sz w:val="18"/>
                <w:szCs w:val="18"/>
              </w:rPr>
              <w:t>荣成市虎山镇沙嘴子村</w:t>
            </w:r>
          </w:p>
        </w:tc>
        <w:tc>
          <w:tcPr>
            <w:tcW w:w="1326" w:type="pct"/>
            <w:vAlign w:val="center"/>
          </w:tcPr>
          <w:p w14:paraId="015DA1C9">
            <w:r>
              <w:rPr>
                <w:rFonts w:hint="eastAsia" w:ascii="宋体" w:hAnsi="宋体"/>
                <w:sz w:val="18"/>
                <w:szCs w:val="18"/>
              </w:rPr>
              <w:t>速冻调制食品加工与销售</w:t>
            </w:r>
          </w:p>
        </w:tc>
        <w:tc>
          <w:tcPr>
            <w:tcW w:w="219" w:type="pct"/>
            <w:vAlign w:val="center"/>
          </w:tcPr>
          <w:p w14:paraId="001440E3">
            <w:pPr>
              <w:jc w:val="right"/>
            </w:pPr>
            <w:r>
              <w:rPr>
                <w:rFonts w:hint="eastAsia"/>
                <w:sz w:val="18"/>
                <w:szCs w:val="18"/>
              </w:rPr>
              <w:t>70</w:t>
            </w:r>
          </w:p>
        </w:tc>
        <w:tc>
          <w:tcPr>
            <w:tcW w:w="223" w:type="pct"/>
            <w:vAlign w:val="center"/>
          </w:tcPr>
          <w:p w14:paraId="240A0608">
            <w:pPr>
              <w:jc w:val="right"/>
            </w:pPr>
          </w:p>
        </w:tc>
        <w:tc>
          <w:tcPr>
            <w:tcW w:w="611" w:type="pct"/>
            <w:vAlign w:val="center"/>
          </w:tcPr>
          <w:p w14:paraId="2F961D69">
            <w:r>
              <w:rPr>
                <w:rFonts w:hint="eastAsia" w:ascii="宋体" w:hAnsi="宋体"/>
                <w:sz w:val="18"/>
                <w:szCs w:val="18"/>
              </w:rPr>
              <w:t>同一控制下企业合并</w:t>
            </w:r>
          </w:p>
        </w:tc>
      </w:tr>
      <w:tr w14:paraId="5982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6A73273C">
            <w:r>
              <w:rPr>
                <w:rFonts w:hint="eastAsia" w:ascii="宋体" w:hAnsi="宋体"/>
                <w:sz w:val="18"/>
                <w:szCs w:val="18"/>
              </w:rPr>
              <w:t>荣成荣东食品有限公司</w:t>
            </w:r>
          </w:p>
        </w:tc>
        <w:tc>
          <w:tcPr>
            <w:tcW w:w="655" w:type="pct"/>
            <w:vAlign w:val="center"/>
          </w:tcPr>
          <w:p w14:paraId="5EB51A63">
            <w:r>
              <w:rPr>
                <w:rFonts w:hint="eastAsia" w:ascii="宋体" w:hAnsi="宋体"/>
                <w:sz w:val="18"/>
                <w:szCs w:val="18"/>
              </w:rPr>
              <w:t>荣成市虎山镇邱家村</w:t>
            </w:r>
          </w:p>
        </w:tc>
        <w:tc>
          <w:tcPr>
            <w:tcW w:w="392" w:type="pct"/>
            <w:vAlign w:val="center"/>
          </w:tcPr>
          <w:p w14:paraId="64C22FE3">
            <w:pPr>
              <w:jc w:val="right"/>
            </w:pPr>
            <w:r>
              <w:rPr>
                <w:rFonts w:hint="eastAsia"/>
                <w:sz w:val="18"/>
                <w:szCs w:val="18"/>
              </w:rPr>
              <w:t>200</w:t>
            </w:r>
            <w:r>
              <w:rPr>
                <w:rFonts w:hint="eastAsia" w:ascii="宋体" w:hAnsi="宋体"/>
                <w:sz w:val="18"/>
                <w:szCs w:val="18"/>
              </w:rPr>
              <w:t>万美元</w:t>
            </w:r>
          </w:p>
        </w:tc>
        <w:tc>
          <w:tcPr>
            <w:tcW w:w="656" w:type="pct"/>
            <w:vAlign w:val="center"/>
          </w:tcPr>
          <w:p w14:paraId="08B41533">
            <w:r>
              <w:rPr>
                <w:rFonts w:hint="eastAsia" w:ascii="宋体" w:hAnsi="宋体"/>
                <w:sz w:val="18"/>
                <w:szCs w:val="18"/>
              </w:rPr>
              <w:t>荣成市虎山镇邱家村</w:t>
            </w:r>
          </w:p>
        </w:tc>
        <w:tc>
          <w:tcPr>
            <w:tcW w:w="1326" w:type="pct"/>
            <w:vAlign w:val="center"/>
          </w:tcPr>
          <w:p w14:paraId="7F9DF10F">
            <w:r>
              <w:rPr>
                <w:rFonts w:hint="eastAsia" w:ascii="宋体" w:hAnsi="宋体"/>
                <w:sz w:val="18"/>
                <w:szCs w:val="18"/>
              </w:rPr>
              <w:t>速冻调制食品加工与销售</w:t>
            </w:r>
          </w:p>
        </w:tc>
        <w:tc>
          <w:tcPr>
            <w:tcW w:w="219" w:type="pct"/>
            <w:vAlign w:val="center"/>
          </w:tcPr>
          <w:p w14:paraId="6935BABE">
            <w:pPr>
              <w:jc w:val="right"/>
            </w:pPr>
            <w:r>
              <w:rPr>
                <w:rFonts w:hint="eastAsia"/>
                <w:sz w:val="18"/>
                <w:szCs w:val="18"/>
              </w:rPr>
              <w:t>95</w:t>
            </w:r>
          </w:p>
        </w:tc>
        <w:tc>
          <w:tcPr>
            <w:tcW w:w="223" w:type="pct"/>
            <w:vAlign w:val="center"/>
          </w:tcPr>
          <w:p w14:paraId="4D49F340">
            <w:pPr>
              <w:jc w:val="right"/>
            </w:pPr>
          </w:p>
        </w:tc>
        <w:tc>
          <w:tcPr>
            <w:tcW w:w="611" w:type="pct"/>
            <w:vAlign w:val="center"/>
          </w:tcPr>
          <w:p w14:paraId="2905AB21">
            <w:r>
              <w:rPr>
                <w:rFonts w:hint="eastAsia" w:ascii="宋体" w:hAnsi="宋体"/>
                <w:sz w:val="18"/>
                <w:szCs w:val="18"/>
              </w:rPr>
              <w:t>同一控制下企业合并</w:t>
            </w:r>
          </w:p>
        </w:tc>
      </w:tr>
      <w:tr w14:paraId="3E2BC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46179443">
            <w:r>
              <w:rPr>
                <w:rFonts w:hint="eastAsia" w:ascii="宋体" w:hAnsi="宋体"/>
                <w:sz w:val="18"/>
                <w:szCs w:val="18"/>
              </w:rPr>
              <w:t>荣成荣健食品有限公司</w:t>
            </w:r>
          </w:p>
        </w:tc>
        <w:tc>
          <w:tcPr>
            <w:tcW w:w="655" w:type="pct"/>
            <w:vAlign w:val="center"/>
          </w:tcPr>
          <w:p w14:paraId="119FA81B">
            <w:r>
              <w:rPr>
                <w:rFonts w:hint="eastAsia" w:ascii="宋体" w:hAnsi="宋体"/>
                <w:sz w:val="18"/>
                <w:szCs w:val="18"/>
              </w:rPr>
              <w:t>荣成市虎山镇</w:t>
            </w:r>
          </w:p>
        </w:tc>
        <w:tc>
          <w:tcPr>
            <w:tcW w:w="392" w:type="pct"/>
            <w:vAlign w:val="center"/>
          </w:tcPr>
          <w:p w14:paraId="3500DE83">
            <w:pPr>
              <w:jc w:val="right"/>
            </w:pPr>
            <w:r>
              <w:rPr>
                <w:rFonts w:hint="eastAsia"/>
                <w:sz w:val="18"/>
                <w:szCs w:val="18"/>
              </w:rPr>
              <w:t>80</w:t>
            </w:r>
            <w:r>
              <w:rPr>
                <w:rFonts w:hint="eastAsia" w:ascii="宋体" w:hAnsi="宋体"/>
                <w:sz w:val="18"/>
                <w:szCs w:val="18"/>
              </w:rPr>
              <w:t>万美元</w:t>
            </w:r>
          </w:p>
        </w:tc>
        <w:tc>
          <w:tcPr>
            <w:tcW w:w="656" w:type="pct"/>
            <w:vAlign w:val="center"/>
          </w:tcPr>
          <w:p w14:paraId="7D652519">
            <w:r>
              <w:rPr>
                <w:rFonts w:hint="eastAsia" w:ascii="宋体" w:hAnsi="宋体"/>
                <w:sz w:val="18"/>
                <w:szCs w:val="18"/>
              </w:rPr>
              <w:t>荣成市虎山镇</w:t>
            </w:r>
          </w:p>
        </w:tc>
        <w:tc>
          <w:tcPr>
            <w:tcW w:w="1326" w:type="pct"/>
            <w:vAlign w:val="center"/>
          </w:tcPr>
          <w:p w14:paraId="2C4D244C">
            <w:r>
              <w:rPr>
                <w:rFonts w:hint="eastAsia" w:ascii="宋体" w:hAnsi="宋体"/>
                <w:sz w:val="18"/>
                <w:szCs w:val="18"/>
              </w:rPr>
              <w:t>干海参、盐渍海参的加工与销售</w:t>
            </w:r>
          </w:p>
        </w:tc>
        <w:tc>
          <w:tcPr>
            <w:tcW w:w="219" w:type="pct"/>
            <w:vAlign w:val="center"/>
          </w:tcPr>
          <w:p w14:paraId="267646F6">
            <w:pPr>
              <w:jc w:val="right"/>
            </w:pPr>
            <w:r>
              <w:rPr>
                <w:rFonts w:hint="eastAsia"/>
                <w:sz w:val="18"/>
                <w:szCs w:val="18"/>
              </w:rPr>
              <w:t>75</w:t>
            </w:r>
          </w:p>
        </w:tc>
        <w:tc>
          <w:tcPr>
            <w:tcW w:w="223" w:type="pct"/>
            <w:vAlign w:val="center"/>
          </w:tcPr>
          <w:p w14:paraId="228D0C8F">
            <w:pPr>
              <w:jc w:val="right"/>
            </w:pPr>
          </w:p>
        </w:tc>
        <w:tc>
          <w:tcPr>
            <w:tcW w:w="611" w:type="pct"/>
            <w:vAlign w:val="center"/>
          </w:tcPr>
          <w:p w14:paraId="18277E7A">
            <w:r>
              <w:rPr>
                <w:rFonts w:hint="eastAsia" w:ascii="宋体" w:hAnsi="宋体"/>
                <w:sz w:val="18"/>
                <w:szCs w:val="18"/>
              </w:rPr>
              <w:t>同一控制下企业合并</w:t>
            </w:r>
          </w:p>
        </w:tc>
      </w:tr>
      <w:tr w14:paraId="1677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0293D22D">
            <w:r>
              <w:rPr>
                <w:rFonts w:hint="eastAsia" w:ascii="宋体" w:hAnsi="宋体"/>
                <w:sz w:val="18"/>
                <w:szCs w:val="18"/>
              </w:rPr>
              <w:t>荣成荣康食品有限公司</w:t>
            </w:r>
          </w:p>
        </w:tc>
        <w:tc>
          <w:tcPr>
            <w:tcW w:w="655" w:type="pct"/>
            <w:vAlign w:val="center"/>
          </w:tcPr>
          <w:p w14:paraId="7BF2B4A0">
            <w:r>
              <w:rPr>
                <w:rFonts w:hint="eastAsia" w:ascii="宋体" w:hAnsi="宋体"/>
                <w:sz w:val="18"/>
                <w:szCs w:val="18"/>
              </w:rPr>
              <w:t>荣成市虎山镇沙嘴子村</w:t>
            </w:r>
          </w:p>
        </w:tc>
        <w:tc>
          <w:tcPr>
            <w:tcW w:w="392" w:type="pct"/>
            <w:vAlign w:val="center"/>
          </w:tcPr>
          <w:p w14:paraId="29086BBE">
            <w:pPr>
              <w:jc w:val="right"/>
            </w:pPr>
            <w:r>
              <w:rPr>
                <w:rFonts w:hint="eastAsia"/>
                <w:sz w:val="18"/>
                <w:szCs w:val="18"/>
              </w:rPr>
              <w:t>1,200</w:t>
            </w:r>
            <w:r>
              <w:rPr>
                <w:rFonts w:hint="eastAsia" w:ascii="宋体" w:hAnsi="宋体"/>
                <w:sz w:val="18"/>
                <w:szCs w:val="18"/>
              </w:rPr>
              <w:t>万美元</w:t>
            </w:r>
          </w:p>
        </w:tc>
        <w:tc>
          <w:tcPr>
            <w:tcW w:w="656" w:type="pct"/>
            <w:vAlign w:val="center"/>
          </w:tcPr>
          <w:p w14:paraId="431A2E1E">
            <w:r>
              <w:rPr>
                <w:rFonts w:hint="eastAsia" w:ascii="宋体" w:hAnsi="宋体"/>
                <w:sz w:val="18"/>
                <w:szCs w:val="18"/>
              </w:rPr>
              <w:t>荣成市虎山镇沙嘴子村</w:t>
            </w:r>
          </w:p>
        </w:tc>
        <w:tc>
          <w:tcPr>
            <w:tcW w:w="1326" w:type="pct"/>
            <w:vAlign w:val="center"/>
          </w:tcPr>
          <w:p w14:paraId="5E68036C">
            <w:r>
              <w:rPr>
                <w:rFonts w:hint="eastAsia" w:ascii="宋体" w:hAnsi="宋体"/>
                <w:sz w:val="18"/>
                <w:szCs w:val="18"/>
              </w:rPr>
              <w:t>水产品冷冻加工与销售</w:t>
            </w:r>
          </w:p>
        </w:tc>
        <w:tc>
          <w:tcPr>
            <w:tcW w:w="219" w:type="pct"/>
            <w:vAlign w:val="center"/>
          </w:tcPr>
          <w:p w14:paraId="57582DDC">
            <w:pPr>
              <w:jc w:val="right"/>
            </w:pPr>
            <w:r>
              <w:rPr>
                <w:rFonts w:hint="eastAsia"/>
                <w:sz w:val="18"/>
                <w:szCs w:val="18"/>
              </w:rPr>
              <w:t>75</w:t>
            </w:r>
          </w:p>
        </w:tc>
        <w:tc>
          <w:tcPr>
            <w:tcW w:w="223" w:type="pct"/>
            <w:vAlign w:val="center"/>
          </w:tcPr>
          <w:p w14:paraId="6CE432C7">
            <w:pPr>
              <w:jc w:val="right"/>
            </w:pPr>
          </w:p>
        </w:tc>
        <w:tc>
          <w:tcPr>
            <w:tcW w:w="611" w:type="pct"/>
            <w:vAlign w:val="center"/>
          </w:tcPr>
          <w:p w14:paraId="097CDEAD">
            <w:r>
              <w:rPr>
                <w:rFonts w:hint="eastAsia" w:ascii="宋体" w:hAnsi="宋体"/>
                <w:sz w:val="18"/>
                <w:szCs w:val="18"/>
              </w:rPr>
              <w:t>同一控制下企业合并</w:t>
            </w:r>
          </w:p>
        </w:tc>
      </w:tr>
      <w:tr w14:paraId="407E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5517DDCA">
            <w:r>
              <w:rPr>
                <w:rFonts w:hint="eastAsia" w:ascii="宋体" w:hAnsi="宋体"/>
                <w:sz w:val="18"/>
                <w:szCs w:val="18"/>
              </w:rPr>
              <w:t>荣成荣广食品有限公司</w:t>
            </w:r>
          </w:p>
        </w:tc>
        <w:tc>
          <w:tcPr>
            <w:tcW w:w="655" w:type="pct"/>
            <w:vAlign w:val="center"/>
          </w:tcPr>
          <w:p w14:paraId="0FA45EEF">
            <w:r>
              <w:rPr>
                <w:rFonts w:hint="eastAsia" w:ascii="宋体" w:hAnsi="宋体"/>
                <w:sz w:val="18"/>
                <w:szCs w:val="18"/>
              </w:rPr>
              <w:t>荣成市虎山镇沙嘴子村</w:t>
            </w:r>
          </w:p>
        </w:tc>
        <w:tc>
          <w:tcPr>
            <w:tcW w:w="392" w:type="pct"/>
            <w:vAlign w:val="center"/>
          </w:tcPr>
          <w:p w14:paraId="2FDAB46B">
            <w:pPr>
              <w:jc w:val="right"/>
            </w:pPr>
            <w:r>
              <w:rPr>
                <w:rFonts w:hint="eastAsia"/>
                <w:sz w:val="18"/>
                <w:szCs w:val="18"/>
              </w:rPr>
              <w:t>100</w:t>
            </w:r>
            <w:r>
              <w:rPr>
                <w:rFonts w:hint="eastAsia" w:ascii="宋体" w:hAnsi="宋体"/>
                <w:sz w:val="18"/>
                <w:szCs w:val="18"/>
              </w:rPr>
              <w:t>万美元</w:t>
            </w:r>
          </w:p>
        </w:tc>
        <w:tc>
          <w:tcPr>
            <w:tcW w:w="656" w:type="pct"/>
            <w:vAlign w:val="center"/>
          </w:tcPr>
          <w:p w14:paraId="74482C2F">
            <w:r>
              <w:rPr>
                <w:rFonts w:hint="eastAsia" w:ascii="宋体" w:hAnsi="宋体"/>
                <w:sz w:val="18"/>
                <w:szCs w:val="18"/>
              </w:rPr>
              <w:t>荣成市虎山镇沙嘴子村</w:t>
            </w:r>
          </w:p>
        </w:tc>
        <w:tc>
          <w:tcPr>
            <w:tcW w:w="1326" w:type="pct"/>
            <w:vAlign w:val="center"/>
          </w:tcPr>
          <w:p w14:paraId="0FD3F393">
            <w:r>
              <w:rPr>
                <w:rFonts w:hint="eastAsia" w:ascii="宋体" w:hAnsi="宋体"/>
                <w:sz w:val="18"/>
                <w:szCs w:val="18"/>
              </w:rPr>
              <w:t>水产品冷冻加工与销售、速冻调制食品生产与销售</w:t>
            </w:r>
          </w:p>
        </w:tc>
        <w:tc>
          <w:tcPr>
            <w:tcW w:w="219" w:type="pct"/>
            <w:vAlign w:val="center"/>
          </w:tcPr>
          <w:p w14:paraId="5134027A">
            <w:pPr>
              <w:jc w:val="right"/>
            </w:pPr>
          </w:p>
        </w:tc>
        <w:tc>
          <w:tcPr>
            <w:tcW w:w="223" w:type="pct"/>
            <w:vAlign w:val="center"/>
          </w:tcPr>
          <w:p w14:paraId="534FE560">
            <w:pPr>
              <w:jc w:val="right"/>
            </w:pPr>
            <w:r>
              <w:rPr>
                <w:rFonts w:hint="eastAsia"/>
                <w:sz w:val="18"/>
                <w:szCs w:val="18"/>
              </w:rPr>
              <w:t>56.25</w:t>
            </w:r>
          </w:p>
        </w:tc>
        <w:tc>
          <w:tcPr>
            <w:tcW w:w="611" w:type="pct"/>
            <w:vAlign w:val="center"/>
          </w:tcPr>
          <w:p w14:paraId="3B1F72A9">
            <w:r>
              <w:rPr>
                <w:rFonts w:hint="eastAsia" w:ascii="宋体" w:hAnsi="宋体"/>
                <w:sz w:val="18"/>
                <w:szCs w:val="18"/>
              </w:rPr>
              <w:t>同一控制下企业合并</w:t>
            </w:r>
          </w:p>
        </w:tc>
      </w:tr>
      <w:tr w14:paraId="5991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157EED23">
            <w:r>
              <w:rPr>
                <w:rFonts w:hint="eastAsia" w:ascii="宋体" w:hAnsi="宋体"/>
                <w:sz w:val="18"/>
                <w:szCs w:val="18"/>
              </w:rPr>
              <w:t>山东好当家海洋食品销售有限公司</w:t>
            </w:r>
          </w:p>
        </w:tc>
        <w:tc>
          <w:tcPr>
            <w:tcW w:w="655" w:type="pct"/>
            <w:vAlign w:val="center"/>
          </w:tcPr>
          <w:p w14:paraId="415C215F">
            <w:r>
              <w:rPr>
                <w:rFonts w:hint="eastAsia" w:ascii="宋体" w:hAnsi="宋体"/>
                <w:sz w:val="18"/>
                <w:szCs w:val="18"/>
              </w:rPr>
              <w:t>荣成市虎山镇沙嘴子村</w:t>
            </w:r>
          </w:p>
        </w:tc>
        <w:tc>
          <w:tcPr>
            <w:tcW w:w="392" w:type="pct"/>
            <w:vAlign w:val="center"/>
          </w:tcPr>
          <w:p w14:paraId="06790232">
            <w:pPr>
              <w:jc w:val="right"/>
            </w:pPr>
            <w:r>
              <w:rPr>
                <w:rFonts w:hint="eastAsia"/>
                <w:sz w:val="18"/>
                <w:szCs w:val="18"/>
              </w:rPr>
              <w:t>1,000</w:t>
            </w:r>
            <w:r>
              <w:rPr>
                <w:rFonts w:hint="eastAsia" w:ascii="宋体" w:hAnsi="宋体"/>
                <w:sz w:val="18"/>
                <w:szCs w:val="18"/>
              </w:rPr>
              <w:t>万元</w:t>
            </w:r>
          </w:p>
        </w:tc>
        <w:tc>
          <w:tcPr>
            <w:tcW w:w="656" w:type="pct"/>
            <w:vAlign w:val="center"/>
          </w:tcPr>
          <w:p w14:paraId="6B55F2FB">
            <w:r>
              <w:rPr>
                <w:rFonts w:hint="eastAsia" w:ascii="宋体" w:hAnsi="宋体"/>
                <w:sz w:val="18"/>
                <w:szCs w:val="18"/>
              </w:rPr>
              <w:t>荣成市虎山镇沙嘴子村</w:t>
            </w:r>
          </w:p>
        </w:tc>
        <w:tc>
          <w:tcPr>
            <w:tcW w:w="1326" w:type="pct"/>
            <w:vAlign w:val="center"/>
          </w:tcPr>
          <w:p w14:paraId="5B577793">
            <w:r>
              <w:rPr>
                <w:rFonts w:hint="eastAsia" w:ascii="宋体" w:hAnsi="宋体"/>
                <w:sz w:val="18"/>
                <w:szCs w:val="18"/>
              </w:rPr>
              <w:t>批发零售预包装食品、乳制品，泡发海参，包装装饰设计服务，房屋租赁</w:t>
            </w:r>
          </w:p>
        </w:tc>
        <w:tc>
          <w:tcPr>
            <w:tcW w:w="219" w:type="pct"/>
            <w:vAlign w:val="center"/>
          </w:tcPr>
          <w:p w14:paraId="45932DED">
            <w:pPr>
              <w:jc w:val="right"/>
            </w:pPr>
            <w:r>
              <w:rPr>
                <w:rFonts w:hint="eastAsia"/>
                <w:sz w:val="18"/>
                <w:szCs w:val="18"/>
              </w:rPr>
              <w:t>100</w:t>
            </w:r>
          </w:p>
        </w:tc>
        <w:tc>
          <w:tcPr>
            <w:tcW w:w="223" w:type="pct"/>
            <w:vAlign w:val="center"/>
          </w:tcPr>
          <w:p w14:paraId="3A55A9AD">
            <w:pPr>
              <w:jc w:val="right"/>
            </w:pPr>
          </w:p>
        </w:tc>
        <w:tc>
          <w:tcPr>
            <w:tcW w:w="611" w:type="pct"/>
            <w:vAlign w:val="center"/>
          </w:tcPr>
          <w:p w14:paraId="035B1DC1">
            <w:r>
              <w:rPr>
                <w:rFonts w:hint="eastAsia" w:ascii="宋体" w:hAnsi="宋体"/>
                <w:sz w:val="18"/>
                <w:szCs w:val="18"/>
              </w:rPr>
              <w:t>设立或投资取得</w:t>
            </w:r>
          </w:p>
        </w:tc>
      </w:tr>
      <w:tr w14:paraId="62E1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49C7616E">
            <w:r>
              <w:rPr>
                <w:rFonts w:hint="eastAsia" w:ascii="宋体" w:hAnsi="宋体"/>
                <w:sz w:val="18"/>
                <w:szCs w:val="18"/>
              </w:rPr>
              <w:t>山东好当家海洋捕捞有限公司</w:t>
            </w:r>
          </w:p>
        </w:tc>
        <w:tc>
          <w:tcPr>
            <w:tcW w:w="655" w:type="pct"/>
            <w:vAlign w:val="center"/>
          </w:tcPr>
          <w:p w14:paraId="00F1A563">
            <w:r>
              <w:rPr>
                <w:rFonts w:hint="eastAsia" w:ascii="宋体" w:hAnsi="宋体"/>
                <w:sz w:val="18"/>
                <w:szCs w:val="18"/>
              </w:rPr>
              <w:t>荣成市虎山镇</w:t>
            </w:r>
          </w:p>
        </w:tc>
        <w:tc>
          <w:tcPr>
            <w:tcW w:w="392" w:type="pct"/>
            <w:vAlign w:val="center"/>
          </w:tcPr>
          <w:p w14:paraId="51627412">
            <w:pPr>
              <w:jc w:val="right"/>
            </w:pPr>
            <w:r>
              <w:rPr>
                <w:rFonts w:hint="eastAsia"/>
                <w:sz w:val="18"/>
                <w:szCs w:val="18"/>
              </w:rPr>
              <w:t>30,000</w:t>
            </w:r>
            <w:r>
              <w:rPr>
                <w:rFonts w:hint="eastAsia" w:ascii="宋体" w:hAnsi="宋体"/>
                <w:sz w:val="18"/>
                <w:szCs w:val="18"/>
              </w:rPr>
              <w:t>万元</w:t>
            </w:r>
          </w:p>
        </w:tc>
        <w:tc>
          <w:tcPr>
            <w:tcW w:w="656" w:type="pct"/>
            <w:vAlign w:val="center"/>
          </w:tcPr>
          <w:p w14:paraId="490BBDB7">
            <w:r>
              <w:rPr>
                <w:rFonts w:hint="eastAsia" w:ascii="宋体" w:hAnsi="宋体"/>
                <w:sz w:val="18"/>
                <w:szCs w:val="18"/>
              </w:rPr>
              <w:t>荣成市虎山镇</w:t>
            </w:r>
          </w:p>
        </w:tc>
        <w:tc>
          <w:tcPr>
            <w:tcW w:w="1326" w:type="pct"/>
            <w:vAlign w:val="center"/>
          </w:tcPr>
          <w:p w14:paraId="6279FF5A">
            <w:r>
              <w:rPr>
                <w:rFonts w:hint="eastAsia" w:ascii="宋体" w:hAnsi="宋体"/>
                <w:sz w:val="18"/>
                <w:szCs w:val="18"/>
              </w:rPr>
              <w:t>海洋捕捞，以下限分公司经营：水产品冷冻加工销售，鱼粉、鱼油加工与销售，盐渍海带加工、销售</w:t>
            </w:r>
          </w:p>
        </w:tc>
        <w:tc>
          <w:tcPr>
            <w:tcW w:w="219" w:type="pct"/>
            <w:vAlign w:val="center"/>
          </w:tcPr>
          <w:p w14:paraId="7D4612C8">
            <w:pPr>
              <w:jc w:val="right"/>
            </w:pPr>
            <w:r>
              <w:rPr>
                <w:rFonts w:hint="eastAsia"/>
                <w:sz w:val="18"/>
                <w:szCs w:val="18"/>
              </w:rPr>
              <w:t>97.67</w:t>
            </w:r>
          </w:p>
        </w:tc>
        <w:tc>
          <w:tcPr>
            <w:tcW w:w="223" w:type="pct"/>
            <w:vAlign w:val="center"/>
          </w:tcPr>
          <w:p w14:paraId="044B82DD">
            <w:pPr>
              <w:jc w:val="right"/>
            </w:pPr>
          </w:p>
        </w:tc>
        <w:tc>
          <w:tcPr>
            <w:tcW w:w="611" w:type="pct"/>
            <w:vAlign w:val="center"/>
          </w:tcPr>
          <w:p w14:paraId="5FE803AB">
            <w:r>
              <w:rPr>
                <w:rFonts w:hint="eastAsia" w:ascii="宋体" w:hAnsi="宋体"/>
                <w:sz w:val="18"/>
                <w:szCs w:val="18"/>
              </w:rPr>
              <w:t>设立或投资取得</w:t>
            </w:r>
          </w:p>
        </w:tc>
      </w:tr>
      <w:tr w14:paraId="3F04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0F27486F">
            <w:r>
              <w:rPr>
                <w:rFonts w:hint="eastAsia" w:ascii="宋体" w:hAnsi="宋体"/>
                <w:sz w:val="18"/>
                <w:szCs w:val="18"/>
              </w:rPr>
              <w:t>威海海翔食品检测服务有限公司</w:t>
            </w:r>
          </w:p>
        </w:tc>
        <w:tc>
          <w:tcPr>
            <w:tcW w:w="655" w:type="pct"/>
            <w:vAlign w:val="center"/>
          </w:tcPr>
          <w:p w14:paraId="71127D80">
            <w:r>
              <w:rPr>
                <w:rFonts w:hint="eastAsia" w:ascii="宋体" w:hAnsi="宋体"/>
                <w:sz w:val="18"/>
                <w:szCs w:val="18"/>
              </w:rPr>
              <w:t>荣成市虎山镇</w:t>
            </w:r>
          </w:p>
        </w:tc>
        <w:tc>
          <w:tcPr>
            <w:tcW w:w="392" w:type="pct"/>
            <w:vAlign w:val="center"/>
          </w:tcPr>
          <w:p w14:paraId="6D658AAA">
            <w:pPr>
              <w:jc w:val="right"/>
            </w:pPr>
            <w:r>
              <w:rPr>
                <w:rFonts w:hint="eastAsia"/>
                <w:sz w:val="18"/>
                <w:szCs w:val="18"/>
              </w:rPr>
              <w:t>2,000</w:t>
            </w:r>
            <w:r>
              <w:rPr>
                <w:rFonts w:hint="eastAsia" w:ascii="宋体" w:hAnsi="宋体"/>
                <w:sz w:val="18"/>
                <w:szCs w:val="18"/>
              </w:rPr>
              <w:t>万元</w:t>
            </w:r>
          </w:p>
        </w:tc>
        <w:tc>
          <w:tcPr>
            <w:tcW w:w="656" w:type="pct"/>
            <w:vAlign w:val="center"/>
          </w:tcPr>
          <w:p w14:paraId="6B857CA3">
            <w:r>
              <w:rPr>
                <w:rFonts w:hint="eastAsia" w:ascii="宋体" w:hAnsi="宋体"/>
                <w:sz w:val="18"/>
                <w:szCs w:val="18"/>
              </w:rPr>
              <w:t>荣成市虎山镇</w:t>
            </w:r>
          </w:p>
        </w:tc>
        <w:tc>
          <w:tcPr>
            <w:tcW w:w="1326" w:type="pct"/>
            <w:vAlign w:val="center"/>
          </w:tcPr>
          <w:p w14:paraId="7B0B742B">
            <w:r>
              <w:rPr>
                <w:rFonts w:hint="eastAsia" w:ascii="宋体" w:hAnsi="宋体"/>
                <w:sz w:val="18"/>
                <w:szCs w:val="18"/>
              </w:rPr>
              <w:t>食品检测服务</w:t>
            </w:r>
          </w:p>
        </w:tc>
        <w:tc>
          <w:tcPr>
            <w:tcW w:w="219" w:type="pct"/>
            <w:vAlign w:val="center"/>
          </w:tcPr>
          <w:p w14:paraId="017498AD">
            <w:pPr>
              <w:jc w:val="right"/>
            </w:pPr>
            <w:r>
              <w:rPr>
                <w:rFonts w:hint="eastAsia"/>
                <w:sz w:val="18"/>
                <w:szCs w:val="18"/>
              </w:rPr>
              <w:t>99.5</w:t>
            </w:r>
          </w:p>
        </w:tc>
        <w:tc>
          <w:tcPr>
            <w:tcW w:w="223" w:type="pct"/>
            <w:vAlign w:val="center"/>
          </w:tcPr>
          <w:p w14:paraId="7111CC7B">
            <w:pPr>
              <w:jc w:val="right"/>
            </w:pPr>
            <w:r>
              <w:rPr>
                <w:rFonts w:hint="eastAsia"/>
                <w:sz w:val="18"/>
                <w:szCs w:val="18"/>
              </w:rPr>
              <w:t>0.5</w:t>
            </w:r>
          </w:p>
        </w:tc>
        <w:tc>
          <w:tcPr>
            <w:tcW w:w="611" w:type="pct"/>
            <w:vAlign w:val="center"/>
          </w:tcPr>
          <w:p w14:paraId="52DE8E42">
            <w:r>
              <w:rPr>
                <w:rFonts w:hint="eastAsia" w:ascii="宋体" w:hAnsi="宋体"/>
                <w:sz w:val="18"/>
                <w:szCs w:val="18"/>
              </w:rPr>
              <w:t>设立或投资取得</w:t>
            </w:r>
          </w:p>
        </w:tc>
      </w:tr>
      <w:tr w14:paraId="14F3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5EB43AF3">
            <w:r>
              <w:rPr>
                <w:rFonts w:hint="eastAsia" w:ascii="宋体" w:hAnsi="宋体"/>
                <w:sz w:val="18"/>
                <w:szCs w:val="18"/>
              </w:rPr>
              <w:t>好当家乳山荣佳食品有限公司</w:t>
            </w:r>
          </w:p>
        </w:tc>
        <w:tc>
          <w:tcPr>
            <w:tcW w:w="655" w:type="pct"/>
            <w:vAlign w:val="center"/>
          </w:tcPr>
          <w:p w14:paraId="434653B8">
            <w:r>
              <w:rPr>
                <w:rFonts w:hint="eastAsia" w:ascii="宋体" w:hAnsi="宋体"/>
                <w:sz w:val="18"/>
                <w:szCs w:val="18"/>
              </w:rPr>
              <w:t>乳山市徐家镇驻地</w:t>
            </w:r>
          </w:p>
        </w:tc>
        <w:tc>
          <w:tcPr>
            <w:tcW w:w="392" w:type="pct"/>
            <w:vAlign w:val="center"/>
          </w:tcPr>
          <w:p w14:paraId="7C0692B5">
            <w:pPr>
              <w:jc w:val="right"/>
            </w:pPr>
            <w:r>
              <w:rPr>
                <w:rFonts w:hint="eastAsia"/>
                <w:sz w:val="18"/>
                <w:szCs w:val="18"/>
              </w:rPr>
              <w:t>5,000</w:t>
            </w:r>
            <w:r>
              <w:rPr>
                <w:rFonts w:hint="eastAsia" w:ascii="宋体" w:hAnsi="宋体"/>
                <w:sz w:val="18"/>
                <w:szCs w:val="18"/>
              </w:rPr>
              <w:t>万元</w:t>
            </w:r>
          </w:p>
        </w:tc>
        <w:tc>
          <w:tcPr>
            <w:tcW w:w="656" w:type="pct"/>
            <w:vAlign w:val="center"/>
          </w:tcPr>
          <w:p w14:paraId="233713EE">
            <w:r>
              <w:rPr>
                <w:rFonts w:hint="eastAsia" w:ascii="宋体" w:hAnsi="宋体"/>
                <w:sz w:val="18"/>
                <w:szCs w:val="18"/>
              </w:rPr>
              <w:t>乳山市徐家镇驻地</w:t>
            </w:r>
          </w:p>
        </w:tc>
        <w:tc>
          <w:tcPr>
            <w:tcW w:w="1326" w:type="pct"/>
            <w:vAlign w:val="center"/>
          </w:tcPr>
          <w:p w14:paraId="130453C7">
            <w:r>
              <w:rPr>
                <w:rFonts w:hint="eastAsia" w:ascii="宋体" w:hAnsi="宋体"/>
                <w:sz w:val="18"/>
                <w:szCs w:val="18"/>
              </w:rPr>
              <w:t>果蔬罐头、畜禽水产罐头生产、销售。水产品冷冻储存及初级加工、销售。</w:t>
            </w:r>
          </w:p>
        </w:tc>
        <w:tc>
          <w:tcPr>
            <w:tcW w:w="219" w:type="pct"/>
            <w:vAlign w:val="center"/>
          </w:tcPr>
          <w:p w14:paraId="280EA341">
            <w:pPr>
              <w:jc w:val="right"/>
            </w:pPr>
            <w:r>
              <w:rPr>
                <w:rFonts w:hint="eastAsia"/>
                <w:sz w:val="18"/>
                <w:szCs w:val="18"/>
              </w:rPr>
              <w:t>100</w:t>
            </w:r>
          </w:p>
        </w:tc>
        <w:tc>
          <w:tcPr>
            <w:tcW w:w="223" w:type="pct"/>
            <w:vAlign w:val="center"/>
          </w:tcPr>
          <w:p w14:paraId="5499C3A9">
            <w:pPr>
              <w:jc w:val="right"/>
            </w:pPr>
          </w:p>
        </w:tc>
        <w:tc>
          <w:tcPr>
            <w:tcW w:w="611" w:type="pct"/>
            <w:vAlign w:val="center"/>
          </w:tcPr>
          <w:p w14:paraId="29F41C70">
            <w:r>
              <w:rPr>
                <w:rFonts w:hint="eastAsia" w:ascii="宋体" w:hAnsi="宋体"/>
                <w:sz w:val="18"/>
                <w:szCs w:val="18"/>
              </w:rPr>
              <w:t>设立或投资取得</w:t>
            </w:r>
          </w:p>
        </w:tc>
      </w:tr>
      <w:tr w14:paraId="52F4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37F87E3A">
            <w:r>
              <w:rPr>
                <w:rFonts w:hint="eastAsia" w:ascii="宋体" w:hAnsi="宋体"/>
                <w:sz w:val="18"/>
                <w:szCs w:val="18"/>
              </w:rPr>
              <w:t>荣成荣进食品有限公司</w:t>
            </w:r>
          </w:p>
        </w:tc>
        <w:tc>
          <w:tcPr>
            <w:tcW w:w="655" w:type="pct"/>
            <w:vAlign w:val="center"/>
          </w:tcPr>
          <w:p w14:paraId="530F5B8C">
            <w:r>
              <w:rPr>
                <w:rFonts w:hint="eastAsia" w:ascii="宋体" w:hAnsi="宋体"/>
                <w:sz w:val="18"/>
                <w:szCs w:val="18"/>
              </w:rPr>
              <w:t>荣成市虎山镇沙嘴子村</w:t>
            </w:r>
          </w:p>
        </w:tc>
        <w:tc>
          <w:tcPr>
            <w:tcW w:w="392" w:type="pct"/>
            <w:vAlign w:val="center"/>
          </w:tcPr>
          <w:p w14:paraId="0F37F9F5">
            <w:pPr>
              <w:jc w:val="right"/>
            </w:pPr>
            <w:r>
              <w:rPr>
                <w:rFonts w:hint="eastAsia"/>
                <w:sz w:val="18"/>
                <w:szCs w:val="18"/>
              </w:rPr>
              <w:t>996</w:t>
            </w:r>
            <w:r>
              <w:rPr>
                <w:rFonts w:hint="eastAsia" w:ascii="宋体" w:hAnsi="宋体"/>
                <w:sz w:val="18"/>
                <w:szCs w:val="18"/>
              </w:rPr>
              <w:t>万元</w:t>
            </w:r>
          </w:p>
        </w:tc>
        <w:tc>
          <w:tcPr>
            <w:tcW w:w="656" w:type="pct"/>
            <w:vAlign w:val="center"/>
          </w:tcPr>
          <w:p w14:paraId="717CD549">
            <w:r>
              <w:rPr>
                <w:rFonts w:hint="eastAsia" w:ascii="宋体" w:hAnsi="宋体"/>
                <w:sz w:val="18"/>
                <w:szCs w:val="18"/>
              </w:rPr>
              <w:t>荣成市虎山镇沙嘴子村</w:t>
            </w:r>
          </w:p>
        </w:tc>
        <w:tc>
          <w:tcPr>
            <w:tcW w:w="1326" w:type="pct"/>
            <w:vAlign w:val="center"/>
          </w:tcPr>
          <w:p w14:paraId="5D0F54F1">
            <w:r>
              <w:rPr>
                <w:rFonts w:hint="eastAsia" w:ascii="宋体" w:hAnsi="宋体"/>
                <w:sz w:val="18"/>
                <w:szCs w:val="18"/>
              </w:rPr>
              <w:t>速冻调制食品的加工与销售</w:t>
            </w:r>
          </w:p>
        </w:tc>
        <w:tc>
          <w:tcPr>
            <w:tcW w:w="219" w:type="pct"/>
            <w:vAlign w:val="center"/>
          </w:tcPr>
          <w:p w14:paraId="303A9278">
            <w:pPr>
              <w:jc w:val="right"/>
            </w:pPr>
            <w:r>
              <w:rPr>
                <w:rFonts w:hint="eastAsia"/>
                <w:sz w:val="18"/>
                <w:szCs w:val="18"/>
              </w:rPr>
              <w:t>25</w:t>
            </w:r>
          </w:p>
        </w:tc>
        <w:tc>
          <w:tcPr>
            <w:tcW w:w="223" w:type="pct"/>
            <w:vAlign w:val="center"/>
          </w:tcPr>
          <w:p w14:paraId="5211D52B">
            <w:pPr>
              <w:jc w:val="right"/>
            </w:pPr>
            <w:r>
              <w:rPr>
                <w:rFonts w:hint="eastAsia"/>
                <w:sz w:val="18"/>
                <w:szCs w:val="18"/>
              </w:rPr>
              <w:t>56.25</w:t>
            </w:r>
          </w:p>
        </w:tc>
        <w:tc>
          <w:tcPr>
            <w:tcW w:w="611" w:type="pct"/>
            <w:vAlign w:val="center"/>
          </w:tcPr>
          <w:p w14:paraId="112BA8B8">
            <w:bookmarkStart w:id="391" w:name="OLE_LINK136"/>
            <w:r>
              <w:rPr>
                <w:rFonts w:hint="eastAsia" w:ascii="宋体" w:hAnsi="宋体"/>
                <w:sz w:val="18"/>
                <w:szCs w:val="18"/>
              </w:rPr>
              <w:t>同一控制下企业合并</w:t>
            </w:r>
            <w:bookmarkEnd w:id="391"/>
          </w:p>
        </w:tc>
      </w:tr>
      <w:tr w14:paraId="77F9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30B5D323">
            <w:r>
              <w:rPr>
                <w:rFonts w:hint="eastAsia" w:ascii="宋体" w:hAnsi="宋体"/>
                <w:sz w:val="18"/>
                <w:szCs w:val="18"/>
              </w:rPr>
              <w:t>山东海普盾生物科技有限公司</w:t>
            </w:r>
          </w:p>
        </w:tc>
        <w:tc>
          <w:tcPr>
            <w:tcW w:w="655" w:type="pct"/>
            <w:vAlign w:val="center"/>
          </w:tcPr>
          <w:p w14:paraId="4A71BA29">
            <w:r>
              <w:rPr>
                <w:rFonts w:hint="eastAsia" w:ascii="宋体" w:hAnsi="宋体"/>
                <w:sz w:val="18"/>
                <w:szCs w:val="18"/>
              </w:rPr>
              <w:t>荣成市虎山镇</w:t>
            </w:r>
          </w:p>
        </w:tc>
        <w:tc>
          <w:tcPr>
            <w:tcW w:w="392" w:type="pct"/>
            <w:vAlign w:val="center"/>
          </w:tcPr>
          <w:p w14:paraId="07FF8593">
            <w:pPr>
              <w:jc w:val="right"/>
            </w:pPr>
            <w:r>
              <w:rPr>
                <w:rFonts w:hint="eastAsia"/>
                <w:sz w:val="18"/>
                <w:szCs w:val="18"/>
              </w:rPr>
              <w:t>12,100</w:t>
            </w:r>
            <w:r>
              <w:rPr>
                <w:rFonts w:hint="eastAsia" w:ascii="宋体" w:hAnsi="宋体"/>
                <w:sz w:val="18"/>
                <w:szCs w:val="18"/>
              </w:rPr>
              <w:t>万元</w:t>
            </w:r>
          </w:p>
        </w:tc>
        <w:tc>
          <w:tcPr>
            <w:tcW w:w="656" w:type="pct"/>
            <w:vAlign w:val="center"/>
          </w:tcPr>
          <w:p w14:paraId="70B4013C">
            <w:r>
              <w:rPr>
                <w:rFonts w:hint="eastAsia" w:ascii="宋体" w:hAnsi="宋体"/>
                <w:sz w:val="18"/>
                <w:szCs w:val="18"/>
              </w:rPr>
              <w:t>荣成市虎山镇</w:t>
            </w:r>
          </w:p>
        </w:tc>
        <w:tc>
          <w:tcPr>
            <w:tcW w:w="1326" w:type="pct"/>
            <w:vAlign w:val="center"/>
          </w:tcPr>
          <w:p w14:paraId="44A05AC6">
            <w:r>
              <w:rPr>
                <w:rFonts w:hint="eastAsia" w:ascii="宋体" w:hAnsi="宋体"/>
                <w:sz w:val="18"/>
                <w:szCs w:val="18"/>
              </w:rPr>
              <w:t>海参饮料、好当家软胶囊、糖果的加工、销售，海参、海蜇、生物技术研究开发，化妆品的销售</w:t>
            </w:r>
          </w:p>
        </w:tc>
        <w:tc>
          <w:tcPr>
            <w:tcW w:w="219" w:type="pct"/>
            <w:vAlign w:val="center"/>
          </w:tcPr>
          <w:p w14:paraId="56C7410F">
            <w:pPr>
              <w:jc w:val="right"/>
            </w:pPr>
            <w:r>
              <w:rPr>
                <w:rFonts w:hint="eastAsia"/>
                <w:sz w:val="18"/>
                <w:szCs w:val="18"/>
              </w:rPr>
              <w:t>99.17</w:t>
            </w:r>
          </w:p>
        </w:tc>
        <w:tc>
          <w:tcPr>
            <w:tcW w:w="223" w:type="pct"/>
            <w:vAlign w:val="center"/>
          </w:tcPr>
          <w:p w14:paraId="3517C234">
            <w:pPr>
              <w:jc w:val="right"/>
            </w:pPr>
            <w:r>
              <w:rPr>
                <w:rFonts w:hint="eastAsia"/>
                <w:sz w:val="18"/>
                <w:szCs w:val="18"/>
              </w:rPr>
              <w:t>0.82</w:t>
            </w:r>
          </w:p>
        </w:tc>
        <w:tc>
          <w:tcPr>
            <w:tcW w:w="611" w:type="pct"/>
            <w:vAlign w:val="center"/>
          </w:tcPr>
          <w:p w14:paraId="6B8211FD">
            <w:r>
              <w:rPr>
                <w:rFonts w:hint="eastAsia" w:ascii="宋体" w:hAnsi="宋体"/>
                <w:sz w:val="18"/>
                <w:szCs w:val="18"/>
              </w:rPr>
              <w:t>设立或投资取得</w:t>
            </w:r>
          </w:p>
        </w:tc>
      </w:tr>
      <w:tr w14:paraId="0943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321F547F">
            <w:r>
              <w:rPr>
                <w:rFonts w:hint="eastAsia" w:ascii="宋体" w:hAnsi="宋体"/>
                <w:sz w:val="18"/>
                <w:szCs w:val="18"/>
              </w:rPr>
              <w:t>山东好当家海森药业有限公司</w:t>
            </w:r>
          </w:p>
        </w:tc>
        <w:tc>
          <w:tcPr>
            <w:tcW w:w="655" w:type="pct"/>
            <w:vAlign w:val="center"/>
          </w:tcPr>
          <w:p w14:paraId="76F952CB">
            <w:r>
              <w:rPr>
                <w:rFonts w:hint="eastAsia" w:ascii="宋体" w:hAnsi="宋体"/>
                <w:sz w:val="18"/>
                <w:szCs w:val="18"/>
              </w:rPr>
              <w:t>荣成市成山大道</w:t>
            </w:r>
          </w:p>
        </w:tc>
        <w:tc>
          <w:tcPr>
            <w:tcW w:w="392" w:type="pct"/>
            <w:vAlign w:val="center"/>
          </w:tcPr>
          <w:p w14:paraId="55EA1A99">
            <w:pPr>
              <w:jc w:val="right"/>
            </w:pPr>
            <w:r>
              <w:rPr>
                <w:rFonts w:hint="eastAsia"/>
                <w:sz w:val="18"/>
                <w:szCs w:val="18"/>
              </w:rPr>
              <w:t>5,000</w:t>
            </w:r>
            <w:r>
              <w:rPr>
                <w:rFonts w:hint="eastAsia" w:ascii="宋体" w:hAnsi="宋体"/>
                <w:sz w:val="18"/>
                <w:szCs w:val="18"/>
              </w:rPr>
              <w:t>万元</w:t>
            </w:r>
          </w:p>
        </w:tc>
        <w:tc>
          <w:tcPr>
            <w:tcW w:w="656" w:type="pct"/>
            <w:vAlign w:val="center"/>
          </w:tcPr>
          <w:p w14:paraId="110B4C4E">
            <w:r>
              <w:rPr>
                <w:rFonts w:hint="eastAsia" w:ascii="宋体" w:hAnsi="宋体"/>
                <w:sz w:val="18"/>
                <w:szCs w:val="18"/>
              </w:rPr>
              <w:t>荣成市成山大道</w:t>
            </w:r>
          </w:p>
        </w:tc>
        <w:tc>
          <w:tcPr>
            <w:tcW w:w="1326" w:type="pct"/>
            <w:vAlign w:val="center"/>
          </w:tcPr>
          <w:p w14:paraId="797B1550">
            <w:r>
              <w:rPr>
                <w:rFonts w:hint="eastAsia" w:ascii="宋体" w:hAnsi="宋体"/>
                <w:sz w:val="18"/>
                <w:szCs w:val="18"/>
              </w:rPr>
              <w:t>片剂、硬胶囊剂、颗粒剂制造销售，中药材的初加工销售</w:t>
            </w:r>
          </w:p>
        </w:tc>
        <w:tc>
          <w:tcPr>
            <w:tcW w:w="219" w:type="pct"/>
            <w:vAlign w:val="center"/>
          </w:tcPr>
          <w:p w14:paraId="01ED9B1F">
            <w:pPr>
              <w:jc w:val="right"/>
            </w:pPr>
            <w:r>
              <w:rPr>
                <w:rFonts w:hint="eastAsia"/>
                <w:sz w:val="18"/>
                <w:szCs w:val="18"/>
              </w:rPr>
              <w:t>100</w:t>
            </w:r>
          </w:p>
        </w:tc>
        <w:tc>
          <w:tcPr>
            <w:tcW w:w="223" w:type="pct"/>
            <w:vAlign w:val="center"/>
          </w:tcPr>
          <w:p w14:paraId="1364ADE2">
            <w:pPr>
              <w:jc w:val="right"/>
            </w:pPr>
          </w:p>
        </w:tc>
        <w:tc>
          <w:tcPr>
            <w:tcW w:w="611" w:type="pct"/>
            <w:vAlign w:val="center"/>
          </w:tcPr>
          <w:p w14:paraId="186F84BB">
            <w:r>
              <w:rPr>
                <w:rFonts w:hint="eastAsia" w:ascii="宋体" w:hAnsi="宋体"/>
                <w:sz w:val="18"/>
                <w:szCs w:val="18"/>
              </w:rPr>
              <w:t>设立或投资取得</w:t>
            </w:r>
          </w:p>
        </w:tc>
      </w:tr>
      <w:tr w14:paraId="54B2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190694AE">
            <w:r>
              <w:rPr>
                <w:rFonts w:hint="eastAsia" w:ascii="宋体" w:hAnsi="宋体"/>
                <w:sz w:val="18"/>
                <w:szCs w:val="18"/>
              </w:rPr>
              <w:t>荣成市荣顺塑料管业有限公司</w:t>
            </w:r>
          </w:p>
        </w:tc>
        <w:tc>
          <w:tcPr>
            <w:tcW w:w="655" w:type="pct"/>
            <w:vAlign w:val="center"/>
          </w:tcPr>
          <w:p w14:paraId="2C82A669">
            <w:r>
              <w:rPr>
                <w:rFonts w:hint="eastAsia" w:ascii="宋体" w:hAnsi="宋体"/>
                <w:sz w:val="18"/>
                <w:szCs w:val="18"/>
              </w:rPr>
              <w:t>荣成市虎山镇</w:t>
            </w:r>
          </w:p>
        </w:tc>
        <w:tc>
          <w:tcPr>
            <w:tcW w:w="392" w:type="pct"/>
            <w:vAlign w:val="center"/>
          </w:tcPr>
          <w:p w14:paraId="2B36E3C3">
            <w:pPr>
              <w:jc w:val="right"/>
            </w:pPr>
            <w:r>
              <w:rPr>
                <w:rFonts w:hint="eastAsia"/>
                <w:sz w:val="18"/>
                <w:szCs w:val="18"/>
              </w:rPr>
              <w:t>500</w:t>
            </w:r>
            <w:r>
              <w:rPr>
                <w:rFonts w:hint="eastAsia" w:ascii="宋体" w:hAnsi="宋体"/>
                <w:sz w:val="18"/>
                <w:szCs w:val="18"/>
              </w:rPr>
              <w:t>万元</w:t>
            </w:r>
          </w:p>
        </w:tc>
        <w:tc>
          <w:tcPr>
            <w:tcW w:w="656" w:type="pct"/>
            <w:vAlign w:val="center"/>
          </w:tcPr>
          <w:p w14:paraId="73CC6C9B">
            <w:r>
              <w:rPr>
                <w:rFonts w:hint="eastAsia" w:ascii="宋体" w:hAnsi="宋体"/>
                <w:sz w:val="18"/>
                <w:szCs w:val="18"/>
              </w:rPr>
              <w:t>荣成市虎山镇</w:t>
            </w:r>
          </w:p>
        </w:tc>
        <w:tc>
          <w:tcPr>
            <w:tcW w:w="1326" w:type="pct"/>
            <w:vAlign w:val="center"/>
          </w:tcPr>
          <w:p w14:paraId="046F5C11">
            <w:r>
              <w:rPr>
                <w:rFonts w:hint="eastAsia" w:ascii="宋体" w:hAnsi="宋体"/>
                <w:sz w:val="18"/>
                <w:szCs w:val="18"/>
              </w:rPr>
              <w:t>塑料管及塑料制品的生产与销售</w:t>
            </w:r>
          </w:p>
        </w:tc>
        <w:tc>
          <w:tcPr>
            <w:tcW w:w="219" w:type="pct"/>
            <w:vAlign w:val="center"/>
          </w:tcPr>
          <w:p w14:paraId="3F2B9F10">
            <w:pPr>
              <w:jc w:val="right"/>
            </w:pPr>
            <w:r>
              <w:rPr>
                <w:rFonts w:hint="eastAsia"/>
                <w:sz w:val="18"/>
                <w:szCs w:val="18"/>
              </w:rPr>
              <w:t>100</w:t>
            </w:r>
          </w:p>
        </w:tc>
        <w:tc>
          <w:tcPr>
            <w:tcW w:w="223" w:type="pct"/>
            <w:vAlign w:val="center"/>
          </w:tcPr>
          <w:p w14:paraId="07820D12">
            <w:pPr>
              <w:jc w:val="right"/>
            </w:pPr>
          </w:p>
        </w:tc>
        <w:tc>
          <w:tcPr>
            <w:tcW w:w="611" w:type="pct"/>
            <w:vAlign w:val="center"/>
          </w:tcPr>
          <w:p w14:paraId="233C205E">
            <w:r>
              <w:rPr>
                <w:rFonts w:hint="eastAsia" w:ascii="宋体" w:hAnsi="宋体"/>
                <w:sz w:val="18"/>
                <w:szCs w:val="18"/>
              </w:rPr>
              <w:t>设立或投资取得</w:t>
            </w:r>
          </w:p>
        </w:tc>
      </w:tr>
      <w:tr w14:paraId="1371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067A2FCD">
            <w:r>
              <w:rPr>
                <w:rFonts w:hint="eastAsia" w:ascii="宋体" w:hAnsi="宋体"/>
                <w:sz w:val="18"/>
                <w:szCs w:val="18"/>
              </w:rPr>
              <w:t>山东好当家调理食品销售有限公司</w:t>
            </w:r>
          </w:p>
        </w:tc>
        <w:tc>
          <w:tcPr>
            <w:tcW w:w="655" w:type="pct"/>
            <w:vAlign w:val="center"/>
          </w:tcPr>
          <w:p w14:paraId="1888785C">
            <w:r>
              <w:rPr>
                <w:rFonts w:hint="eastAsia" w:ascii="宋体" w:hAnsi="宋体"/>
                <w:sz w:val="18"/>
                <w:szCs w:val="18"/>
              </w:rPr>
              <w:t>荣成市虎山镇</w:t>
            </w:r>
          </w:p>
        </w:tc>
        <w:tc>
          <w:tcPr>
            <w:tcW w:w="392" w:type="pct"/>
            <w:vAlign w:val="center"/>
          </w:tcPr>
          <w:p w14:paraId="467E0D54">
            <w:pPr>
              <w:jc w:val="right"/>
            </w:pPr>
            <w:r>
              <w:rPr>
                <w:rFonts w:hint="eastAsia"/>
                <w:sz w:val="18"/>
                <w:szCs w:val="18"/>
              </w:rPr>
              <w:t>1,000</w:t>
            </w:r>
            <w:r>
              <w:rPr>
                <w:rFonts w:hint="eastAsia" w:ascii="宋体" w:hAnsi="宋体"/>
                <w:sz w:val="18"/>
                <w:szCs w:val="18"/>
              </w:rPr>
              <w:t>万元</w:t>
            </w:r>
          </w:p>
        </w:tc>
        <w:tc>
          <w:tcPr>
            <w:tcW w:w="656" w:type="pct"/>
            <w:vAlign w:val="center"/>
          </w:tcPr>
          <w:p w14:paraId="6CD23A49">
            <w:r>
              <w:rPr>
                <w:rFonts w:hint="eastAsia" w:ascii="宋体" w:hAnsi="宋体"/>
                <w:sz w:val="18"/>
                <w:szCs w:val="18"/>
              </w:rPr>
              <w:t>荣成市虎山镇</w:t>
            </w:r>
          </w:p>
        </w:tc>
        <w:tc>
          <w:tcPr>
            <w:tcW w:w="1326" w:type="pct"/>
            <w:vAlign w:val="center"/>
          </w:tcPr>
          <w:p w14:paraId="5812FC80">
            <w:r>
              <w:rPr>
                <w:rFonts w:hint="eastAsia" w:ascii="宋体" w:hAnsi="宋体"/>
                <w:sz w:val="18"/>
                <w:szCs w:val="18"/>
              </w:rPr>
              <w:t>批发兼零售预包装食品兼散装食品，乳制品（不含婴幼儿配方乳粉）</w:t>
            </w:r>
          </w:p>
        </w:tc>
        <w:tc>
          <w:tcPr>
            <w:tcW w:w="219" w:type="pct"/>
            <w:vAlign w:val="center"/>
          </w:tcPr>
          <w:p w14:paraId="6B6DAF9C">
            <w:pPr>
              <w:jc w:val="right"/>
            </w:pPr>
            <w:r>
              <w:rPr>
                <w:rFonts w:hint="eastAsia"/>
                <w:sz w:val="18"/>
                <w:szCs w:val="18"/>
              </w:rPr>
              <w:t>100</w:t>
            </w:r>
          </w:p>
        </w:tc>
        <w:tc>
          <w:tcPr>
            <w:tcW w:w="223" w:type="pct"/>
            <w:vAlign w:val="center"/>
          </w:tcPr>
          <w:p w14:paraId="69F6F033">
            <w:pPr>
              <w:jc w:val="right"/>
            </w:pPr>
          </w:p>
        </w:tc>
        <w:tc>
          <w:tcPr>
            <w:tcW w:w="611" w:type="pct"/>
            <w:vAlign w:val="center"/>
          </w:tcPr>
          <w:p w14:paraId="4169D089">
            <w:r>
              <w:rPr>
                <w:rFonts w:hint="eastAsia" w:ascii="宋体" w:hAnsi="宋体"/>
                <w:sz w:val="18"/>
                <w:szCs w:val="18"/>
              </w:rPr>
              <w:t>设立或投资取得</w:t>
            </w:r>
          </w:p>
        </w:tc>
      </w:tr>
      <w:tr w14:paraId="26B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74510717">
            <w:r>
              <w:rPr>
                <w:rFonts w:hint="eastAsia" w:ascii="宋体" w:hAnsi="宋体"/>
                <w:sz w:val="18"/>
                <w:szCs w:val="18"/>
              </w:rPr>
              <w:t>日照好当家荣海水产有限公司</w:t>
            </w:r>
          </w:p>
        </w:tc>
        <w:tc>
          <w:tcPr>
            <w:tcW w:w="655" w:type="pct"/>
            <w:vAlign w:val="center"/>
          </w:tcPr>
          <w:p w14:paraId="6389F829">
            <w:r>
              <w:rPr>
                <w:rFonts w:hint="eastAsia" w:ascii="宋体" w:hAnsi="宋体"/>
                <w:sz w:val="18"/>
                <w:szCs w:val="18"/>
              </w:rPr>
              <w:t>山东日照</w:t>
            </w:r>
          </w:p>
        </w:tc>
        <w:tc>
          <w:tcPr>
            <w:tcW w:w="392" w:type="pct"/>
            <w:vAlign w:val="center"/>
          </w:tcPr>
          <w:p w14:paraId="3F023202">
            <w:pPr>
              <w:jc w:val="right"/>
            </w:pPr>
            <w:r>
              <w:rPr>
                <w:rFonts w:hint="eastAsia"/>
                <w:sz w:val="18"/>
                <w:szCs w:val="18"/>
              </w:rPr>
              <w:t>2,000</w:t>
            </w:r>
            <w:r>
              <w:rPr>
                <w:rFonts w:hint="eastAsia" w:ascii="宋体" w:hAnsi="宋体"/>
                <w:sz w:val="18"/>
                <w:szCs w:val="18"/>
              </w:rPr>
              <w:t>万元</w:t>
            </w:r>
          </w:p>
        </w:tc>
        <w:tc>
          <w:tcPr>
            <w:tcW w:w="656" w:type="pct"/>
            <w:vAlign w:val="center"/>
          </w:tcPr>
          <w:p w14:paraId="52454CE5">
            <w:r>
              <w:rPr>
                <w:rFonts w:hint="eastAsia" w:ascii="宋体" w:hAnsi="宋体"/>
                <w:sz w:val="18"/>
                <w:szCs w:val="18"/>
              </w:rPr>
              <w:t>山东日照</w:t>
            </w:r>
          </w:p>
        </w:tc>
        <w:tc>
          <w:tcPr>
            <w:tcW w:w="1326" w:type="pct"/>
            <w:vAlign w:val="center"/>
          </w:tcPr>
          <w:p w14:paraId="47A3C2AF">
            <w:r>
              <w:rPr>
                <w:rFonts w:hint="eastAsia" w:ascii="宋体" w:hAnsi="宋体"/>
                <w:sz w:val="18"/>
                <w:szCs w:val="18"/>
              </w:rPr>
              <w:t>水产品冷冻加工销售、货物专用运输、纸箱包装、网具加工销售。</w:t>
            </w:r>
          </w:p>
        </w:tc>
        <w:tc>
          <w:tcPr>
            <w:tcW w:w="219" w:type="pct"/>
            <w:vAlign w:val="center"/>
          </w:tcPr>
          <w:p w14:paraId="70709714">
            <w:pPr>
              <w:jc w:val="right"/>
            </w:pPr>
            <w:r>
              <w:rPr>
                <w:rFonts w:hint="eastAsia"/>
                <w:sz w:val="18"/>
                <w:szCs w:val="18"/>
              </w:rPr>
              <w:t>51</w:t>
            </w:r>
          </w:p>
        </w:tc>
        <w:tc>
          <w:tcPr>
            <w:tcW w:w="223" w:type="pct"/>
            <w:vAlign w:val="center"/>
          </w:tcPr>
          <w:p w14:paraId="2A60BC80">
            <w:pPr>
              <w:jc w:val="right"/>
            </w:pPr>
            <w:r>
              <w:rPr>
                <w:rFonts w:hint="eastAsia"/>
                <w:sz w:val="18"/>
                <w:szCs w:val="18"/>
              </w:rPr>
              <w:t>48.51</w:t>
            </w:r>
          </w:p>
        </w:tc>
        <w:tc>
          <w:tcPr>
            <w:tcW w:w="611" w:type="pct"/>
            <w:vAlign w:val="center"/>
          </w:tcPr>
          <w:p w14:paraId="5C2C3312">
            <w:bookmarkStart w:id="392" w:name="OLE_LINK138"/>
            <w:r>
              <w:rPr>
                <w:rFonts w:hint="eastAsia" w:ascii="宋体" w:hAnsi="宋体"/>
                <w:sz w:val="18"/>
                <w:szCs w:val="18"/>
              </w:rPr>
              <w:t>设立或投资取得</w:t>
            </w:r>
            <w:bookmarkEnd w:id="392"/>
          </w:p>
        </w:tc>
      </w:tr>
      <w:tr w14:paraId="1324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0F56B00B">
            <w:r>
              <w:rPr>
                <w:rFonts w:hint="eastAsia" w:ascii="宋体" w:hAnsi="宋体"/>
                <w:sz w:val="18"/>
                <w:szCs w:val="18"/>
              </w:rPr>
              <w:t>荣成市沙咀渔港渔船服务有限公司</w:t>
            </w:r>
          </w:p>
        </w:tc>
        <w:tc>
          <w:tcPr>
            <w:tcW w:w="655" w:type="pct"/>
            <w:vAlign w:val="center"/>
          </w:tcPr>
          <w:p w14:paraId="0BAC414F">
            <w:r>
              <w:rPr>
                <w:rFonts w:hint="eastAsia" w:ascii="宋体" w:hAnsi="宋体"/>
                <w:sz w:val="18"/>
                <w:szCs w:val="18"/>
              </w:rPr>
              <w:t>荣成市虎山镇</w:t>
            </w:r>
          </w:p>
        </w:tc>
        <w:tc>
          <w:tcPr>
            <w:tcW w:w="392" w:type="pct"/>
            <w:vAlign w:val="center"/>
          </w:tcPr>
          <w:p w14:paraId="6A5226B9">
            <w:pPr>
              <w:jc w:val="right"/>
            </w:pPr>
            <w:r>
              <w:rPr>
                <w:rFonts w:hint="eastAsia"/>
                <w:sz w:val="18"/>
                <w:szCs w:val="18"/>
              </w:rPr>
              <w:t>100</w:t>
            </w:r>
            <w:r>
              <w:rPr>
                <w:rFonts w:hint="eastAsia" w:ascii="宋体" w:hAnsi="宋体"/>
                <w:sz w:val="18"/>
                <w:szCs w:val="18"/>
              </w:rPr>
              <w:t>万元</w:t>
            </w:r>
          </w:p>
        </w:tc>
        <w:tc>
          <w:tcPr>
            <w:tcW w:w="656" w:type="pct"/>
            <w:vAlign w:val="center"/>
          </w:tcPr>
          <w:p w14:paraId="6CA47BCB">
            <w:r>
              <w:rPr>
                <w:rFonts w:hint="eastAsia" w:ascii="宋体" w:hAnsi="宋体"/>
                <w:sz w:val="18"/>
                <w:szCs w:val="18"/>
              </w:rPr>
              <w:t>荣成市虎山镇</w:t>
            </w:r>
          </w:p>
        </w:tc>
        <w:tc>
          <w:tcPr>
            <w:tcW w:w="1326" w:type="pct"/>
            <w:vAlign w:val="center"/>
          </w:tcPr>
          <w:p w14:paraId="7D2E0CDC">
            <w:r>
              <w:rPr>
                <w:rFonts w:hint="eastAsia" w:ascii="宋体" w:hAnsi="宋体"/>
                <w:sz w:val="18"/>
                <w:szCs w:val="18"/>
              </w:rPr>
              <w:t>渔业港口服务，渔船管理服务。</w:t>
            </w:r>
          </w:p>
        </w:tc>
        <w:tc>
          <w:tcPr>
            <w:tcW w:w="219" w:type="pct"/>
            <w:vAlign w:val="center"/>
          </w:tcPr>
          <w:p w14:paraId="6AB04656">
            <w:pPr>
              <w:jc w:val="right"/>
            </w:pPr>
          </w:p>
        </w:tc>
        <w:tc>
          <w:tcPr>
            <w:tcW w:w="223" w:type="pct"/>
            <w:vAlign w:val="center"/>
          </w:tcPr>
          <w:p w14:paraId="0787392C">
            <w:pPr>
              <w:jc w:val="right"/>
            </w:pPr>
            <w:r>
              <w:rPr>
                <w:rFonts w:hint="eastAsia"/>
                <w:sz w:val="18"/>
                <w:szCs w:val="18"/>
              </w:rPr>
              <w:t>97.67</w:t>
            </w:r>
          </w:p>
        </w:tc>
        <w:tc>
          <w:tcPr>
            <w:tcW w:w="611" w:type="pct"/>
            <w:vAlign w:val="center"/>
          </w:tcPr>
          <w:p w14:paraId="69A8FDFC">
            <w:r>
              <w:rPr>
                <w:rFonts w:hint="eastAsia" w:ascii="宋体" w:hAnsi="宋体"/>
                <w:sz w:val="18"/>
                <w:szCs w:val="18"/>
              </w:rPr>
              <w:t>同一控制下企业合并</w:t>
            </w:r>
          </w:p>
        </w:tc>
      </w:tr>
      <w:tr w14:paraId="3A8D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48308F77">
            <w:r>
              <w:rPr>
                <w:rFonts w:hint="eastAsia" w:ascii="宋体" w:hAnsi="宋体"/>
                <w:sz w:val="18"/>
                <w:szCs w:val="18"/>
              </w:rPr>
              <w:t>山东参源育苗有限公司</w:t>
            </w:r>
          </w:p>
        </w:tc>
        <w:tc>
          <w:tcPr>
            <w:tcW w:w="655" w:type="pct"/>
            <w:vAlign w:val="center"/>
          </w:tcPr>
          <w:p w14:paraId="09FC9A95">
            <w:r>
              <w:rPr>
                <w:rFonts w:hint="eastAsia" w:ascii="宋体" w:hAnsi="宋体"/>
                <w:sz w:val="18"/>
                <w:szCs w:val="18"/>
              </w:rPr>
              <w:t>荣成市虎山镇</w:t>
            </w:r>
          </w:p>
        </w:tc>
        <w:tc>
          <w:tcPr>
            <w:tcW w:w="392" w:type="pct"/>
            <w:vAlign w:val="center"/>
          </w:tcPr>
          <w:p w14:paraId="3AC2EB25">
            <w:pPr>
              <w:jc w:val="right"/>
            </w:pPr>
            <w:r>
              <w:rPr>
                <w:rFonts w:hint="eastAsia"/>
                <w:sz w:val="18"/>
                <w:szCs w:val="18"/>
              </w:rPr>
              <w:t>12,000</w:t>
            </w:r>
            <w:r>
              <w:rPr>
                <w:rFonts w:hint="eastAsia" w:ascii="宋体" w:hAnsi="宋体"/>
                <w:sz w:val="18"/>
                <w:szCs w:val="18"/>
              </w:rPr>
              <w:t>万元</w:t>
            </w:r>
          </w:p>
        </w:tc>
        <w:tc>
          <w:tcPr>
            <w:tcW w:w="656" w:type="pct"/>
            <w:vAlign w:val="center"/>
          </w:tcPr>
          <w:p w14:paraId="62C3B9F0">
            <w:r>
              <w:rPr>
                <w:rFonts w:hint="eastAsia" w:ascii="宋体" w:hAnsi="宋体"/>
                <w:sz w:val="18"/>
                <w:szCs w:val="18"/>
              </w:rPr>
              <w:t>荣成市虎山镇</w:t>
            </w:r>
          </w:p>
        </w:tc>
        <w:tc>
          <w:tcPr>
            <w:tcW w:w="1326" w:type="pct"/>
            <w:vAlign w:val="center"/>
          </w:tcPr>
          <w:p w14:paraId="09C121AE">
            <w:r>
              <w:rPr>
                <w:rFonts w:hint="eastAsia" w:ascii="宋体" w:hAnsi="宋体"/>
                <w:sz w:val="18"/>
                <w:szCs w:val="18"/>
              </w:rPr>
              <w:t>水产苗种生产（依法须经批准的项目，经相关部门批准后方可开展经营活动，具体经营项目以审批结果为准）</w:t>
            </w:r>
          </w:p>
        </w:tc>
        <w:tc>
          <w:tcPr>
            <w:tcW w:w="219" w:type="pct"/>
            <w:vAlign w:val="center"/>
          </w:tcPr>
          <w:p w14:paraId="5135BC7E">
            <w:pPr>
              <w:jc w:val="right"/>
            </w:pPr>
            <w:r>
              <w:rPr>
                <w:rFonts w:hint="eastAsia"/>
                <w:sz w:val="18"/>
                <w:szCs w:val="18"/>
              </w:rPr>
              <w:t>100</w:t>
            </w:r>
          </w:p>
        </w:tc>
        <w:tc>
          <w:tcPr>
            <w:tcW w:w="223" w:type="pct"/>
            <w:vAlign w:val="center"/>
          </w:tcPr>
          <w:p w14:paraId="158D1507">
            <w:pPr>
              <w:jc w:val="right"/>
            </w:pPr>
          </w:p>
        </w:tc>
        <w:tc>
          <w:tcPr>
            <w:tcW w:w="611" w:type="pct"/>
            <w:vAlign w:val="center"/>
          </w:tcPr>
          <w:p w14:paraId="606C6C8E">
            <w:r>
              <w:rPr>
                <w:rFonts w:hint="eastAsia" w:ascii="宋体" w:hAnsi="宋体"/>
                <w:sz w:val="18"/>
                <w:szCs w:val="18"/>
              </w:rPr>
              <w:t>设立或投资取得</w:t>
            </w:r>
          </w:p>
        </w:tc>
      </w:tr>
      <w:tr w14:paraId="70C82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Align w:val="center"/>
          </w:tcPr>
          <w:p w14:paraId="652EC16F">
            <w:r>
              <w:rPr>
                <w:rFonts w:hint="eastAsia" w:ascii="宋体" w:hAnsi="宋体"/>
                <w:sz w:val="18"/>
                <w:szCs w:val="18"/>
              </w:rPr>
              <w:t>青岛家盛水产有限公司</w:t>
            </w:r>
          </w:p>
        </w:tc>
        <w:tc>
          <w:tcPr>
            <w:tcW w:w="655" w:type="pct"/>
            <w:vAlign w:val="center"/>
          </w:tcPr>
          <w:p w14:paraId="4DBFBEED">
            <w:r>
              <w:rPr>
                <w:rFonts w:hint="eastAsia" w:ascii="宋体" w:hAnsi="宋体"/>
                <w:sz w:val="18"/>
                <w:szCs w:val="18"/>
              </w:rPr>
              <w:t>青岛市城阳区</w:t>
            </w:r>
          </w:p>
        </w:tc>
        <w:tc>
          <w:tcPr>
            <w:tcW w:w="392" w:type="pct"/>
            <w:vAlign w:val="center"/>
          </w:tcPr>
          <w:p w14:paraId="500C70C0">
            <w:pPr>
              <w:jc w:val="right"/>
            </w:pPr>
            <w:r>
              <w:rPr>
                <w:rFonts w:hint="eastAsia"/>
                <w:sz w:val="18"/>
                <w:szCs w:val="18"/>
              </w:rPr>
              <w:t>500</w:t>
            </w:r>
            <w:r>
              <w:rPr>
                <w:rFonts w:hint="eastAsia" w:ascii="宋体" w:hAnsi="宋体"/>
                <w:sz w:val="18"/>
                <w:szCs w:val="18"/>
              </w:rPr>
              <w:t>万元</w:t>
            </w:r>
          </w:p>
        </w:tc>
        <w:tc>
          <w:tcPr>
            <w:tcW w:w="656" w:type="pct"/>
            <w:vAlign w:val="center"/>
          </w:tcPr>
          <w:p w14:paraId="084E49C0">
            <w:r>
              <w:rPr>
                <w:rFonts w:hint="eastAsia" w:ascii="宋体" w:hAnsi="宋体"/>
                <w:sz w:val="18"/>
                <w:szCs w:val="18"/>
              </w:rPr>
              <w:t>青岛市城阳区</w:t>
            </w:r>
          </w:p>
        </w:tc>
        <w:tc>
          <w:tcPr>
            <w:tcW w:w="1326" w:type="pct"/>
            <w:vAlign w:val="center"/>
          </w:tcPr>
          <w:p w14:paraId="3E6FEF9D">
            <w:r>
              <w:rPr>
                <w:rFonts w:hint="eastAsia" w:ascii="宋体" w:hAnsi="宋体"/>
                <w:sz w:val="18"/>
                <w:szCs w:val="18"/>
              </w:rPr>
              <w:t>一般项目：水产品批发；水产品零售；鲜肉批发；鲜肉零售；食用农产品零售；食用农产品批发；食用农产品初加工。（除依法须经批准的项目外，凭营业执照依法自主开展经营活动）</w:t>
            </w:r>
          </w:p>
        </w:tc>
        <w:tc>
          <w:tcPr>
            <w:tcW w:w="219" w:type="pct"/>
            <w:vAlign w:val="center"/>
          </w:tcPr>
          <w:p w14:paraId="674841F5">
            <w:pPr>
              <w:jc w:val="right"/>
            </w:pPr>
            <w:r>
              <w:rPr>
                <w:rFonts w:hint="eastAsia"/>
                <w:sz w:val="18"/>
                <w:szCs w:val="18"/>
              </w:rPr>
              <w:t>100</w:t>
            </w:r>
          </w:p>
        </w:tc>
        <w:tc>
          <w:tcPr>
            <w:tcW w:w="223" w:type="pct"/>
            <w:vAlign w:val="center"/>
          </w:tcPr>
          <w:p w14:paraId="5A1751BB">
            <w:pPr>
              <w:jc w:val="right"/>
            </w:pPr>
          </w:p>
        </w:tc>
        <w:tc>
          <w:tcPr>
            <w:tcW w:w="611" w:type="pct"/>
            <w:vAlign w:val="center"/>
          </w:tcPr>
          <w:p w14:paraId="4BA76B31">
            <w:r>
              <w:rPr>
                <w:rFonts w:hint="eastAsia" w:ascii="宋体" w:hAnsi="宋体"/>
                <w:sz w:val="18"/>
                <w:szCs w:val="18"/>
              </w:rPr>
              <w:t>设立或投资取得</w:t>
            </w:r>
          </w:p>
        </w:tc>
      </w:tr>
    </w:tbl>
    <w:p w14:paraId="7C9F8A9D">
      <w:pPr>
        <w:spacing w:line="360" w:lineRule="auto"/>
      </w:pPr>
    </w:p>
    <w:p w14:paraId="0F9597EF">
      <w:pPr>
        <w:spacing w:line="360" w:lineRule="auto"/>
        <w:rPr>
          <w:rFonts w:cs="Arial"/>
          <w:color w:val="000000" w:themeColor="text1"/>
          <w14:textFill>
            <w14:solidFill>
              <w14:schemeClr w14:val="tx1"/>
            </w14:solidFill>
          </w14:textFill>
        </w:rPr>
      </w:pPr>
      <w:r>
        <w:rPr>
          <w:rFonts w:hint="eastAsia" w:cs="Arial"/>
          <w:color w:val="000000" w:themeColor="text1"/>
          <w14:textFill>
            <w14:solidFill>
              <w14:schemeClr w14:val="tx1"/>
            </w14:solidFill>
          </w14:textFill>
        </w:rPr>
        <w:t>在子公司的持股比例不同于表决权比例的说明：</w:t>
      </w:r>
    </w:p>
    <w:p w14:paraId="78F258B4">
      <w:pPr>
        <w:spacing w:line="360" w:lineRule="auto"/>
        <w:ind w:firstLine="420" w:firstLineChars="200"/>
        <w:rPr>
          <w:rFonts w:cs="Arial"/>
          <w:color w:val="000000" w:themeColor="text1"/>
          <w14:textFill>
            <w14:solidFill>
              <w14:schemeClr w14:val="tx1"/>
            </w14:solidFill>
          </w14:textFill>
        </w:rPr>
      </w:pPr>
      <w:sdt>
        <w:sdtPr>
          <w:rPr>
            <w:rFonts w:cs="Arial"/>
            <w:color w:val="000000" w:themeColor="text1"/>
            <w14:textFill>
              <w14:solidFill>
                <w14:schemeClr w14:val="tx1"/>
              </w14:solidFill>
            </w14:textFill>
          </w:rPr>
          <w:alias w:val="在子公司的持股比例不同于表决权比例的说明"/>
          <w:tag w:val="_GBC_f369e5dd5f6e430ebbede4953d1e5b82"/>
          <w:id w:val="1336645330"/>
          <w:placeholder>
            <w:docPart w:val="GBC22222222222222222222222222222"/>
          </w:placeholder>
        </w:sdtPr>
        <w:sdtEndPr>
          <w:rPr>
            <w:rFonts w:cs="Arial"/>
            <w:color w:val="000000" w:themeColor="text1"/>
            <w14:textFill>
              <w14:solidFill>
                <w14:schemeClr w14:val="tx1"/>
              </w14:solidFill>
            </w14:textFill>
          </w:rPr>
        </w:sdtEndPr>
        <w:sdtContent>
          <w:r>
            <w:rPr>
              <w:rFonts w:hint="eastAsia" w:cs="Arial"/>
              <w:color w:val="000000" w:themeColor="text1"/>
              <w14:textFill>
                <w14:solidFill>
                  <w14:schemeClr w14:val="tx1"/>
                </w14:solidFill>
              </w14:textFill>
            </w:rPr>
            <w:t>荣成市沙咀渔港渔船服务有限公司是由本公司的控股子公司山东好当家海洋捕捞有限公司出资设立的全资子公司。根据捕捞公司章程修正案的规定本公司对山东好当家海洋捕捞有限公司的投资比例为97.67%，但依据本公司与好当家集团公司签订的补充协议规定，本公司享有99%的表决权与收益权，故本公司对以上子公司的投资比例为97.67%，享有99%的表决权与收益权。</w:t>
          </w:r>
        </w:sdtContent>
      </w:sdt>
    </w:p>
    <w:p w14:paraId="0441EA07">
      <w:pPr>
        <w:spacing w:line="360" w:lineRule="auto"/>
        <w:rPr>
          <w:rFonts w:cs="Arial"/>
          <w:color w:val="000000" w:themeColor="text1"/>
          <w14:textFill>
            <w14:solidFill>
              <w14:schemeClr w14:val="tx1"/>
            </w14:solidFill>
          </w14:textFill>
        </w:rPr>
      </w:pPr>
    </w:p>
    <w:p w14:paraId="6FBBD31A">
      <w:pPr>
        <w:spacing w:line="360" w:lineRule="auto"/>
        <w:rPr>
          <w:rFonts w:cs="Arial"/>
          <w:color w:val="000000" w:themeColor="text1"/>
          <w14:textFill>
            <w14:solidFill>
              <w14:schemeClr w14:val="tx1"/>
            </w14:solidFill>
          </w14:textFill>
        </w:rPr>
      </w:pPr>
      <w:r>
        <w:rPr>
          <w:rFonts w:hint="eastAsia" w:cs="Arial"/>
          <w:color w:val="000000" w:themeColor="text1"/>
          <w14:textFill>
            <w14:solidFill>
              <w14:schemeClr w14:val="tx1"/>
            </w14:solidFill>
          </w14:textFill>
        </w:rPr>
        <w:t>持有半数或以下表决权但仍控制被投资单位、以及持有半数以上表决权但不控制被投资单位的依据：</w:t>
      </w:r>
    </w:p>
    <w:sdt>
      <w:sdtPr>
        <w:rPr>
          <w:rFonts w:cs="Arial"/>
          <w:color w:val="000000" w:themeColor="text1"/>
          <w14:textFill>
            <w14:solidFill>
              <w14:schemeClr w14:val="tx1"/>
            </w14:solidFill>
          </w14:textFill>
        </w:rPr>
        <w:alias w:val="持有半数或以下表决权但仍控制被投资单位、以及持有半数以上表决权但不控制被投资单位的依据"/>
        <w:tag w:val="_GBC_140bd5da597c40feaa9310db1d6dc624"/>
        <w:id w:val="1548645428"/>
        <w:placeholder>
          <w:docPart w:val="GBC22222222222222222222222222222"/>
        </w:placeholder>
      </w:sdtPr>
      <w:sdtEndPr>
        <w:rPr>
          <w:rFonts w:cs="Arial"/>
          <w:color w:val="000000" w:themeColor="text1"/>
          <w14:textFill>
            <w14:solidFill>
              <w14:schemeClr w14:val="tx1"/>
            </w14:solidFill>
          </w14:textFill>
        </w:rPr>
      </w:sdtEndPr>
      <w:sdtContent>
        <w:p w14:paraId="139E6E01">
          <w:pPr>
            <w:spacing w:line="360" w:lineRule="auto"/>
            <w:ind w:firstLine="420" w:firstLineChars="200"/>
            <w:rPr>
              <w:rFonts w:cs="Arial"/>
              <w:color w:val="000000" w:themeColor="text1"/>
              <w14:textFill>
                <w14:solidFill>
                  <w14:schemeClr w14:val="tx1"/>
                </w14:solidFill>
              </w14:textFill>
            </w:rPr>
          </w:pPr>
          <w:r>
            <w:rPr>
              <w:rFonts w:hint="eastAsia" w:cs="Arial"/>
              <w:color w:val="000000" w:themeColor="text1"/>
              <w14:textFill>
                <w14:solidFill>
                  <w14:schemeClr w14:val="tx1"/>
                </w14:solidFill>
              </w14:textFill>
            </w:rPr>
            <w:t>根据捕捞公司章程修正案的规定本公司对控股子公司山东好当家海洋捕捞有限公司的投资比例为97.67%，但依据本公司与好当家集团公司签订的补充协议规定本公司享有99%的表决权与收益权。</w:t>
          </w:r>
        </w:p>
      </w:sdtContent>
    </w:sdt>
    <w:p w14:paraId="3FEEE305">
      <w:pPr>
        <w:spacing w:line="360" w:lineRule="auto"/>
        <w:rPr>
          <w:rFonts w:cs="Arial"/>
          <w:color w:val="000000" w:themeColor="text1"/>
          <w14:textFill>
            <w14:solidFill>
              <w14:schemeClr w14:val="tx1"/>
            </w14:solidFill>
          </w14:textFill>
        </w:rPr>
      </w:pPr>
    </w:p>
    <w:p w14:paraId="56BC76B5">
      <w:pPr>
        <w:rPr>
          <w:rFonts w:cs="Arial"/>
          <w:color w:val="000000" w:themeColor="text1"/>
          <w14:textFill>
            <w14:solidFill>
              <w14:schemeClr w14:val="tx1"/>
            </w14:solidFill>
          </w14:textFill>
        </w:rPr>
      </w:pPr>
    </w:p>
    <w:p w14:paraId="1722DCB1">
      <w:pPr>
        <w:rPr>
          <w:rFonts w:cs="Arial"/>
          <w:color w:val="000000" w:themeColor="text1"/>
          <w14:textFill>
            <w14:solidFill>
              <w14:schemeClr w14:val="tx1"/>
            </w14:solidFill>
          </w14:textFill>
        </w:rPr>
      </w:pPr>
      <w:r>
        <w:rPr>
          <w:rFonts w:hint="eastAsia" w:cs="Arial"/>
          <w:color w:val="000000" w:themeColor="text1"/>
          <w14:textFill>
            <w14:solidFill>
              <w14:schemeClr w14:val="tx1"/>
            </w14:solidFill>
          </w14:textFill>
        </w:rPr>
        <w:t>确定公司是代理人还是委托人的依据：</w:t>
      </w:r>
    </w:p>
    <w:sdt>
      <w:sdtPr>
        <w:rPr>
          <w:rFonts w:hint="eastAsia" w:cs="Arial"/>
          <w:color w:val="000000" w:themeColor="text1"/>
          <w14:textFill>
            <w14:solidFill>
              <w14:schemeClr w14:val="tx1"/>
            </w14:solidFill>
          </w14:textFill>
        </w:rPr>
        <w:alias w:val="确定公司是代理人还是委托人的依据"/>
        <w:tag w:val="_GBC_6e0bd1ebb4c2474da455b4f5a3a59699"/>
        <w:id w:val="656814219"/>
        <w:placeholder>
          <w:docPart w:val="GBC22222222222222222222222222222"/>
        </w:placeholder>
      </w:sdtPr>
      <w:sdtEndPr>
        <w:rPr>
          <w:rFonts w:hint="eastAsia" w:cs="Arial"/>
          <w:color w:val="000000" w:themeColor="text1"/>
          <w14:textFill>
            <w14:solidFill>
              <w14:schemeClr w14:val="tx1"/>
            </w14:solidFill>
          </w14:textFill>
        </w:rPr>
      </w:sdtEndPr>
      <w:sdtContent>
        <w:p w14:paraId="2F792B19">
          <w:pPr>
            <w:rPr>
              <w:rFonts w:cs="Arial"/>
              <w:color w:val="000000" w:themeColor="text1"/>
              <w14:textFill>
                <w14:solidFill>
                  <w14:schemeClr w14:val="tx1"/>
                </w14:solidFill>
              </w14:textFill>
            </w:rPr>
          </w:pPr>
          <w:r>
            <w:rPr>
              <w:rFonts w:hint="eastAsia" w:cs="Arial"/>
              <w:color w:val="000000" w:themeColor="text1"/>
              <w14:textFill>
                <w14:solidFill>
                  <w14:schemeClr w14:val="tx1"/>
                </w14:solidFill>
              </w14:textFill>
            </w:rPr>
            <w:t>无</w:t>
          </w:r>
        </w:p>
      </w:sdtContent>
    </w:sdt>
    <w:p w14:paraId="56772BC8">
      <w:pPr>
        <w:rPr>
          <w:rFonts w:cs="Arial"/>
          <w:color w:val="000000" w:themeColor="text1"/>
          <w14:textFill>
            <w14:solidFill>
              <w14:schemeClr w14:val="tx1"/>
            </w14:solidFill>
          </w14:textFill>
        </w:rPr>
      </w:pPr>
    </w:p>
    <w:p w14:paraId="34D77F5C">
      <w:pPr>
        <w:rPr>
          <w:rFonts w:cs="Arial"/>
          <w:color w:val="000000" w:themeColor="text1"/>
          <w14:textFill>
            <w14:solidFill>
              <w14:schemeClr w14:val="tx1"/>
            </w14:solidFill>
          </w14:textFill>
        </w:rPr>
      </w:pPr>
      <w:r>
        <w:rPr>
          <w:rFonts w:hint="eastAsia" w:cs="Arial"/>
          <w:color w:val="000000" w:themeColor="text1"/>
          <w14:textFill>
            <w14:solidFill>
              <w14:schemeClr w14:val="tx1"/>
            </w14:solidFill>
          </w14:textFill>
        </w:rPr>
        <w:t>其他说明：</w:t>
      </w:r>
    </w:p>
    <w:sdt>
      <w:sdtPr>
        <w:rPr>
          <w:rFonts w:cs="Arial"/>
          <w:color w:val="000000" w:themeColor="text1"/>
          <w14:textFill>
            <w14:solidFill>
              <w14:schemeClr w14:val="tx1"/>
            </w14:solidFill>
          </w14:textFill>
        </w:rPr>
        <w:alias w:val="企业集团的构成的其他需要说明的事项"/>
        <w:tag w:val="_GBC_6b7d2d3a14224f7e90a4df3c02b8e3b3"/>
        <w:id w:val="-1654511219"/>
        <w:placeholder>
          <w:docPart w:val="GBC22222222222222222222222222222"/>
        </w:placeholder>
      </w:sdtPr>
      <w:sdtEndPr>
        <w:rPr>
          <w:rFonts w:cs="Arial"/>
          <w:color w:val="000000" w:themeColor="text1"/>
          <w14:textFill>
            <w14:solidFill>
              <w14:schemeClr w14:val="tx1"/>
            </w14:solidFill>
          </w14:textFill>
        </w:rPr>
      </w:sdtEndPr>
      <w:sdtContent>
        <w:p w14:paraId="4A3DAEE2">
          <w:pPr>
            <w:ind w:firstLine="420" w:firstLineChars="200"/>
            <w:rPr>
              <w:rFonts w:cstheme="minorBidi"/>
              <w:color w:val="000000" w:themeColor="text1"/>
              <w14:textFill>
                <w14:solidFill>
                  <w14:schemeClr w14:val="tx1"/>
                </w14:solidFill>
              </w14:textFill>
            </w:rPr>
          </w:pPr>
          <w:r>
            <w:rPr>
              <w:rFonts w:hint="eastAsia" w:cs="Arial"/>
              <w:color w:val="000000" w:themeColor="text1"/>
              <w14:textFill>
                <w14:solidFill>
                  <w14:schemeClr w14:val="tx1"/>
                </w14:solidFill>
              </w14:textFill>
            </w:rPr>
            <w:t>截至2026年06月30日，荣成市沙咀渔港渔船服务有限公司尚未注资，尚未开始经营。</w:t>
          </w:r>
        </w:p>
      </w:sdtContent>
    </w:sdt>
    <w:bookmarkEnd w:id="390"/>
    <w:p w14:paraId="3B6AF25D">
      <w:pPr>
        <w:rPr>
          <w:rFonts w:cs="Arial"/>
          <w:color w:val="000000" w:themeColor="text1"/>
          <w14:textFill>
            <w14:solidFill>
              <w14:schemeClr w14:val="tx1"/>
            </w14:solidFill>
          </w14:textFill>
        </w:rPr>
      </w:pPr>
    </w:p>
    <w:p w14:paraId="10E0A098">
      <w:pPr>
        <w:pStyle w:val="5"/>
        <w:numPr>
          <w:ilvl w:val="3"/>
          <w:numId w:val="95"/>
        </w:numPr>
        <w:tabs>
          <w:tab w:val="left" w:pos="644"/>
        </w:tabs>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重要的非全资子公司</w:t>
      </w:r>
    </w:p>
    <w:sdt>
      <w:sdtPr>
        <w:rPr>
          <w:color w:val="000000" w:themeColor="text1"/>
          <w14:textFill>
            <w14:solidFill>
              <w14:schemeClr w14:val="tx1"/>
            </w14:solidFill>
          </w14:textFill>
        </w:rPr>
        <w:alias w:val="是否适用：重要的非全资子公司[双击切换]"/>
        <w:tag w:val="_GBC_b83f349d0d754e2d93b12d2112b4c3ec"/>
        <w:id w:val="1552504385"/>
        <w:placeholder>
          <w:docPart w:val="GBC22222222222222222222222222222"/>
        </w:placeholder>
      </w:sdtPr>
      <w:sdtEndPr>
        <w:rPr>
          <w:color w:val="000000" w:themeColor="text1"/>
          <w14:textFill>
            <w14:solidFill>
              <w14:schemeClr w14:val="tx1"/>
            </w14:solidFill>
          </w14:textFill>
        </w:rPr>
      </w:sdtEndPr>
      <w:sdtContent>
        <w:p w14:paraId="147DB3A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561A545">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重要的非全资子公司"/>
          <w:tag w:val="_GBC_e5936e9952394755bacf71d437afcd44"/>
          <w:id w:val="11053828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重要的非全资子公司"/>
          <w:tag w:val="_GBC_5ffac6aa0e464031b94de604fccc76c7"/>
          <w:id w:val="-16805008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2277"/>
        <w:gridCol w:w="2967"/>
        <w:gridCol w:w="2976"/>
        <w:gridCol w:w="2671"/>
      </w:tblGrid>
      <w:tr w14:paraId="40FE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sdt>
          <w:sdtPr>
            <w:tag w:val="_PLD_214f5d23d0ff4cd08577f444026e3bf2"/>
            <w:id w:val="-479538181"/>
          </w:sdtPr>
          <w:sdtContent>
            <w:tc>
              <w:tcPr>
                <w:tcW w:w="1072" w:type="pct"/>
                <w:vAlign w:val="center"/>
              </w:tcPr>
              <w:p w14:paraId="7E0E2A38">
                <w:pPr>
                  <w:jc w:val="center"/>
                  <w:rPr>
                    <w:rFonts w:cs="Arial"/>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子公司名称</w:t>
                </w:r>
              </w:p>
            </w:tc>
          </w:sdtContent>
        </w:sdt>
        <w:sdt>
          <w:sdtPr>
            <w:tag w:val="_PLD_8f337a5f047e4f5eb2e03caf3b5ce2bb"/>
            <w:id w:val="-1544594703"/>
          </w:sdtPr>
          <w:sdtContent>
            <w:tc>
              <w:tcPr>
                <w:tcW w:w="821" w:type="pct"/>
                <w:vAlign w:val="center"/>
              </w:tcPr>
              <w:p w14:paraId="0076A49A">
                <w:pPr>
                  <w:jc w:val="center"/>
                  <w:rPr>
                    <w:rFonts w:cs="Arial"/>
                    <w:bCs w:val="0"/>
                    <w:color w:val="000000" w:themeColor="text1"/>
                    <w:lang w:val="en-GB"/>
                    <w14:textFill>
                      <w14:solidFill>
                        <w14:schemeClr w14:val="tx1"/>
                      </w14:solidFill>
                    </w14:textFill>
                  </w:rPr>
                </w:pPr>
                <w:r>
                  <w:rPr>
                    <w:rFonts w:hint="eastAsia" w:cs="Arial"/>
                    <w:color w:val="000000" w:themeColor="text1"/>
                    <w:lang w:val="en-GB"/>
                    <w14:textFill>
                      <w14:solidFill>
                        <w14:schemeClr w14:val="tx1"/>
                      </w14:solidFill>
                    </w14:textFill>
                  </w:rPr>
                  <w:t>少数股东持股</w:t>
                </w:r>
              </w:p>
              <w:p w14:paraId="62955DF8">
                <w:pPr>
                  <w:jc w:val="center"/>
                  <w:rPr>
                    <w:rFonts w:cs="Arial"/>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比例</w:t>
                </w:r>
                <w:r>
                  <w:rPr>
                    <w:rFonts w:hint="eastAsia"/>
                    <w:color w:val="000000" w:themeColor="text1"/>
                    <w14:textFill>
                      <w14:solidFill>
                        <w14:schemeClr w14:val="tx1"/>
                      </w14:solidFill>
                    </w14:textFill>
                  </w:rPr>
                  <w:t>（%）</w:t>
                </w:r>
              </w:p>
            </w:tc>
          </w:sdtContent>
        </w:sdt>
        <w:sdt>
          <w:sdtPr>
            <w:tag w:val="_PLD_70aca7c8f09a4a579e632e06c25a6ab5"/>
            <w:id w:val="647103458"/>
          </w:sdtPr>
          <w:sdtContent>
            <w:tc>
              <w:tcPr>
                <w:tcW w:w="1070" w:type="pct"/>
                <w:vAlign w:val="center"/>
              </w:tcPr>
              <w:p w14:paraId="1742CB83">
                <w:pPr>
                  <w:jc w:val="center"/>
                  <w:rPr>
                    <w:rFonts w:cs="Arial"/>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本期归属于少数股东的损益</w:t>
                </w:r>
              </w:p>
            </w:tc>
          </w:sdtContent>
        </w:sdt>
        <w:sdt>
          <w:sdtPr>
            <w:tag w:val="_PLD_4154a89239e54416bb4c7ab182b0ae5a"/>
            <w:id w:val="1291238862"/>
          </w:sdtPr>
          <w:sdtContent>
            <w:tc>
              <w:tcPr>
                <w:tcW w:w="1073" w:type="pct"/>
                <w:vAlign w:val="center"/>
              </w:tcPr>
              <w:p w14:paraId="78862C6A">
                <w:pPr>
                  <w:jc w:val="center"/>
                  <w:rPr>
                    <w:rFonts w:cs="Arial"/>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本期向少数股东宣告分派的股利</w:t>
                </w:r>
              </w:p>
            </w:tc>
          </w:sdtContent>
        </w:sdt>
        <w:sdt>
          <w:sdtPr>
            <w:tag w:val="_PLD_cea34ef7af164cc8816d90890b528f36"/>
            <w:id w:val="-446009583"/>
          </w:sdtPr>
          <w:sdtContent>
            <w:tc>
              <w:tcPr>
                <w:tcW w:w="963" w:type="pct"/>
                <w:vAlign w:val="center"/>
              </w:tcPr>
              <w:p w14:paraId="4E62D7D1">
                <w:pPr>
                  <w:ind w:right="-16"/>
                  <w:jc w:val="center"/>
                  <w:rPr>
                    <w:rFonts w:cs="Arial"/>
                    <w:bCs w:val="0"/>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期末少数股东权益余额</w:t>
                </w:r>
              </w:p>
            </w:tc>
          </w:sdtContent>
        </w:sdt>
      </w:tr>
      <w:tr w14:paraId="3ECB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pct"/>
          </w:tcPr>
          <w:p w14:paraId="766099B3">
            <w:r>
              <w:rPr>
                <w:rFonts w:hint="eastAsia" w:ascii="宋体" w:hAnsi="宋体"/>
              </w:rPr>
              <w:t>山东好当家海洋捕捞有限公司</w:t>
            </w:r>
          </w:p>
        </w:tc>
        <w:tc>
          <w:tcPr>
            <w:tcW w:w="821" w:type="pct"/>
            <w:vAlign w:val="center"/>
          </w:tcPr>
          <w:p w14:paraId="72F55C63">
            <w:pPr>
              <w:jc w:val="right"/>
            </w:pPr>
            <w:r>
              <w:rPr>
                <w:rFonts w:hint="eastAsia"/>
              </w:rPr>
              <w:t>1</w:t>
            </w:r>
          </w:p>
        </w:tc>
        <w:tc>
          <w:tcPr>
            <w:tcW w:w="1070" w:type="pct"/>
          </w:tcPr>
          <w:p w14:paraId="49E6459D">
            <w:pPr>
              <w:jc w:val="right"/>
            </w:pPr>
            <w:r>
              <w:t>95,023.57</w:t>
            </w:r>
          </w:p>
        </w:tc>
        <w:tc>
          <w:tcPr>
            <w:tcW w:w="1073" w:type="pct"/>
          </w:tcPr>
          <w:p w14:paraId="2209776C">
            <w:pPr>
              <w:jc w:val="right"/>
            </w:pPr>
          </w:p>
        </w:tc>
        <w:tc>
          <w:tcPr>
            <w:tcW w:w="963" w:type="pct"/>
          </w:tcPr>
          <w:p w14:paraId="6037267A">
            <w:pPr>
              <w:jc w:val="right"/>
            </w:pPr>
            <w:r>
              <w:t>1,362,343.30</w:t>
            </w:r>
          </w:p>
        </w:tc>
      </w:tr>
    </w:tbl>
    <w:p w14:paraId="72810A3A">
      <w:pPr>
        <w:rPr>
          <w:rFonts w:cs="Arial"/>
          <w:color w:val="000000" w:themeColor="text1"/>
          <w14:textFill>
            <w14:solidFill>
              <w14:schemeClr w14:val="tx1"/>
            </w14:solidFill>
          </w14:textFill>
        </w:rPr>
      </w:pPr>
      <w:r>
        <w:rPr>
          <w:rFonts w:hint="eastAsia" w:cs="Arial"/>
          <w:color w:val="000000" w:themeColor="text1"/>
          <w14:textFill>
            <w14:solidFill>
              <w14:schemeClr w14:val="tx1"/>
            </w14:solidFill>
          </w14:textFill>
        </w:rPr>
        <w:t>子公司少数股东的持股比例不同于表决权比例的说明：</w:t>
      </w:r>
    </w:p>
    <w:sdt>
      <w:sdtPr>
        <w:rPr>
          <w:rFonts w:cs="Arial"/>
          <w:color w:val="000000" w:themeColor="text1"/>
          <w14:textFill>
            <w14:solidFill>
              <w14:schemeClr w14:val="tx1"/>
            </w14:solidFill>
          </w14:textFill>
        </w:rPr>
        <w:alias w:val="是否适用：子公司少数股东的持股比例不同于表决权比例的说明[双击切换]"/>
        <w:tag w:val="_GBC_8bf91d6e05c644d1b37f5d88e434cb9e"/>
        <w:id w:val="924462828"/>
        <w:placeholder>
          <w:docPart w:val="GBC22222222222222222222222222222"/>
        </w:placeholder>
      </w:sdtPr>
      <w:sdtEndPr>
        <w:rPr>
          <w:rFonts w:cs="Arial"/>
          <w:color w:val="000000" w:themeColor="text1"/>
          <w14:textFill>
            <w14:solidFill>
              <w14:schemeClr w14:val="tx1"/>
            </w14:solidFill>
          </w14:textFill>
        </w:rPr>
      </w:sdtEndPr>
      <w:sdtContent>
        <w:p w14:paraId="4CF9EA47">
          <w:pPr>
            <w:rPr>
              <w:rFonts w:cs="Arial"/>
              <w:color w:val="000000" w:themeColor="text1"/>
              <w14:textFill>
                <w14:solidFill>
                  <w14:schemeClr w14:val="tx1"/>
                </w14:solidFill>
              </w14:textFill>
            </w:rPr>
          </w:pPr>
          <w:r>
            <w:rPr>
              <w:rFonts w:ascii="宋体" w:hAnsi="宋体" w:cs="Arial"/>
              <w:color w:val="000000" w:themeColor="text1"/>
              <w14:textFill>
                <w14:solidFill>
                  <w14:schemeClr w14:val="tx1"/>
                </w14:solidFill>
              </w14:textFill>
            </w:rPr>
            <w:fldChar w:fldCharType="begin"/>
          </w:r>
          <w:r>
            <w:rPr>
              <w:rFonts w:hint="eastAsia" w:ascii="宋体" w:hAnsi="宋体" w:cs="Arial"/>
              <w:color w:val="000000" w:themeColor="text1"/>
              <w14:textFill>
                <w14:solidFill>
                  <w14:schemeClr w14:val="tx1"/>
                </w14:solidFill>
              </w14:textFill>
            </w:rPr>
            <w:instrText xml:space="preserve"> MACROBUTTON  SnrToggleCheckbox □适用 </w:instrText>
          </w:r>
          <w:r>
            <w:rPr>
              <w:rFonts w:ascii="宋体" w:hAnsi="宋体" w:cs="Arial"/>
              <w:color w:val="000000" w:themeColor="text1"/>
              <w14:textFill>
                <w14:solidFill>
                  <w14:schemeClr w14:val="tx1"/>
                </w14:solidFill>
              </w14:textFill>
            </w:rPr>
            <w:fldChar w:fldCharType="end"/>
          </w:r>
          <w:r>
            <w:rPr>
              <w:rFonts w:ascii="宋体" w:hAnsi="宋体" w:cs="Arial"/>
              <w:color w:val="000000" w:themeColor="text1"/>
              <w14:textFill>
                <w14:solidFill>
                  <w14:schemeClr w14:val="tx1"/>
                </w14:solidFill>
              </w14:textFill>
            </w:rPr>
            <w:fldChar w:fldCharType="begin"/>
          </w:r>
          <w:r>
            <w:rPr>
              <w:rFonts w:hint="eastAsia" w:ascii="宋体" w:hAnsi="宋体" w:cs="Arial"/>
              <w:color w:val="000000" w:themeColor="text1"/>
              <w14:textFill>
                <w14:solidFill>
                  <w14:schemeClr w14:val="tx1"/>
                </w14:solidFill>
              </w14:textFill>
            </w:rPr>
            <w:instrText xml:space="preserve"> MACROBUTTON  SnrToggleCheckbox √不适用 </w:instrText>
          </w:r>
          <w:r>
            <w:rPr>
              <w:rFonts w:ascii="宋体" w:hAnsi="宋体" w:cs="Arial"/>
              <w:color w:val="000000" w:themeColor="text1"/>
              <w14:textFill>
                <w14:solidFill>
                  <w14:schemeClr w14:val="tx1"/>
                </w14:solidFill>
              </w14:textFill>
            </w:rPr>
            <w:fldChar w:fldCharType="end"/>
          </w:r>
        </w:p>
      </w:sdtContent>
    </w:sdt>
    <w:p w14:paraId="2A9D8AA6">
      <w:pPr>
        <w:rPr>
          <w:rFonts w:cs="Arial"/>
          <w:color w:val="000000" w:themeColor="text1"/>
          <w14:textFill>
            <w14:solidFill>
              <w14:schemeClr w14:val="tx1"/>
            </w14:solidFill>
          </w14:textFill>
        </w:rPr>
      </w:pPr>
    </w:p>
    <w:p w14:paraId="78DCC882">
      <w:pPr>
        <w:rPr>
          <w:rFonts w:cs="Arial"/>
          <w:color w:val="000000" w:themeColor="text1"/>
          <w14:textFill>
            <w14:solidFill>
              <w14:schemeClr w14:val="tx1"/>
            </w14:solidFill>
          </w14:textFill>
        </w:rPr>
      </w:pPr>
      <w:r>
        <w:rPr>
          <w:rFonts w:hint="eastAsia" w:cs="Arial"/>
          <w:color w:val="000000" w:themeColor="text1"/>
          <w14:textFill>
            <w14:solidFill>
              <w14:schemeClr w14:val="tx1"/>
            </w14:solidFill>
          </w14:textFill>
        </w:rPr>
        <w:t>其他说明：</w:t>
      </w:r>
    </w:p>
    <w:sdt>
      <w:sdtPr>
        <w:rPr>
          <w:rFonts w:cs="Arial"/>
          <w:color w:val="000000" w:themeColor="text1"/>
          <w14:textFill>
            <w14:solidFill>
              <w14:schemeClr w14:val="tx1"/>
            </w14:solidFill>
          </w14:textFill>
        </w:rPr>
        <w:alias w:val="是否适用：重要的非全资子公司其他说明[双击切换]"/>
        <w:tag w:val="_GBC_c511ac7f8f1f42bfa9130e28b68d1f19"/>
        <w:id w:val="1988817897"/>
        <w:placeholder>
          <w:docPart w:val="GBC22222222222222222222222222222"/>
        </w:placeholder>
      </w:sdtPr>
      <w:sdtEndPr>
        <w:rPr>
          <w:rFonts w:cs="Arial"/>
          <w:color w:val="000000" w:themeColor="text1"/>
          <w14:textFill>
            <w14:solidFill>
              <w14:schemeClr w14:val="tx1"/>
            </w14:solidFill>
          </w14:textFill>
        </w:rPr>
      </w:sdtEndPr>
      <w:sdtContent>
        <w:p w14:paraId="664F5792">
          <w:pPr>
            <w:rPr>
              <w:rFonts w:cs="Arial"/>
              <w:color w:val="000000" w:themeColor="text1"/>
              <w14:textFill>
                <w14:solidFill>
                  <w14:schemeClr w14:val="tx1"/>
                </w14:solidFill>
              </w14:textFill>
            </w:rPr>
          </w:pPr>
          <w:r>
            <w:rPr>
              <w:rFonts w:ascii="宋体" w:hAnsi="宋体" w:cs="Arial"/>
              <w:color w:val="000000" w:themeColor="text1"/>
              <w14:textFill>
                <w14:solidFill>
                  <w14:schemeClr w14:val="tx1"/>
                </w14:solidFill>
              </w14:textFill>
            </w:rPr>
            <w:fldChar w:fldCharType="begin"/>
          </w:r>
          <w:r>
            <w:rPr>
              <w:rFonts w:hint="eastAsia" w:ascii="宋体" w:hAnsi="宋体" w:cs="Arial"/>
              <w:color w:val="000000" w:themeColor="text1"/>
              <w14:textFill>
                <w14:solidFill>
                  <w14:schemeClr w14:val="tx1"/>
                </w14:solidFill>
              </w14:textFill>
            </w:rPr>
            <w:instrText xml:space="preserve"> MACROBUTTON  SnrToggleCheckbox □适用 </w:instrText>
          </w:r>
          <w:r>
            <w:rPr>
              <w:rFonts w:ascii="宋体" w:hAnsi="宋体" w:cs="Arial"/>
              <w:color w:val="000000" w:themeColor="text1"/>
              <w14:textFill>
                <w14:solidFill>
                  <w14:schemeClr w14:val="tx1"/>
                </w14:solidFill>
              </w14:textFill>
            </w:rPr>
            <w:fldChar w:fldCharType="end"/>
          </w:r>
          <w:r>
            <w:rPr>
              <w:rFonts w:ascii="宋体" w:hAnsi="宋体" w:cs="Arial"/>
              <w:color w:val="000000" w:themeColor="text1"/>
              <w14:textFill>
                <w14:solidFill>
                  <w14:schemeClr w14:val="tx1"/>
                </w14:solidFill>
              </w14:textFill>
            </w:rPr>
            <w:fldChar w:fldCharType="begin"/>
          </w:r>
          <w:r>
            <w:rPr>
              <w:rFonts w:hint="eastAsia" w:ascii="宋体" w:hAnsi="宋体" w:cs="Arial"/>
              <w:color w:val="000000" w:themeColor="text1"/>
              <w14:textFill>
                <w14:solidFill>
                  <w14:schemeClr w14:val="tx1"/>
                </w14:solidFill>
              </w14:textFill>
            </w:rPr>
            <w:instrText xml:space="preserve"> MACROBUTTON  SnrToggleCheckbox √不适用 </w:instrText>
          </w:r>
          <w:r>
            <w:rPr>
              <w:rFonts w:ascii="宋体" w:hAnsi="宋体" w:cs="Arial"/>
              <w:color w:val="000000" w:themeColor="text1"/>
              <w14:textFill>
                <w14:solidFill>
                  <w14:schemeClr w14:val="tx1"/>
                </w14:solidFill>
              </w14:textFill>
            </w:rPr>
            <w:fldChar w:fldCharType="end"/>
          </w:r>
        </w:p>
      </w:sdtContent>
    </w:sdt>
    <w:p w14:paraId="0CDF5B34">
      <w:pPr>
        <w:rPr>
          <w:rFonts w:cs="Arial"/>
          <w:color w:val="000000" w:themeColor="text1"/>
          <w14:textFill>
            <w14:solidFill>
              <w14:schemeClr w14:val="tx1"/>
            </w14:solidFill>
          </w14:textFill>
        </w:rPr>
      </w:pPr>
    </w:p>
    <w:p w14:paraId="6FBA813A">
      <w:pPr>
        <w:pStyle w:val="5"/>
        <w:numPr>
          <w:ilvl w:val="3"/>
          <w:numId w:val="95"/>
        </w:numPr>
        <w:tabs>
          <w:tab w:val="left" w:pos="644"/>
        </w:tabs>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重要非全资子公司的主要财务信息</w:t>
      </w:r>
    </w:p>
    <w:sdt>
      <w:sdtPr>
        <w:rPr>
          <w:color w:val="000000" w:themeColor="text1"/>
          <w14:textFill>
            <w14:solidFill>
              <w14:schemeClr w14:val="tx1"/>
            </w14:solidFill>
          </w14:textFill>
        </w:rPr>
        <w:alias w:val="是否适用：重要非全资子公司的主要财务信息[双击切换]"/>
        <w:tag w:val="_GBC_c10a7c42e39b4ac9a711e2e9d367799e"/>
        <w:id w:val="214546298"/>
        <w:placeholder>
          <w:docPart w:val="GBC22222222222222222222222222222"/>
        </w:placeholder>
      </w:sdtPr>
      <w:sdtEndPr>
        <w:rPr>
          <w:color w:val="000000" w:themeColor="text1"/>
          <w14:textFill>
            <w14:solidFill>
              <w14:schemeClr w14:val="tx1"/>
            </w14:solidFill>
          </w14:textFill>
        </w:rPr>
      </w:sdtEndPr>
      <w:sdtContent>
        <w:p w14:paraId="60FC75C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03EEF64">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重要非全资子公司的主要财务信息"/>
          <w:tag w:val="_GBC_ba918360b15748859fb63cacad1f617d"/>
          <w:id w:val="7126155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重要非全资子公司的主要财务信息"/>
          <w:tag w:val="_GBC_af5cc4f1e7a74e3d8f9c9fea25fdf05f"/>
          <w:id w:val="482707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471" w:type="pct"/>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8"/>
        <w:gridCol w:w="1154"/>
        <w:gridCol w:w="1154"/>
        <w:gridCol w:w="1154"/>
        <w:gridCol w:w="1154"/>
        <w:gridCol w:w="1104"/>
        <w:gridCol w:w="1201"/>
        <w:gridCol w:w="1154"/>
        <w:gridCol w:w="1154"/>
        <w:gridCol w:w="1154"/>
        <w:gridCol w:w="1154"/>
        <w:gridCol w:w="1079"/>
        <w:gridCol w:w="1155"/>
      </w:tblGrid>
      <w:tr w14:paraId="1E9B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sdt>
          <w:sdtPr>
            <w:rPr>
              <w:sz w:val="18"/>
              <w:szCs w:val="18"/>
            </w:rPr>
            <w:tag w:val="_PLD_e65ae60c1beb4e5aa4e9c5250ffb188a"/>
            <w:id w:val="-146822064"/>
          </w:sdtPr>
          <w:sdtEndPr>
            <w:rPr>
              <w:sz w:val="18"/>
              <w:szCs w:val="18"/>
            </w:rPr>
          </w:sdtEndPr>
          <w:sdtContent>
            <w:tc>
              <w:tcPr>
                <w:tcW w:w="467" w:type="pct"/>
                <w:vMerge w:val="restart"/>
                <w:vAlign w:val="center"/>
              </w:tcPr>
              <w:p w14:paraId="1972AD97">
                <w:pPr>
                  <w:ind w:right="-16"/>
                  <w:jc w:val="center"/>
                  <w:rPr>
                    <w:rFonts w:cs="Arial"/>
                    <w:bCs w:val="0"/>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子公司名称</w:t>
                </w:r>
              </w:p>
            </w:tc>
          </w:sdtContent>
        </w:sdt>
        <w:sdt>
          <w:sdtPr>
            <w:rPr>
              <w:sz w:val="18"/>
              <w:szCs w:val="18"/>
            </w:rPr>
            <w:tag w:val="_PLD_878e21e6ce5e466eb427e7200cc9e5bb"/>
            <w:id w:val="-569497321"/>
          </w:sdtPr>
          <w:sdtEndPr>
            <w:rPr>
              <w:sz w:val="18"/>
              <w:szCs w:val="18"/>
            </w:rPr>
          </w:sdtEndPr>
          <w:sdtContent>
            <w:tc>
              <w:tcPr>
                <w:tcW w:w="2272" w:type="pct"/>
                <w:gridSpan w:val="6"/>
                <w:vAlign w:val="center"/>
              </w:tcPr>
              <w:p w14:paraId="5F7A40A9">
                <w:pPr>
                  <w:ind w:right="-16"/>
                  <w:jc w:val="center"/>
                  <w:rPr>
                    <w:rFonts w:cs="Arial"/>
                    <w:bCs w:val="0"/>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期末余额</w:t>
                </w:r>
              </w:p>
            </w:tc>
          </w:sdtContent>
        </w:sdt>
        <w:sdt>
          <w:sdtPr>
            <w:rPr>
              <w:sz w:val="18"/>
              <w:szCs w:val="18"/>
            </w:rPr>
            <w:tag w:val="_PLD_86b93e4e78424106874bd84d54fb24df"/>
            <w:id w:val="-1250652651"/>
          </w:sdtPr>
          <w:sdtEndPr>
            <w:rPr>
              <w:sz w:val="18"/>
              <w:szCs w:val="18"/>
            </w:rPr>
          </w:sdtEndPr>
          <w:sdtContent>
            <w:tc>
              <w:tcPr>
                <w:tcW w:w="2260" w:type="pct"/>
                <w:gridSpan w:val="6"/>
                <w:vAlign w:val="center"/>
              </w:tcPr>
              <w:p w14:paraId="700F862F">
                <w:pPr>
                  <w:ind w:right="-16"/>
                  <w:jc w:val="center"/>
                  <w:rPr>
                    <w:rFonts w:cs="Arial"/>
                    <w:bCs w:val="0"/>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期初余额</w:t>
                </w:r>
              </w:p>
            </w:tc>
          </w:sdtContent>
        </w:sdt>
      </w:tr>
      <w:tr w14:paraId="599A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67" w:type="pct"/>
            <w:vMerge w:val="continue"/>
            <w:vAlign w:val="center"/>
          </w:tcPr>
          <w:p w14:paraId="52F25AA6">
            <w:pPr>
              <w:rPr>
                <w:rFonts w:cs="Arial"/>
                <w:bCs w:val="0"/>
                <w:color w:val="000000" w:themeColor="text1"/>
                <w:sz w:val="18"/>
                <w:szCs w:val="18"/>
                <w14:textFill>
                  <w14:solidFill>
                    <w14:schemeClr w14:val="tx1"/>
                  </w14:solidFill>
                </w14:textFill>
              </w:rPr>
            </w:pPr>
          </w:p>
        </w:tc>
        <w:sdt>
          <w:sdtPr>
            <w:rPr>
              <w:sz w:val="18"/>
              <w:szCs w:val="18"/>
            </w:rPr>
            <w:tag w:val="_PLD_0154d63f3f2c482ebe0cf00460d87fbd"/>
            <w:id w:val="650184031"/>
          </w:sdtPr>
          <w:sdtEndPr>
            <w:rPr>
              <w:sz w:val="18"/>
              <w:szCs w:val="18"/>
            </w:rPr>
          </w:sdtEndPr>
          <w:sdtContent>
            <w:tc>
              <w:tcPr>
                <w:tcW w:w="370" w:type="pct"/>
                <w:vAlign w:val="center"/>
              </w:tcPr>
              <w:p w14:paraId="368C712A">
                <w:pPr>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流动资产</w:t>
                </w:r>
              </w:p>
            </w:tc>
          </w:sdtContent>
        </w:sdt>
        <w:sdt>
          <w:sdtPr>
            <w:rPr>
              <w:sz w:val="18"/>
              <w:szCs w:val="18"/>
            </w:rPr>
            <w:tag w:val="_PLD_0f817c02730447aca042c6a931d447e8"/>
            <w:id w:val="1207378715"/>
          </w:sdtPr>
          <w:sdtEndPr>
            <w:rPr>
              <w:sz w:val="18"/>
              <w:szCs w:val="18"/>
            </w:rPr>
          </w:sdtEndPr>
          <w:sdtContent>
            <w:tc>
              <w:tcPr>
                <w:tcW w:w="380" w:type="pct"/>
                <w:vAlign w:val="center"/>
              </w:tcPr>
              <w:p w14:paraId="44DE3073">
                <w:pPr>
                  <w:ind w:left="-40" w:right="-97"/>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非流动资产</w:t>
                </w:r>
              </w:p>
            </w:tc>
          </w:sdtContent>
        </w:sdt>
        <w:sdt>
          <w:sdtPr>
            <w:rPr>
              <w:sz w:val="18"/>
              <w:szCs w:val="18"/>
            </w:rPr>
            <w:tag w:val="_PLD_553e0814e94f491784b88cc5aa7d6adb"/>
            <w:id w:val="592131399"/>
          </w:sdtPr>
          <w:sdtEndPr>
            <w:rPr>
              <w:sz w:val="18"/>
              <w:szCs w:val="18"/>
            </w:rPr>
          </w:sdtEndPr>
          <w:sdtContent>
            <w:tc>
              <w:tcPr>
                <w:tcW w:w="380" w:type="pct"/>
                <w:vAlign w:val="center"/>
              </w:tcPr>
              <w:p w14:paraId="1AF57D9A">
                <w:pPr>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资产合计</w:t>
                </w:r>
              </w:p>
            </w:tc>
          </w:sdtContent>
        </w:sdt>
        <w:sdt>
          <w:sdtPr>
            <w:rPr>
              <w:sz w:val="18"/>
              <w:szCs w:val="18"/>
            </w:rPr>
            <w:tag w:val="_PLD_3db84901ffa544afb174531f0384a82f"/>
            <w:id w:val="731046371"/>
          </w:sdtPr>
          <w:sdtEndPr>
            <w:rPr>
              <w:sz w:val="18"/>
              <w:szCs w:val="18"/>
            </w:rPr>
          </w:sdtEndPr>
          <w:sdtContent>
            <w:tc>
              <w:tcPr>
                <w:tcW w:w="370" w:type="pct"/>
                <w:vAlign w:val="center"/>
              </w:tcPr>
              <w:p w14:paraId="56E03DE8">
                <w:pPr>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流动负债</w:t>
                </w:r>
              </w:p>
            </w:tc>
          </w:sdtContent>
        </w:sdt>
        <w:sdt>
          <w:sdtPr>
            <w:rPr>
              <w:sz w:val="18"/>
              <w:szCs w:val="18"/>
            </w:rPr>
            <w:tag w:val="_PLD_50c217cc437b4c3496e1aab622fba053"/>
            <w:id w:val="652404973"/>
          </w:sdtPr>
          <w:sdtEndPr>
            <w:rPr>
              <w:sz w:val="18"/>
              <w:szCs w:val="18"/>
            </w:rPr>
          </w:sdtEndPr>
          <w:sdtContent>
            <w:tc>
              <w:tcPr>
                <w:tcW w:w="370" w:type="pct"/>
                <w:vAlign w:val="center"/>
              </w:tcPr>
              <w:p w14:paraId="73B3D9A0">
                <w:pPr>
                  <w:ind w:left="-40" w:right="-97"/>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非流动负债</w:t>
                </w:r>
              </w:p>
            </w:tc>
          </w:sdtContent>
        </w:sdt>
        <w:sdt>
          <w:sdtPr>
            <w:rPr>
              <w:sz w:val="18"/>
              <w:szCs w:val="18"/>
            </w:rPr>
            <w:tag w:val="_PLD_ccd9a8d3652e4485a763cfb37eb6fa37"/>
            <w:id w:val="1125739897"/>
          </w:sdtPr>
          <w:sdtEndPr>
            <w:rPr>
              <w:sz w:val="18"/>
              <w:szCs w:val="18"/>
            </w:rPr>
          </w:sdtEndPr>
          <w:sdtContent>
            <w:tc>
              <w:tcPr>
                <w:tcW w:w="400" w:type="pct"/>
                <w:vAlign w:val="center"/>
              </w:tcPr>
              <w:p w14:paraId="55B0C1FD">
                <w:pPr>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负债合计</w:t>
                </w:r>
              </w:p>
            </w:tc>
          </w:sdtContent>
        </w:sdt>
        <w:sdt>
          <w:sdtPr>
            <w:rPr>
              <w:sz w:val="18"/>
              <w:szCs w:val="18"/>
            </w:rPr>
            <w:tag w:val="_PLD_ec07cd6513b74d49b586125d4b66dd0a"/>
            <w:id w:val="581418884"/>
          </w:sdtPr>
          <w:sdtEndPr>
            <w:rPr>
              <w:sz w:val="18"/>
              <w:szCs w:val="18"/>
            </w:rPr>
          </w:sdtEndPr>
          <w:sdtContent>
            <w:tc>
              <w:tcPr>
                <w:tcW w:w="380" w:type="pct"/>
                <w:vAlign w:val="center"/>
              </w:tcPr>
              <w:p w14:paraId="790EF247">
                <w:pPr>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流动资产</w:t>
                </w:r>
              </w:p>
            </w:tc>
          </w:sdtContent>
        </w:sdt>
        <w:sdt>
          <w:sdtPr>
            <w:rPr>
              <w:sz w:val="18"/>
              <w:szCs w:val="18"/>
            </w:rPr>
            <w:tag w:val="_PLD_fb97ce65ab144768b4fb9978546fce37"/>
            <w:id w:val="-1761900388"/>
          </w:sdtPr>
          <w:sdtEndPr>
            <w:rPr>
              <w:sz w:val="18"/>
              <w:szCs w:val="18"/>
            </w:rPr>
          </w:sdtEndPr>
          <w:sdtContent>
            <w:tc>
              <w:tcPr>
                <w:tcW w:w="380" w:type="pct"/>
                <w:vAlign w:val="center"/>
              </w:tcPr>
              <w:p w14:paraId="4D719929">
                <w:pPr>
                  <w:ind w:left="-40" w:right="-97"/>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非流动资产</w:t>
                </w:r>
              </w:p>
            </w:tc>
          </w:sdtContent>
        </w:sdt>
        <w:sdt>
          <w:sdtPr>
            <w:rPr>
              <w:sz w:val="18"/>
              <w:szCs w:val="18"/>
            </w:rPr>
            <w:tag w:val="_PLD_412845ecfd2e45e8ae03b43cf8ca32f4"/>
            <w:id w:val="700988121"/>
          </w:sdtPr>
          <w:sdtEndPr>
            <w:rPr>
              <w:sz w:val="18"/>
              <w:szCs w:val="18"/>
            </w:rPr>
          </w:sdtEndPr>
          <w:sdtContent>
            <w:tc>
              <w:tcPr>
                <w:tcW w:w="380" w:type="pct"/>
                <w:vAlign w:val="center"/>
              </w:tcPr>
              <w:p w14:paraId="1A0D8E0B">
                <w:pPr>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资产合计</w:t>
                </w:r>
              </w:p>
            </w:tc>
          </w:sdtContent>
        </w:sdt>
        <w:sdt>
          <w:sdtPr>
            <w:rPr>
              <w:sz w:val="18"/>
              <w:szCs w:val="18"/>
            </w:rPr>
            <w:tag w:val="_PLD_2a24724c66b442e994f401266a55d5df"/>
            <w:id w:val="-529488811"/>
          </w:sdtPr>
          <w:sdtEndPr>
            <w:rPr>
              <w:sz w:val="18"/>
              <w:szCs w:val="18"/>
            </w:rPr>
          </w:sdtEndPr>
          <w:sdtContent>
            <w:tc>
              <w:tcPr>
                <w:tcW w:w="380" w:type="pct"/>
                <w:vAlign w:val="center"/>
              </w:tcPr>
              <w:p w14:paraId="150EEECD">
                <w:pPr>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流动负债</w:t>
                </w:r>
              </w:p>
            </w:tc>
          </w:sdtContent>
        </w:sdt>
        <w:sdt>
          <w:sdtPr>
            <w:rPr>
              <w:sz w:val="18"/>
              <w:szCs w:val="18"/>
            </w:rPr>
            <w:tag w:val="_PLD_937f557a5cdb4ea99a0a914e755f781f"/>
            <w:id w:val="-1417483590"/>
          </w:sdtPr>
          <w:sdtEndPr>
            <w:rPr>
              <w:sz w:val="18"/>
              <w:szCs w:val="18"/>
            </w:rPr>
          </w:sdtEndPr>
          <w:sdtContent>
            <w:tc>
              <w:tcPr>
                <w:tcW w:w="356" w:type="pct"/>
                <w:vAlign w:val="center"/>
              </w:tcPr>
              <w:p w14:paraId="78EBE7CA">
                <w:pPr>
                  <w:ind w:left="-40" w:right="-97"/>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非流动负债</w:t>
                </w:r>
              </w:p>
            </w:tc>
          </w:sdtContent>
        </w:sdt>
        <w:sdt>
          <w:sdtPr>
            <w:rPr>
              <w:sz w:val="18"/>
              <w:szCs w:val="18"/>
            </w:rPr>
            <w:tag w:val="_PLD_c4b998a44f394e1eb0924a4f19409ff8"/>
            <w:id w:val="1205297357"/>
          </w:sdtPr>
          <w:sdtEndPr>
            <w:rPr>
              <w:sz w:val="18"/>
              <w:szCs w:val="18"/>
            </w:rPr>
          </w:sdtEndPr>
          <w:sdtContent>
            <w:tc>
              <w:tcPr>
                <w:tcW w:w="382" w:type="pct"/>
                <w:vAlign w:val="center"/>
              </w:tcPr>
              <w:p w14:paraId="0D282EDD">
                <w:pPr>
                  <w:jc w:val="center"/>
                  <w:rPr>
                    <w:rFonts w:cs="Arial"/>
                    <w:color w:val="000000" w:themeColor="text1"/>
                    <w:sz w:val="18"/>
                    <w:szCs w:val="18"/>
                    <w14:textFill>
                      <w14:solidFill>
                        <w14:schemeClr w14:val="tx1"/>
                      </w14:solidFill>
                    </w14:textFill>
                  </w:rPr>
                </w:pPr>
                <w:r>
                  <w:rPr>
                    <w:rFonts w:hint="eastAsia" w:cs="Arial"/>
                    <w:color w:val="000000" w:themeColor="text1"/>
                    <w:sz w:val="18"/>
                    <w:szCs w:val="18"/>
                    <w:lang w:val="en-GB"/>
                    <w14:textFill>
                      <w14:solidFill>
                        <w14:schemeClr w14:val="tx1"/>
                      </w14:solidFill>
                    </w14:textFill>
                  </w:rPr>
                  <w:t>负债合计</w:t>
                </w:r>
              </w:p>
            </w:tc>
          </w:sdtContent>
        </w:sdt>
      </w:tr>
      <w:tr w14:paraId="35A4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pct"/>
          </w:tcPr>
          <w:p w14:paraId="1BD7ED2A">
            <w:pPr>
              <w:rPr>
                <w:sz w:val="15"/>
                <w:szCs w:val="15"/>
              </w:rPr>
            </w:pPr>
            <w:r>
              <w:rPr>
                <w:rFonts w:hint="eastAsia"/>
                <w:sz w:val="15"/>
                <w:szCs w:val="15"/>
              </w:rPr>
              <w:t>山东好当家海洋捕捞有限公司</w:t>
            </w:r>
          </w:p>
        </w:tc>
        <w:tc>
          <w:tcPr>
            <w:tcW w:w="370" w:type="pct"/>
            <w:vAlign w:val="center"/>
          </w:tcPr>
          <w:p w14:paraId="45B229DE">
            <w:pPr>
              <w:jc w:val="right"/>
              <w:rPr>
                <w:sz w:val="15"/>
                <w:szCs w:val="15"/>
              </w:rPr>
            </w:pPr>
            <w:r>
              <w:rPr>
                <w:sz w:val="15"/>
                <w:szCs w:val="15"/>
              </w:rPr>
              <w:t>519,116,446.64</w:t>
            </w:r>
          </w:p>
        </w:tc>
        <w:tc>
          <w:tcPr>
            <w:tcW w:w="380" w:type="pct"/>
            <w:vAlign w:val="center"/>
          </w:tcPr>
          <w:p w14:paraId="5EFCF9AC">
            <w:pPr>
              <w:jc w:val="right"/>
              <w:rPr>
                <w:sz w:val="15"/>
                <w:szCs w:val="15"/>
              </w:rPr>
            </w:pPr>
            <w:r>
              <w:rPr>
                <w:sz w:val="15"/>
                <w:szCs w:val="15"/>
              </w:rPr>
              <w:t>168,584,689.74</w:t>
            </w:r>
          </w:p>
        </w:tc>
        <w:tc>
          <w:tcPr>
            <w:tcW w:w="380" w:type="pct"/>
            <w:vAlign w:val="center"/>
          </w:tcPr>
          <w:p w14:paraId="2A031506">
            <w:pPr>
              <w:jc w:val="right"/>
              <w:rPr>
                <w:sz w:val="15"/>
                <w:szCs w:val="15"/>
              </w:rPr>
            </w:pPr>
            <w:r>
              <w:rPr>
                <w:sz w:val="15"/>
                <w:szCs w:val="15"/>
              </w:rPr>
              <w:t>687,701,136.38</w:t>
            </w:r>
          </w:p>
        </w:tc>
        <w:tc>
          <w:tcPr>
            <w:tcW w:w="370" w:type="pct"/>
            <w:vAlign w:val="center"/>
          </w:tcPr>
          <w:p w14:paraId="534A6357">
            <w:pPr>
              <w:jc w:val="right"/>
              <w:rPr>
                <w:sz w:val="15"/>
                <w:szCs w:val="15"/>
              </w:rPr>
            </w:pPr>
            <w:r>
              <w:rPr>
                <w:sz w:val="15"/>
                <w:szCs w:val="15"/>
              </w:rPr>
              <w:t>373,041,822.43</w:t>
            </w:r>
          </w:p>
        </w:tc>
        <w:tc>
          <w:tcPr>
            <w:tcW w:w="370" w:type="pct"/>
            <w:vAlign w:val="center"/>
          </w:tcPr>
          <w:p w14:paraId="67D1EA7A">
            <w:pPr>
              <w:jc w:val="right"/>
              <w:rPr>
                <w:sz w:val="15"/>
                <w:szCs w:val="15"/>
              </w:rPr>
            </w:pPr>
            <w:r>
              <w:rPr>
                <w:sz w:val="15"/>
                <w:szCs w:val="15"/>
              </w:rPr>
              <w:t>82,448,706.37</w:t>
            </w:r>
          </w:p>
        </w:tc>
        <w:tc>
          <w:tcPr>
            <w:tcW w:w="400" w:type="pct"/>
            <w:vAlign w:val="center"/>
          </w:tcPr>
          <w:p w14:paraId="7B1D3D68">
            <w:pPr>
              <w:jc w:val="right"/>
              <w:rPr>
                <w:sz w:val="15"/>
                <w:szCs w:val="15"/>
              </w:rPr>
            </w:pPr>
            <w:r>
              <w:rPr>
                <w:sz w:val="15"/>
                <w:szCs w:val="15"/>
              </w:rPr>
              <w:t>455,490,528.80</w:t>
            </w:r>
          </w:p>
        </w:tc>
        <w:tc>
          <w:tcPr>
            <w:tcW w:w="380" w:type="pct"/>
            <w:vAlign w:val="center"/>
          </w:tcPr>
          <w:p w14:paraId="2BC9BEFC">
            <w:pPr>
              <w:jc w:val="right"/>
              <w:rPr>
                <w:sz w:val="15"/>
                <w:szCs w:val="15"/>
              </w:rPr>
            </w:pPr>
            <w:r>
              <w:rPr>
                <w:sz w:val="15"/>
                <w:szCs w:val="15"/>
              </w:rPr>
              <w:t>538,182,084.44</w:t>
            </w:r>
          </w:p>
        </w:tc>
        <w:tc>
          <w:tcPr>
            <w:tcW w:w="380" w:type="pct"/>
            <w:vAlign w:val="center"/>
          </w:tcPr>
          <w:p w14:paraId="75B09B4A">
            <w:pPr>
              <w:jc w:val="right"/>
              <w:rPr>
                <w:sz w:val="15"/>
                <w:szCs w:val="15"/>
              </w:rPr>
            </w:pPr>
            <w:r>
              <w:rPr>
                <w:sz w:val="15"/>
                <w:szCs w:val="15"/>
              </w:rPr>
              <w:t>195,240,002.32</w:t>
            </w:r>
          </w:p>
        </w:tc>
        <w:tc>
          <w:tcPr>
            <w:tcW w:w="380" w:type="pct"/>
            <w:vAlign w:val="center"/>
          </w:tcPr>
          <w:p w14:paraId="13426C9B">
            <w:pPr>
              <w:jc w:val="right"/>
              <w:rPr>
                <w:sz w:val="15"/>
                <w:szCs w:val="15"/>
              </w:rPr>
            </w:pPr>
            <w:r>
              <w:rPr>
                <w:sz w:val="15"/>
                <w:szCs w:val="15"/>
              </w:rPr>
              <w:t>733,422,086.76</w:t>
            </w:r>
          </w:p>
        </w:tc>
        <w:tc>
          <w:tcPr>
            <w:tcW w:w="380" w:type="pct"/>
            <w:vAlign w:val="center"/>
          </w:tcPr>
          <w:p w14:paraId="764D408F">
            <w:pPr>
              <w:jc w:val="right"/>
              <w:rPr>
                <w:sz w:val="15"/>
                <w:szCs w:val="15"/>
              </w:rPr>
            </w:pPr>
            <w:r>
              <w:rPr>
                <w:sz w:val="15"/>
                <w:szCs w:val="15"/>
              </w:rPr>
              <w:t>426,516,767.34</w:t>
            </w:r>
          </w:p>
        </w:tc>
        <w:tc>
          <w:tcPr>
            <w:tcW w:w="356" w:type="pct"/>
            <w:vAlign w:val="center"/>
          </w:tcPr>
          <w:p w14:paraId="0CB2AE61">
            <w:pPr>
              <w:jc w:val="right"/>
              <w:rPr>
                <w:sz w:val="15"/>
                <w:szCs w:val="15"/>
              </w:rPr>
            </w:pPr>
            <w:r>
              <w:rPr>
                <w:sz w:val="15"/>
                <w:szCs w:val="15"/>
              </w:rPr>
              <w:t>85,681,843.64</w:t>
            </w:r>
          </w:p>
        </w:tc>
        <w:tc>
          <w:tcPr>
            <w:tcW w:w="382" w:type="pct"/>
            <w:vAlign w:val="center"/>
          </w:tcPr>
          <w:p w14:paraId="3DD87F9A">
            <w:pPr>
              <w:jc w:val="right"/>
              <w:rPr>
                <w:sz w:val="15"/>
                <w:szCs w:val="15"/>
              </w:rPr>
            </w:pPr>
            <w:r>
              <w:rPr>
                <w:sz w:val="15"/>
                <w:szCs w:val="15"/>
              </w:rPr>
              <w:t>512,198,610.98</w:t>
            </w:r>
          </w:p>
        </w:tc>
      </w:tr>
    </w:tbl>
    <w:p w14:paraId="78F8510E">
      <w:pPr>
        <w:rPr>
          <w:rFonts w:cs="Arial"/>
          <w:color w:val="000000" w:themeColor="text1"/>
          <w14:textFill>
            <w14:solidFill>
              <w14:schemeClr w14:val="tx1"/>
            </w14:solidFill>
          </w14:textFill>
        </w:rPr>
      </w:pP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3"/>
        <w:gridCol w:w="1529"/>
        <w:gridCol w:w="1424"/>
        <w:gridCol w:w="1424"/>
        <w:gridCol w:w="1519"/>
        <w:gridCol w:w="1529"/>
        <w:gridCol w:w="1253"/>
        <w:gridCol w:w="1394"/>
        <w:gridCol w:w="1548"/>
      </w:tblGrid>
      <w:tr w14:paraId="7799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sdt>
          <w:sdtPr>
            <w:tag w:val="_PLD_87ab97227e5642b988e110c5a28abb39"/>
            <w:id w:val="-380936516"/>
          </w:sdtPr>
          <w:sdtContent>
            <w:tc>
              <w:tcPr>
                <w:tcW w:w="833" w:type="pct"/>
                <w:vMerge w:val="restart"/>
                <w:vAlign w:val="center"/>
              </w:tcPr>
              <w:p w14:paraId="694A702F">
                <w:pPr>
                  <w:spacing w:line="276" w:lineRule="auto"/>
                  <w:ind w:right="-16"/>
                  <w:jc w:val="center"/>
                  <w:rPr>
                    <w:rFonts w:cs="Arial"/>
                    <w:bCs w:val="0"/>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子公司名称</w:t>
                </w:r>
              </w:p>
            </w:tc>
          </w:sdtContent>
        </w:sdt>
        <w:sdt>
          <w:sdtPr>
            <w:tag w:val="_PLD_85f8737cebf641b2aa266052f4118ba8"/>
            <w:id w:val="-1362364897"/>
          </w:sdtPr>
          <w:sdtContent>
            <w:tc>
              <w:tcPr>
                <w:tcW w:w="2084" w:type="pct"/>
                <w:gridSpan w:val="4"/>
                <w:vAlign w:val="center"/>
              </w:tcPr>
              <w:p w14:paraId="67BE9CB4">
                <w:pPr>
                  <w:spacing w:line="276" w:lineRule="auto"/>
                  <w:ind w:right="-16"/>
                  <w:jc w:val="center"/>
                  <w:rPr>
                    <w:rFonts w:cs="Arial"/>
                    <w:bCs w:val="0"/>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本期发生额</w:t>
                </w:r>
              </w:p>
            </w:tc>
          </w:sdtContent>
        </w:sdt>
        <w:sdt>
          <w:sdtPr>
            <w:tag w:val="_PLD_32dac50c80854f268b3afdebef20332e"/>
            <w:id w:val="1641771600"/>
          </w:sdtPr>
          <w:sdtContent>
            <w:tc>
              <w:tcPr>
                <w:tcW w:w="2083" w:type="pct"/>
                <w:gridSpan w:val="4"/>
                <w:vAlign w:val="center"/>
              </w:tcPr>
              <w:p w14:paraId="168E993C">
                <w:pPr>
                  <w:spacing w:line="276" w:lineRule="auto"/>
                  <w:ind w:right="-16"/>
                  <w:jc w:val="center"/>
                  <w:rPr>
                    <w:rFonts w:cs="Arial"/>
                    <w:bCs w:val="0"/>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上期发生额</w:t>
                </w:r>
              </w:p>
            </w:tc>
          </w:sdtContent>
        </w:sdt>
      </w:tr>
      <w:tr w14:paraId="2377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833" w:type="pct"/>
            <w:vMerge w:val="continue"/>
            <w:vAlign w:val="center"/>
          </w:tcPr>
          <w:p w14:paraId="4D1B8942">
            <w:pPr>
              <w:jc w:val="center"/>
              <w:rPr>
                <w:rFonts w:cs="Arial"/>
                <w:bCs w:val="0"/>
                <w:color w:val="000000" w:themeColor="text1"/>
                <w14:textFill>
                  <w14:solidFill>
                    <w14:schemeClr w14:val="tx1"/>
                  </w14:solidFill>
                </w14:textFill>
              </w:rPr>
            </w:pPr>
          </w:p>
        </w:tc>
        <w:sdt>
          <w:sdtPr>
            <w:tag w:val="_PLD_29407a86c6924579a6442f5b24e6decd"/>
            <w:id w:val="-1011524066"/>
          </w:sdtPr>
          <w:sdtContent>
            <w:tc>
              <w:tcPr>
                <w:tcW w:w="498" w:type="pct"/>
                <w:vAlign w:val="center"/>
              </w:tcPr>
              <w:p w14:paraId="346D861D">
                <w:pPr>
                  <w:spacing w:line="276" w:lineRule="auto"/>
                  <w:jc w:val="center"/>
                  <w:rPr>
                    <w:rFonts w:cs="Arial"/>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营业收入</w:t>
                </w:r>
              </w:p>
            </w:tc>
          </w:sdtContent>
        </w:sdt>
        <w:sdt>
          <w:sdtPr>
            <w:tag w:val="_PLD_bc59f1076f2243f8984efa8df921ad2c"/>
            <w:id w:val="256796337"/>
          </w:sdtPr>
          <w:sdtContent>
            <w:tc>
              <w:tcPr>
                <w:tcW w:w="476" w:type="pct"/>
                <w:vAlign w:val="center"/>
              </w:tcPr>
              <w:p w14:paraId="68BED7E8">
                <w:pPr>
                  <w:spacing w:line="276" w:lineRule="auto"/>
                  <w:jc w:val="center"/>
                  <w:rPr>
                    <w:rFonts w:cs="Arial"/>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净利润</w:t>
                </w:r>
              </w:p>
            </w:tc>
          </w:sdtContent>
        </w:sdt>
        <w:sdt>
          <w:sdtPr>
            <w:tag w:val="_PLD_90f87c27e3fb4843892cceb85599a3b1"/>
            <w:id w:val="-383028073"/>
          </w:sdtPr>
          <w:sdtContent>
            <w:tc>
              <w:tcPr>
                <w:tcW w:w="527" w:type="pct"/>
                <w:vAlign w:val="center"/>
              </w:tcPr>
              <w:p w14:paraId="7C6DC328">
                <w:pPr>
                  <w:spacing w:line="276" w:lineRule="auto"/>
                  <w:jc w:val="center"/>
                  <w:rPr>
                    <w:rFonts w:cs="Arial"/>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综合收益总额</w:t>
                </w:r>
              </w:p>
            </w:tc>
          </w:sdtContent>
        </w:sdt>
        <w:sdt>
          <w:sdtPr>
            <w:tag w:val="_PLD_3126fb1798f346de95a39458603c4301"/>
            <w:id w:val="715314415"/>
          </w:sdtPr>
          <w:sdtContent>
            <w:tc>
              <w:tcPr>
                <w:tcW w:w="583" w:type="pct"/>
                <w:vAlign w:val="center"/>
              </w:tcPr>
              <w:p w14:paraId="19E4DA9B">
                <w:pPr>
                  <w:spacing w:line="276" w:lineRule="auto"/>
                  <w:jc w:val="center"/>
                  <w:rPr>
                    <w:rFonts w:cs="Arial"/>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经营活动现金流量</w:t>
                </w:r>
              </w:p>
            </w:tc>
          </w:sdtContent>
        </w:sdt>
        <w:sdt>
          <w:sdtPr>
            <w:tag w:val="_PLD_44ccfb27fc6943ac84654ba7c7bef20e"/>
            <w:id w:val="1125427723"/>
          </w:sdtPr>
          <w:sdtContent>
            <w:tc>
              <w:tcPr>
                <w:tcW w:w="498" w:type="pct"/>
                <w:vAlign w:val="center"/>
              </w:tcPr>
              <w:p w14:paraId="7BA3368F">
                <w:pPr>
                  <w:spacing w:line="276" w:lineRule="auto"/>
                  <w:jc w:val="center"/>
                  <w:rPr>
                    <w:rFonts w:cs="Arial"/>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营业收入</w:t>
                </w:r>
              </w:p>
            </w:tc>
          </w:sdtContent>
        </w:sdt>
        <w:sdt>
          <w:sdtPr>
            <w:tag w:val="_PLD_c08aebbf24fa4b1aa2c4f79232c7c630"/>
            <w:id w:val="-865214100"/>
          </w:sdtPr>
          <w:sdtContent>
            <w:tc>
              <w:tcPr>
                <w:tcW w:w="476" w:type="pct"/>
                <w:vAlign w:val="center"/>
              </w:tcPr>
              <w:p w14:paraId="3F710C60">
                <w:pPr>
                  <w:spacing w:line="276" w:lineRule="auto"/>
                  <w:jc w:val="center"/>
                  <w:rPr>
                    <w:rFonts w:cs="Arial"/>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净利润</w:t>
                </w:r>
              </w:p>
            </w:tc>
          </w:sdtContent>
        </w:sdt>
        <w:sdt>
          <w:sdtPr>
            <w:tag w:val="_PLD_0a377a03553f4d909179190a153a31b7"/>
            <w:id w:val="1428239743"/>
          </w:sdtPr>
          <w:sdtContent>
            <w:tc>
              <w:tcPr>
                <w:tcW w:w="527" w:type="pct"/>
                <w:vAlign w:val="center"/>
              </w:tcPr>
              <w:p w14:paraId="6EF4A599">
                <w:pPr>
                  <w:spacing w:line="276" w:lineRule="auto"/>
                  <w:jc w:val="center"/>
                  <w:rPr>
                    <w:rFonts w:cs="Arial"/>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综合收益总额</w:t>
                </w:r>
              </w:p>
            </w:tc>
          </w:sdtContent>
        </w:sdt>
        <w:sdt>
          <w:sdtPr>
            <w:tag w:val="_PLD_400ec1e5e2cf42e5a9eea23ddbdbd572"/>
            <w:id w:val="-1766905507"/>
          </w:sdtPr>
          <w:sdtContent>
            <w:tc>
              <w:tcPr>
                <w:tcW w:w="582" w:type="pct"/>
                <w:vAlign w:val="center"/>
              </w:tcPr>
              <w:p w14:paraId="3A81DFE9">
                <w:pPr>
                  <w:spacing w:line="276" w:lineRule="auto"/>
                  <w:jc w:val="center"/>
                  <w:rPr>
                    <w:rFonts w:cs="Arial"/>
                    <w:color w:val="000000" w:themeColor="text1"/>
                    <w14:textFill>
                      <w14:solidFill>
                        <w14:schemeClr w14:val="tx1"/>
                      </w14:solidFill>
                    </w14:textFill>
                  </w:rPr>
                </w:pPr>
                <w:r>
                  <w:rPr>
                    <w:rFonts w:hint="eastAsia" w:cs="Arial"/>
                    <w:color w:val="000000" w:themeColor="text1"/>
                    <w:lang w:val="en-GB"/>
                    <w14:textFill>
                      <w14:solidFill>
                        <w14:schemeClr w14:val="tx1"/>
                      </w14:solidFill>
                    </w14:textFill>
                  </w:rPr>
                  <w:t>经营活动现金流量</w:t>
                </w:r>
              </w:p>
            </w:tc>
          </w:sdtContent>
        </w:sdt>
      </w:tr>
      <w:tr w14:paraId="3700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pct"/>
          </w:tcPr>
          <w:p w14:paraId="4263D1CB">
            <w:pPr>
              <w:spacing w:line="276" w:lineRule="auto"/>
            </w:pPr>
            <w:r>
              <w:rPr>
                <w:rFonts w:hint="eastAsia"/>
              </w:rPr>
              <w:t>山东好当家海洋捕捞有限公司</w:t>
            </w:r>
          </w:p>
        </w:tc>
        <w:tc>
          <w:tcPr>
            <w:tcW w:w="498" w:type="pct"/>
            <w:vAlign w:val="center"/>
          </w:tcPr>
          <w:p w14:paraId="0A74245A">
            <w:pPr>
              <w:spacing w:line="276" w:lineRule="auto"/>
              <w:jc w:val="right"/>
            </w:pPr>
            <w:r>
              <w:t>168,438,294.98</w:t>
            </w:r>
          </w:p>
        </w:tc>
        <w:tc>
          <w:tcPr>
            <w:tcW w:w="476" w:type="pct"/>
            <w:vAlign w:val="center"/>
          </w:tcPr>
          <w:p w14:paraId="24A34EBD">
            <w:pPr>
              <w:spacing w:line="276" w:lineRule="auto"/>
              <w:jc w:val="right"/>
            </w:pPr>
            <w:r>
              <w:t>16,196,710.45</w:t>
            </w:r>
          </w:p>
        </w:tc>
        <w:tc>
          <w:tcPr>
            <w:tcW w:w="527" w:type="pct"/>
            <w:vAlign w:val="center"/>
          </w:tcPr>
          <w:p w14:paraId="28106B6C">
            <w:pPr>
              <w:spacing w:line="276" w:lineRule="auto"/>
              <w:jc w:val="right"/>
            </w:pPr>
            <w:r>
              <w:t>16,196,710.45</w:t>
            </w:r>
          </w:p>
        </w:tc>
        <w:tc>
          <w:tcPr>
            <w:tcW w:w="583" w:type="pct"/>
            <w:vAlign w:val="center"/>
          </w:tcPr>
          <w:p w14:paraId="18F5E202">
            <w:pPr>
              <w:spacing w:line="276" w:lineRule="auto"/>
              <w:jc w:val="right"/>
            </w:pPr>
            <w:r>
              <w:t>21,754,510.44</w:t>
            </w:r>
          </w:p>
        </w:tc>
        <w:tc>
          <w:tcPr>
            <w:tcW w:w="498" w:type="pct"/>
            <w:vAlign w:val="center"/>
          </w:tcPr>
          <w:p w14:paraId="2BEC1D0D">
            <w:pPr>
              <w:spacing w:line="276" w:lineRule="auto"/>
              <w:jc w:val="right"/>
            </w:pPr>
            <w:r>
              <w:rPr>
                <w:rFonts w:eastAsia="等线" w:cs="Times New Roman"/>
                <w:color w:val="000000"/>
              </w:rPr>
              <w:t>105,353,834.40</w:t>
            </w:r>
          </w:p>
        </w:tc>
        <w:tc>
          <w:tcPr>
            <w:tcW w:w="476" w:type="pct"/>
            <w:vAlign w:val="center"/>
          </w:tcPr>
          <w:p w14:paraId="1C2349A7">
            <w:pPr>
              <w:spacing w:line="276" w:lineRule="auto"/>
              <w:jc w:val="right"/>
            </w:pPr>
            <w:r>
              <w:rPr>
                <w:rFonts w:eastAsia="等线" w:cs="Times New Roman"/>
                <w:color w:val="000000"/>
              </w:rPr>
              <w:t>-261,002.87</w:t>
            </w:r>
          </w:p>
        </w:tc>
        <w:tc>
          <w:tcPr>
            <w:tcW w:w="527" w:type="pct"/>
            <w:vAlign w:val="center"/>
          </w:tcPr>
          <w:p w14:paraId="10CD3B8D">
            <w:pPr>
              <w:spacing w:line="276" w:lineRule="auto"/>
              <w:jc w:val="right"/>
            </w:pPr>
            <w:r>
              <w:rPr>
                <w:rFonts w:eastAsia="等线" w:cs="Times New Roman"/>
                <w:color w:val="000000"/>
              </w:rPr>
              <w:t>-261,002.87</w:t>
            </w:r>
          </w:p>
        </w:tc>
        <w:tc>
          <w:tcPr>
            <w:tcW w:w="582" w:type="pct"/>
            <w:vAlign w:val="center"/>
          </w:tcPr>
          <w:p w14:paraId="2C724653">
            <w:pPr>
              <w:spacing w:line="276" w:lineRule="auto"/>
              <w:jc w:val="right"/>
            </w:pPr>
            <w:r>
              <w:t>-9,502,601.10</w:t>
            </w:r>
          </w:p>
        </w:tc>
      </w:tr>
    </w:tbl>
    <w:p w14:paraId="3AE39B78">
      <w:pPr>
        <w:rPr>
          <w:rFonts w:cs="Arial"/>
          <w:color w:val="000000" w:themeColor="text1"/>
          <w14:textFill>
            <w14:solidFill>
              <w14:schemeClr w14:val="tx1"/>
            </w14:solidFill>
          </w14:textFill>
        </w:rPr>
      </w:pPr>
    </w:p>
    <w:p w14:paraId="48D013E0">
      <w:pPr>
        <w:rPr>
          <w:rFonts w:cs="Arial"/>
          <w:color w:val="000000" w:themeColor="text1"/>
          <w14:textFill>
            <w14:solidFill>
              <w14:schemeClr w14:val="tx1"/>
            </w14:solidFill>
          </w14:textFill>
        </w:rPr>
      </w:pPr>
      <w:r>
        <w:rPr>
          <w:rFonts w:hint="eastAsia" w:cs="Arial"/>
          <w:color w:val="000000" w:themeColor="text1"/>
          <w14:textFill>
            <w14:solidFill>
              <w14:schemeClr w14:val="tx1"/>
            </w14:solidFill>
          </w14:textFill>
        </w:rPr>
        <w:t>其他说明：</w:t>
      </w:r>
    </w:p>
    <w:sdt>
      <w:sdtPr>
        <w:rPr>
          <w:rFonts w:cs="Arial"/>
          <w:color w:val="000000" w:themeColor="text1"/>
          <w14:textFill>
            <w14:solidFill>
              <w14:schemeClr w14:val="tx1"/>
            </w14:solidFill>
          </w14:textFill>
        </w:rPr>
        <w:alias w:val="重要非全资子公司的主要财务信息的其他说明"/>
        <w:tag w:val="_GBC_c6413d961dad488aae6fcf0fda2bf33a"/>
        <w:id w:val="740289378"/>
        <w:placeholder>
          <w:docPart w:val="GBC22222222222222222222222222222"/>
        </w:placeholder>
      </w:sdtPr>
      <w:sdtEndPr>
        <w:rPr>
          <w:rFonts w:cs="Arial"/>
          <w:color w:val="000000" w:themeColor="text1"/>
          <w14:textFill>
            <w14:solidFill>
              <w14:schemeClr w14:val="tx1"/>
            </w14:solidFill>
          </w14:textFill>
        </w:rPr>
      </w:sdtEndPr>
      <w:sdtContent>
        <w:p w14:paraId="71974493">
          <w:pPr>
            <w:rPr>
              <w:rFonts w:cs="Arial"/>
              <w:color w:val="000000" w:themeColor="text1"/>
              <w14:textFill>
                <w14:solidFill>
                  <w14:schemeClr w14:val="tx1"/>
                </w14:solidFill>
              </w14:textFill>
            </w:rPr>
          </w:pPr>
          <w:r>
            <w:rPr>
              <w:rFonts w:hint="eastAsia" w:cs="Arial"/>
              <w:color w:val="000000" w:themeColor="text1"/>
              <w14:textFill>
                <w14:solidFill>
                  <w14:schemeClr w14:val="tx1"/>
                </w14:solidFill>
              </w14:textFill>
            </w:rPr>
            <w:t>无</w:t>
          </w:r>
        </w:p>
      </w:sdtContent>
    </w:sdt>
    <w:p w14:paraId="532EB130">
      <w:pPr>
        <w:rPr>
          <w:rFonts w:cs="Arial"/>
          <w:color w:val="000000" w:themeColor="text1"/>
          <w14:textFill>
            <w14:solidFill>
              <w14:schemeClr w14:val="tx1"/>
            </w14:solidFill>
          </w14:textFill>
        </w:rPr>
      </w:pPr>
    </w:p>
    <w:p w14:paraId="41506CF5">
      <w:pPr>
        <w:rPr>
          <w:rFonts w:cs="Arial"/>
          <w:color w:val="000000" w:themeColor="text1"/>
          <w14:textFill>
            <w14:solidFill>
              <w14:schemeClr w14:val="tx1"/>
            </w14:solidFill>
          </w14:textFill>
        </w:rPr>
        <w:sectPr>
          <w:pgSz w:w="16838" w:h="11906" w:orient="landscape"/>
          <w:pgMar w:top="1797" w:right="1525" w:bottom="1276" w:left="1440" w:header="856" w:footer="992" w:gutter="0"/>
          <w:cols w:space="425" w:num="1"/>
          <w:docGrid w:linePitch="312" w:charSpace="0"/>
        </w:sectPr>
      </w:pPr>
    </w:p>
    <w:p w14:paraId="4570C9C5">
      <w:pPr>
        <w:rPr>
          <w:rFonts w:cs="Arial"/>
          <w:color w:val="000000" w:themeColor="text1"/>
          <w14:textFill>
            <w14:solidFill>
              <w14:schemeClr w14:val="tx1"/>
            </w14:solidFill>
          </w14:textFill>
        </w:rPr>
      </w:pPr>
    </w:p>
    <w:p w14:paraId="12F97172">
      <w:pPr>
        <w:pStyle w:val="5"/>
        <w:numPr>
          <w:ilvl w:val="3"/>
          <w:numId w:val="95"/>
        </w:numPr>
        <w:tabs>
          <w:tab w:val="left" w:pos="644"/>
        </w:tabs>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使用企业集团资产和清偿企业集团债务的重大限制：</w:t>
      </w:r>
    </w:p>
    <w:sdt>
      <w:sdtPr>
        <w:rPr>
          <w:color w:val="000000" w:themeColor="text1"/>
          <w14:textFill>
            <w14:solidFill>
              <w14:schemeClr w14:val="tx1"/>
            </w14:solidFill>
          </w14:textFill>
        </w:rPr>
        <w:alias w:val="是否适用：使用企业集团资产和清偿企业集团债务的重大限制[双击切换]"/>
        <w:tag w:val="_GBC_d4aaeca51c634ffea892b86812441771"/>
        <w:id w:val="-1979529563"/>
        <w:placeholder>
          <w:docPart w:val="GBC22222222222222222222222222222"/>
        </w:placeholder>
      </w:sdtPr>
      <w:sdtEndPr>
        <w:rPr>
          <w:color w:val="000000" w:themeColor="text1"/>
          <w14:textFill>
            <w14:solidFill>
              <w14:schemeClr w14:val="tx1"/>
            </w14:solidFill>
          </w14:textFill>
        </w:rPr>
      </w:sdtEndPr>
      <w:sdtContent>
        <w:p w14:paraId="40392381">
          <w:pPr>
            <w:rPr>
              <w:rFonts w:cs="Arial"/>
              <w:b/>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B13F4E9">
      <w:pPr>
        <w:rPr>
          <w:rFonts w:cs="Arial"/>
          <w:color w:val="000000" w:themeColor="text1"/>
          <w14:textFill>
            <w14:solidFill>
              <w14:schemeClr w14:val="tx1"/>
            </w14:solidFill>
          </w14:textFill>
        </w:rPr>
      </w:pPr>
    </w:p>
    <w:p w14:paraId="77A781CE">
      <w:pPr>
        <w:pStyle w:val="5"/>
        <w:numPr>
          <w:ilvl w:val="3"/>
          <w:numId w:val="95"/>
        </w:numPr>
        <w:tabs>
          <w:tab w:val="left" w:pos="644"/>
        </w:tabs>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向纳入合并财务报表范围的结构化主体提供的财务支持或其他支持：</w:t>
      </w:r>
    </w:p>
    <w:sdt>
      <w:sdtPr>
        <w:rPr>
          <w:color w:val="000000" w:themeColor="text1"/>
          <w14:textFill>
            <w14:solidFill>
              <w14:schemeClr w14:val="tx1"/>
            </w14:solidFill>
          </w14:textFill>
        </w:rPr>
        <w:alias w:val="是否适用：向纳入合并财务报表范围的结构化主体提供的财务支持或其他支持[双击切换]"/>
        <w:tag w:val="_GBC_3ee0b326ed544ace8060843f29d4cd3a"/>
        <w:id w:val="-909375212"/>
        <w:placeholder>
          <w:docPart w:val="GBC22222222222222222222222222222"/>
        </w:placeholder>
      </w:sdtPr>
      <w:sdtEndPr>
        <w:rPr>
          <w:color w:val="000000" w:themeColor="text1"/>
          <w14:textFill>
            <w14:solidFill>
              <w14:schemeClr w14:val="tx1"/>
            </w14:solidFill>
          </w14:textFill>
        </w:rPr>
      </w:sdtEndPr>
      <w:sdtContent>
        <w:p w14:paraId="59E7D139">
          <w:pPr>
            <w:rPr>
              <w:rFonts w:cs="Arial"/>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D525465">
      <w:pPr>
        <w:rPr>
          <w:rFonts w:cs="Arial"/>
          <w:b/>
          <w:color w:val="000000" w:themeColor="text1"/>
          <w14:textFill>
            <w14:solidFill>
              <w14:schemeClr w14:val="tx1"/>
            </w14:solidFill>
          </w14:textFill>
        </w:rPr>
      </w:pPr>
    </w:p>
    <w:p w14:paraId="4A7C749E">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在子公司中的权益其他说明[双击切换]"/>
        <w:tag w:val="_GBC_e4c33fb40d7a42bc88681a9facbf5ba5"/>
        <w:id w:val="1400558042"/>
        <w:placeholder>
          <w:docPart w:val="GBC22222222222222222222222222222"/>
        </w:placeholder>
      </w:sdtPr>
      <w:sdtEndPr>
        <w:rPr>
          <w:color w:val="000000" w:themeColor="text1"/>
          <w14:textFill>
            <w14:solidFill>
              <w14:schemeClr w14:val="tx1"/>
            </w14:solidFill>
          </w14:textFill>
        </w:rPr>
      </w:sdtEndPr>
      <w:sdtContent>
        <w:p w14:paraId="4C361B0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2B82E04">
      <w:pPr>
        <w:rPr>
          <w:color w:val="000000" w:themeColor="text1"/>
          <w14:textFill>
            <w14:solidFill>
              <w14:schemeClr w14:val="tx1"/>
            </w14:solidFill>
          </w14:textFill>
        </w:rPr>
      </w:pPr>
    </w:p>
    <w:p w14:paraId="7ECA320E">
      <w:pPr>
        <w:pStyle w:val="4"/>
        <w:numPr>
          <w:ilvl w:val="2"/>
          <w:numId w:val="94"/>
        </w:numP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在子公司的所有者权益份额发生变化且仍控制子公司的交易</w:t>
      </w:r>
    </w:p>
    <w:sdt>
      <w:sdtPr>
        <w:rPr>
          <w:color w:val="000000" w:themeColor="text1"/>
          <w14:textFill>
            <w14:solidFill>
              <w14:schemeClr w14:val="tx1"/>
            </w14:solidFill>
          </w14:textFill>
        </w:rPr>
        <w:alias w:val="是否适用：在子公司的所有者权益份额发生变化且仍控制子公司的交易[双击切换]"/>
        <w:tag w:val="_GBC_51b903d8f50944dc91e91048eba723cd"/>
        <w:id w:val="-1829349767"/>
        <w:placeholder>
          <w:docPart w:val="GBC22222222222222222222222222222"/>
        </w:placeholder>
      </w:sdtPr>
      <w:sdtEndPr>
        <w:rPr>
          <w:color w:val="000000" w:themeColor="text1"/>
          <w14:textFill>
            <w14:solidFill>
              <w14:schemeClr w14:val="tx1"/>
            </w14:solidFill>
          </w14:textFill>
        </w:rPr>
      </w:sdtEndPr>
      <w:sdtContent>
        <w:p w14:paraId="2DEF44CA">
          <w:pPr>
            <w:rPr>
              <w:rFonts w:cs="Arial"/>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2C85381">
      <w:pPr>
        <w:rPr>
          <w:rFonts w:cs="Arial"/>
          <w:color w:val="000000" w:themeColor="text1"/>
          <w14:textFill>
            <w14:solidFill>
              <w14:schemeClr w14:val="tx1"/>
            </w14:solidFill>
          </w14:textFill>
        </w:rPr>
      </w:pPr>
    </w:p>
    <w:p w14:paraId="1A384838">
      <w:pPr>
        <w:rPr>
          <w:color w:val="000000" w:themeColor="text1"/>
          <w14:textFill>
            <w14:solidFill>
              <w14:schemeClr w14:val="tx1"/>
            </w14:solidFill>
          </w14:textFill>
        </w:rPr>
      </w:pPr>
    </w:p>
    <w:p w14:paraId="7C374356">
      <w:pPr>
        <w:pStyle w:val="4"/>
        <w:numPr>
          <w:ilvl w:val="2"/>
          <w:numId w:val="94"/>
        </w:numP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在合营企业或联营企业中的权益</w:t>
      </w:r>
    </w:p>
    <w:sdt>
      <w:sdtPr>
        <w:rPr>
          <w:color w:val="000000" w:themeColor="text1"/>
          <w14:textFill>
            <w14:solidFill>
              <w14:schemeClr w14:val="tx1"/>
            </w14:solidFill>
          </w14:textFill>
        </w:rPr>
        <w:alias w:val="是否适用：在合营企业或联营企业中的权益[双击切换]"/>
        <w:tag w:val="_GBC_31c0fe2068fd4a898e4269df4925aa76"/>
        <w:id w:val="1819374111"/>
        <w:placeholder>
          <w:docPart w:val="GBC22222222222222222222222222222"/>
        </w:placeholder>
      </w:sdtPr>
      <w:sdtEndPr>
        <w:rPr>
          <w:color w:val="000000" w:themeColor="text1"/>
          <w14:textFill>
            <w14:solidFill>
              <w14:schemeClr w14:val="tx1"/>
            </w14:solidFill>
          </w14:textFill>
        </w:rPr>
      </w:sdtEndPr>
      <w:sdtContent>
        <w:p w14:paraId="6F1F46E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DEF23B2">
      <w:pPr>
        <w:pStyle w:val="5"/>
        <w:numPr>
          <w:ilvl w:val="3"/>
          <w:numId w:val="96"/>
        </w:numPr>
        <w:tabs>
          <w:tab w:val="left" w:pos="630"/>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重要的合营企业或联营企业</w:t>
      </w:r>
    </w:p>
    <w:sdt>
      <w:sdtPr>
        <w:rPr>
          <w:color w:val="000000" w:themeColor="text1"/>
          <w14:textFill>
            <w14:solidFill>
              <w14:schemeClr w14:val="tx1"/>
            </w14:solidFill>
          </w14:textFill>
        </w:rPr>
        <w:alias w:val="是否适用：重要的合营企业或联营企业[双击切换]"/>
        <w:tag w:val="_GBC_9973f58b324442d5879a5d16db0cd410"/>
        <w:id w:val="1662426158"/>
        <w:placeholder>
          <w:docPart w:val="GBC22222222222222222222222222222"/>
        </w:placeholder>
      </w:sdtPr>
      <w:sdtEndPr>
        <w:rPr>
          <w:color w:val="000000" w:themeColor="text1"/>
          <w14:textFill>
            <w14:solidFill>
              <w14:schemeClr w14:val="tx1"/>
            </w14:solidFill>
          </w14:textFill>
        </w:rPr>
      </w:sdtEndPr>
      <w:sdtContent>
        <w:p w14:paraId="7A39242D">
          <w:pPr>
            <w:rPr>
              <w:rFonts w:cs="Arial"/>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1FD80F8">
      <w:pPr>
        <w:rPr>
          <w:rFonts w:cs="Arial"/>
          <w:color w:val="000000" w:themeColor="text1"/>
          <w14:textFill>
            <w14:solidFill>
              <w14:schemeClr w14:val="tx1"/>
            </w14:solidFill>
          </w14:textFill>
        </w:rPr>
      </w:pPr>
    </w:p>
    <w:p w14:paraId="05497C25">
      <w:pPr>
        <w:rPr>
          <w:rFonts w:cstheme="minorBidi"/>
          <w:color w:val="000000" w:themeColor="text1"/>
          <w14:textFill>
            <w14:solidFill>
              <w14:schemeClr w14:val="tx1"/>
            </w14:solidFill>
          </w14:textFill>
        </w:rPr>
      </w:pPr>
    </w:p>
    <w:p w14:paraId="6F2C46F2">
      <w:pPr>
        <w:pStyle w:val="5"/>
        <w:numPr>
          <w:ilvl w:val="3"/>
          <w:numId w:val="96"/>
        </w:numPr>
        <w:tabs>
          <w:tab w:val="left" w:pos="630"/>
        </w:tabs>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重要合营企业的主要财务信息</w:t>
      </w:r>
    </w:p>
    <w:p w14:paraId="10AA91E7">
      <w:pPr>
        <w:rPr>
          <w:rFonts w:cs="Arial"/>
          <w:color w:val="000000" w:themeColor="text1"/>
          <w14:textFill>
            <w14:solidFill>
              <w14:schemeClr w14:val="tx1"/>
            </w14:solidFill>
          </w14:textFill>
        </w:rPr>
      </w:pPr>
      <w:sdt>
        <w:sdtPr>
          <w:rPr>
            <w:rFonts w:hint="eastAsia"/>
            <w:b/>
            <w:color w:val="000000" w:themeColor="text1"/>
            <w14:textFill>
              <w14:solidFill>
                <w14:schemeClr w14:val="tx1"/>
              </w14:solidFill>
            </w14:textFill>
          </w:rPr>
          <w:alias w:val="是否适用：重要合营企业的主要财务信息[双击切换]"/>
          <w:tag w:val="_GBC_6241cde567c342139ae6186afeea9fb4"/>
          <w:id w:val="-19480451"/>
          <w:placeholder>
            <w:docPart w:val="GBC22222222222222222222222222222"/>
          </w:placeholder>
        </w:sdtPr>
        <w:sdtEndPr>
          <w:rPr>
            <w:rFonts w:hint="eastAsia"/>
            <w:b w:val="0"/>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p w14:paraId="3E786825">
      <w:pPr>
        <w:rPr>
          <w:rFonts w:cs="Arial"/>
          <w:color w:val="000000" w:themeColor="text1"/>
          <w14:textFill>
            <w14:solidFill>
              <w14:schemeClr w14:val="tx1"/>
            </w14:solidFill>
          </w14:textFill>
        </w:rPr>
      </w:pPr>
    </w:p>
    <w:p w14:paraId="2C402AF6">
      <w:pPr>
        <w:rPr>
          <w:rFonts w:cstheme="minorBidi"/>
          <w:color w:val="000000" w:themeColor="text1"/>
          <w14:textFill>
            <w14:solidFill>
              <w14:schemeClr w14:val="tx1"/>
            </w14:solidFill>
          </w14:textFill>
        </w:rPr>
      </w:pPr>
    </w:p>
    <w:p w14:paraId="34BCD8D7">
      <w:pPr>
        <w:pStyle w:val="5"/>
        <w:numPr>
          <w:ilvl w:val="3"/>
          <w:numId w:val="96"/>
        </w:numPr>
        <w:tabs>
          <w:tab w:val="left" w:pos="630"/>
        </w:tabs>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重要联营企业的主要财务信息</w:t>
      </w:r>
    </w:p>
    <w:p w14:paraId="4BD76FCB">
      <w:pPr>
        <w:rPr>
          <w:rFonts w:cs="Arial"/>
          <w:color w:val="000000" w:themeColor="text1"/>
          <w14:textFill>
            <w14:solidFill>
              <w14:schemeClr w14:val="tx1"/>
            </w14:solidFill>
          </w14:textFill>
        </w:rPr>
      </w:pPr>
      <w:sdt>
        <w:sdtPr>
          <w:rPr>
            <w:rFonts w:hint="eastAsia"/>
            <w:b/>
            <w:color w:val="000000" w:themeColor="text1"/>
            <w14:textFill>
              <w14:solidFill>
                <w14:schemeClr w14:val="tx1"/>
              </w14:solidFill>
            </w14:textFill>
          </w:rPr>
          <w:alias w:val="是否适用：重要联营企业的主要财务信息[双击切换]"/>
          <w:tag w:val="_GBC_e304b69adb6f449495c3916754024763"/>
          <w:id w:val="465399458"/>
          <w:placeholder>
            <w:docPart w:val="GBC22222222222222222222222222222"/>
          </w:placeholder>
        </w:sdtPr>
        <w:sdtEndPr>
          <w:rPr>
            <w:rFonts w:hint="eastAsia"/>
            <w:b w:val="0"/>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p w14:paraId="1ADBC3B3">
      <w:pPr>
        <w:rPr>
          <w:rFonts w:cs="Arial"/>
          <w:color w:val="000000" w:themeColor="text1"/>
          <w14:textFill>
            <w14:solidFill>
              <w14:schemeClr w14:val="tx1"/>
            </w14:solidFill>
          </w14:textFill>
        </w:rPr>
      </w:pPr>
    </w:p>
    <w:p w14:paraId="7BEF6F8F">
      <w:pPr>
        <w:rPr>
          <w:rFonts w:cs="Arial"/>
          <w:color w:val="000000" w:themeColor="text1"/>
          <w14:textFill>
            <w14:solidFill>
              <w14:schemeClr w14:val="tx1"/>
            </w14:solidFill>
          </w14:textFill>
        </w:rPr>
      </w:pPr>
    </w:p>
    <w:p w14:paraId="2B97B05F">
      <w:pPr>
        <w:pStyle w:val="5"/>
        <w:numPr>
          <w:ilvl w:val="3"/>
          <w:numId w:val="96"/>
        </w:numPr>
        <w:tabs>
          <w:tab w:val="left" w:pos="630"/>
        </w:tabs>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不重要的合营企业和联营企业的汇总财务信息</w:t>
      </w:r>
    </w:p>
    <w:sdt>
      <w:sdtPr>
        <w:rPr>
          <w:color w:val="000000" w:themeColor="text1"/>
          <w14:textFill>
            <w14:solidFill>
              <w14:schemeClr w14:val="tx1"/>
            </w14:solidFill>
          </w14:textFill>
        </w:rPr>
        <w:alias w:val="是否适用：不重要的合营企业和联营企业的汇总财务信息[双击切换]"/>
        <w:tag w:val="_GBC_eb809f81680b42f794ba04df499e52dc"/>
        <w:id w:val="-596328539"/>
        <w:placeholder>
          <w:docPart w:val="GBC22222222222222222222222222222"/>
        </w:placeholder>
      </w:sdtPr>
      <w:sdtEndPr>
        <w:rPr>
          <w:color w:val="000000" w:themeColor="text1"/>
          <w14:textFill>
            <w14:solidFill>
              <w14:schemeClr w14:val="tx1"/>
            </w14:solidFill>
          </w14:textFill>
        </w:rPr>
      </w:sdtEndPr>
      <w:sdtContent>
        <w:p w14:paraId="7555E3E1">
          <w:pPr>
            <w:rPr>
              <w:rFonts w:cs="Arial"/>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3797180">
      <w:pPr>
        <w:rPr>
          <w:rFonts w:cs="Arial"/>
          <w:color w:val="000000" w:themeColor="text1"/>
          <w14:textFill>
            <w14:solidFill>
              <w14:schemeClr w14:val="tx1"/>
            </w14:solidFill>
          </w14:textFill>
        </w:rPr>
      </w:pPr>
    </w:p>
    <w:p w14:paraId="6503F592">
      <w:pPr>
        <w:rPr>
          <w:rFonts w:cs="Arial"/>
          <w:color w:val="000000" w:themeColor="text1"/>
          <w14:textFill>
            <w14:solidFill>
              <w14:schemeClr w14:val="tx1"/>
            </w14:solidFill>
          </w14:textFill>
        </w:rPr>
      </w:pPr>
    </w:p>
    <w:p w14:paraId="63F0BE9B">
      <w:pPr>
        <w:pStyle w:val="5"/>
        <w:numPr>
          <w:ilvl w:val="3"/>
          <w:numId w:val="96"/>
        </w:numPr>
        <w:tabs>
          <w:tab w:val="left" w:pos="630"/>
        </w:tabs>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合营企业或联营企业向本公司转移资金的能力存在重大限制的说明</w:t>
      </w:r>
    </w:p>
    <w:sdt>
      <w:sdtPr>
        <w:rPr>
          <w:color w:val="000000" w:themeColor="text1"/>
          <w14:textFill>
            <w14:solidFill>
              <w14:schemeClr w14:val="tx1"/>
            </w14:solidFill>
          </w14:textFill>
        </w:rPr>
        <w:alias w:val="是否适用：合营企业或联营企业向本公司转移资金的能力存在重大限制的说明[双击切换]"/>
        <w:tag w:val="_GBC_73dfba3df3e24fc2a5b5ede5fa8d6f09"/>
        <w:id w:val="-2054289916"/>
        <w:placeholder>
          <w:docPart w:val="GBC22222222222222222222222222222"/>
        </w:placeholder>
      </w:sdtPr>
      <w:sdtEndPr>
        <w:rPr>
          <w:color w:val="000000" w:themeColor="text1"/>
          <w14:textFill>
            <w14:solidFill>
              <w14:schemeClr w14:val="tx1"/>
            </w14:solidFill>
          </w14:textFill>
        </w:rPr>
      </w:sdtEndPr>
      <w:sdtContent>
        <w:p w14:paraId="4C92C5E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5BE5A7A">
      <w:pPr>
        <w:rPr>
          <w:rFonts w:cs="Arial"/>
          <w:color w:val="000000" w:themeColor="text1"/>
          <w14:textFill>
            <w14:solidFill>
              <w14:schemeClr w14:val="tx1"/>
            </w14:solidFill>
          </w14:textFill>
        </w:rPr>
      </w:pPr>
    </w:p>
    <w:p w14:paraId="62A1B8F5">
      <w:pPr>
        <w:pStyle w:val="5"/>
        <w:numPr>
          <w:ilvl w:val="3"/>
          <w:numId w:val="96"/>
        </w:numPr>
        <w:tabs>
          <w:tab w:val="left" w:pos="630"/>
        </w:tabs>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合营企业或联营企业发生的超额亏损</w:t>
      </w:r>
    </w:p>
    <w:sdt>
      <w:sdtPr>
        <w:rPr>
          <w:color w:val="000000" w:themeColor="text1"/>
          <w14:textFill>
            <w14:solidFill>
              <w14:schemeClr w14:val="tx1"/>
            </w14:solidFill>
          </w14:textFill>
        </w:rPr>
        <w:alias w:val="是否适用：合营企业或联营企业发生的超额亏损[双击切换]"/>
        <w:tag w:val="_GBC_c30af0beca864d788c2fe12f47f13428"/>
        <w:id w:val="118430965"/>
        <w:placeholder>
          <w:docPart w:val="GBC22222222222222222222222222222"/>
        </w:placeholder>
      </w:sdtPr>
      <w:sdtEndPr>
        <w:rPr>
          <w:color w:val="000000" w:themeColor="text1"/>
          <w14:textFill>
            <w14:solidFill>
              <w14:schemeClr w14:val="tx1"/>
            </w14:solidFill>
          </w14:textFill>
        </w:rPr>
      </w:sdtEndPr>
      <w:sdtContent>
        <w:p w14:paraId="71418982">
          <w:pPr>
            <w:rPr>
              <w:rFonts w:cs="Arial"/>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C042D0D">
      <w:pPr>
        <w:rPr>
          <w:rFonts w:cs="Arial"/>
          <w:color w:val="000000" w:themeColor="text1"/>
          <w14:textFill>
            <w14:solidFill>
              <w14:schemeClr w14:val="tx1"/>
            </w14:solidFill>
          </w14:textFill>
        </w:rPr>
      </w:pPr>
    </w:p>
    <w:p w14:paraId="07412E7B">
      <w:pPr>
        <w:rPr>
          <w:rFonts w:cs="Arial"/>
          <w:color w:val="000000" w:themeColor="text1"/>
          <w14:textFill>
            <w14:solidFill>
              <w14:schemeClr w14:val="tx1"/>
            </w14:solidFill>
          </w14:textFill>
        </w:rPr>
      </w:pPr>
    </w:p>
    <w:p w14:paraId="6AA0E798">
      <w:pPr>
        <w:pStyle w:val="5"/>
        <w:numPr>
          <w:ilvl w:val="3"/>
          <w:numId w:val="96"/>
        </w:numPr>
        <w:tabs>
          <w:tab w:val="left" w:pos="630"/>
        </w:tabs>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与合营企业投资相关的未确认承诺</w:t>
      </w:r>
    </w:p>
    <w:sdt>
      <w:sdtPr>
        <w:rPr>
          <w:color w:val="000000" w:themeColor="text1"/>
          <w14:textFill>
            <w14:solidFill>
              <w14:schemeClr w14:val="tx1"/>
            </w14:solidFill>
          </w14:textFill>
        </w:rPr>
        <w:alias w:val="是否适用：与合营企业投资相关的未确认承诺[双击切换]"/>
        <w:tag w:val="_GBC_9d014d8b476148b59476808a5cda81d8"/>
        <w:id w:val="918601763"/>
        <w:placeholder>
          <w:docPart w:val="GBC22222222222222222222222222222"/>
        </w:placeholder>
      </w:sdtPr>
      <w:sdtEndPr>
        <w:rPr>
          <w:color w:val="000000" w:themeColor="text1"/>
          <w14:textFill>
            <w14:solidFill>
              <w14:schemeClr w14:val="tx1"/>
            </w14:solidFill>
          </w14:textFill>
        </w:rPr>
      </w:sdtEndPr>
      <w:sdtContent>
        <w:p w14:paraId="1DF4BF8B">
          <w:pPr>
            <w:rPr>
              <w:rFonts w:cs="Arial"/>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165062C">
      <w:pPr>
        <w:rPr>
          <w:rFonts w:cs="Arial"/>
          <w:color w:val="000000" w:themeColor="text1"/>
          <w14:textFill>
            <w14:solidFill>
              <w14:schemeClr w14:val="tx1"/>
            </w14:solidFill>
          </w14:textFill>
        </w:rPr>
      </w:pPr>
    </w:p>
    <w:p w14:paraId="2BAA952F">
      <w:pPr>
        <w:pStyle w:val="5"/>
        <w:numPr>
          <w:ilvl w:val="3"/>
          <w:numId w:val="96"/>
        </w:numPr>
        <w:tabs>
          <w:tab w:val="left" w:pos="630"/>
        </w:tabs>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与合营企业或联营企业投资相关的或有负债</w:t>
      </w:r>
    </w:p>
    <w:sdt>
      <w:sdtPr>
        <w:rPr>
          <w:color w:val="000000" w:themeColor="text1"/>
          <w14:textFill>
            <w14:solidFill>
              <w14:schemeClr w14:val="tx1"/>
            </w14:solidFill>
          </w14:textFill>
        </w:rPr>
        <w:alias w:val="是否适用：与合营企业或联营企业投资相关的或有负债[双击切换]"/>
        <w:tag w:val="_GBC_caba618be81b4cb1acf89073549a456a"/>
        <w:id w:val="-1738318315"/>
        <w:placeholder>
          <w:docPart w:val="GBC22222222222222222222222222222"/>
        </w:placeholder>
      </w:sdtPr>
      <w:sdtEndPr>
        <w:rPr>
          <w:color w:val="000000" w:themeColor="text1"/>
          <w14:textFill>
            <w14:solidFill>
              <w14:schemeClr w14:val="tx1"/>
            </w14:solidFill>
          </w14:textFill>
        </w:rPr>
      </w:sdtEndPr>
      <w:sdtContent>
        <w:p w14:paraId="49291411">
          <w:pPr>
            <w:rPr>
              <w:rFonts w:cs="Arial"/>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7F3B5EE">
      <w:pPr>
        <w:rPr>
          <w:rFonts w:cs="Arial"/>
          <w:color w:val="000000" w:themeColor="text1"/>
          <w14:textFill>
            <w14:solidFill>
              <w14:schemeClr w14:val="tx1"/>
            </w14:solidFill>
          </w14:textFill>
        </w:rPr>
      </w:pPr>
    </w:p>
    <w:p w14:paraId="6B97388F">
      <w:pPr>
        <w:pStyle w:val="4"/>
        <w:numPr>
          <w:ilvl w:val="2"/>
          <w:numId w:val="94"/>
        </w:numP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重要的共同经营</w:t>
      </w:r>
    </w:p>
    <w:sdt>
      <w:sdtPr>
        <w:rPr>
          <w:color w:val="000000" w:themeColor="text1"/>
          <w14:textFill>
            <w14:solidFill>
              <w14:schemeClr w14:val="tx1"/>
            </w14:solidFill>
          </w14:textFill>
        </w:rPr>
        <w:alias w:val="是否适用：重要的共同经营[双击切换]"/>
        <w:tag w:val="_GBC_7911b1c8195d4c20b2800b1c5ac94a93"/>
        <w:id w:val="1083953886"/>
        <w:placeholder>
          <w:docPart w:val="GBC22222222222222222222222222222"/>
        </w:placeholder>
      </w:sdtPr>
      <w:sdtEndPr>
        <w:rPr>
          <w:color w:val="000000" w:themeColor="text1"/>
          <w14:textFill>
            <w14:solidFill>
              <w14:schemeClr w14:val="tx1"/>
            </w14:solidFill>
          </w14:textFill>
        </w:rPr>
      </w:sdtEndPr>
      <w:sdtContent>
        <w:p w14:paraId="2361C2A2">
          <w:pPr>
            <w:rPr>
              <w:rFonts w:cs="Arial"/>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ED46F1F">
      <w:pPr>
        <w:rPr>
          <w:rFonts w:cs="Arial"/>
          <w:color w:val="000000" w:themeColor="text1"/>
          <w14:textFill>
            <w14:solidFill>
              <w14:schemeClr w14:val="tx1"/>
            </w14:solidFill>
          </w14:textFill>
        </w:rPr>
      </w:pPr>
    </w:p>
    <w:p w14:paraId="06B79F27">
      <w:pPr>
        <w:rPr>
          <w:rFonts w:cs="Arial"/>
          <w:color w:val="000000" w:themeColor="text1"/>
          <w14:textFill>
            <w14:solidFill>
              <w14:schemeClr w14:val="tx1"/>
            </w14:solidFill>
          </w14:textFill>
        </w:rPr>
      </w:pPr>
    </w:p>
    <w:p w14:paraId="4D61590F">
      <w:pPr>
        <w:pStyle w:val="4"/>
        <w:numPr>
          <w:ilvl w:val="2"/>
          <w:numId w:val="94"/>
        </w:numP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在未纳入合并财务报表范围的结构化主体中的权益</w:t>
      </w:r>
    </w:p>
    <w:p w14:paraId="2AA26FA3">
      <w:pPr>
        <w:rPr>
          <w:rFonts w:cs="Arial"/>
          <w:color w:val="000000" w:themeColor="text1"/>
          <w14:textFill>
            <w14:solidFill>
              <w14:schemeClr w14:val="tx1"/>
            </w14:solidFill>
          </w14:textFill>
        </w:rPr>
      </w:pPr>
      <w:r>
        <w:rPr>
          <w:rFonts w:hint="eastAsia" w:cs="Arial"/>
          <w:color w:val="000000" w:themeColor="text1"/>
          <w14:textFill>
            <w14:solidFill>
              <w14:schemeClr w14:val="tx1"/>
            </w14:solidFill>
          </w14:textFill>
        </w:rPr>
        <w:t>未纳入合并财务报表范围的结构化主体的相关说明：</w:t>
      </w:r>
    </w:p>
    <w:sdt>
      <w:sdtPr>
        <w:rPr>
          <w:rFonts w:cs="Arial"/>
          <w:color w:val="000000" w:themeColor="text1"/>
          <w14:textFill>
            <w14:solidFill>
              <w14:schemeClr w14:val="tx1"/>
            </w14:solidFill>
          </w14:textFill>
        </w:rPr>
        <w:alias w:val="是否适用：未纳入合并财务报表范围的结构化主体的相关说明[双击切换]"/>
        <w:tag w:val="_GBC_48eb6d215e5341c694f98d18f5889902"/>
        <w:id w:val="-697615703"/>
        <w:placeholder>
          <w:docPart w:val="GBC22222222222222222222222222222"/>
        </w:placeholder>
      </w:sdtPr>
      <w:sdtEndPr>
        <w:rPr>
          <w:rFonts w:cs="Arial"/>
          <w:color w:val="000000" w:themeColor="text1"/>
          <w14:textFill>
            <w14:solidFill>
              <w14:schemeClr w14:val="tx1"/>
            </w14:solidFill>
          </w14:textFill>
        </w:rPr>
      </w:sdtEndPr>
      <w:sdtContent>
        <w:p w14:paraId="36F33902">
          <w:pPr>
            <w:rPr>
              <w:rFonts w:cs="Arial"/>
              <w:color w:val="000000" w:themeColor="text1"/>
              <w14:textFill>
                <w14:solidFill>
                  <w14:schemeClr w14:val="tx1"/>
                </w14:solidFill>
              </w14:textFill>
            </w:rPr>
          </w:pPr>
          <w:r>
            <w:rPr>
              <w:rFonts w:ascii="宋体" w:hAnsi="宋体" w:cs="Arial"/>
              <w:color w:val="000000" w:themeColor="text1"/>
              <w14:textFill>
                <w14:solidFill>
                  <w14:schemeClr w14:val="tx1"/>
                </w14:solidFill>
              </w14:textFill>
            </w:rPr>
            <w:fldChar w:fldCharType="begin"/>
          </w:r>
          <w:r>
            <w:rPr>
              <w:rFonts w:hint="eastAsia" w:ascii="宋体" w:hAnsi="宋体" w:cs="Arial"/>
              <w:color w:val="000000" w:themeColor="text1"/>
              <w14:textFill>
                <w14:solidFill>
                  <w14:schemeClr w14:val="tx1"/>
                </w14:solidFill>
              </w14:textFill>
            </w:rPr>
            <w:instrText xml:space="preserve"> MACROBUTTON  SnrToggleCheckbox □适用 </w:instrText>
          </w:r>
          <w:r>
            <w:rPr>
              <w:rFonts w:ascii="宋体" w:hAnsi="宋体" w:cs="Arial"/>
              <w:color w:val="000000" w:themeColor="text1"/>
              <w14:textFill>
                <w14:solidFill>
                  <w14:schemeClr w14:val="tx1"/>
                </w14:solidFill>
              </w14:textFill>
            </w:rPr>
            <w:fldChar w:fldCharType="end"/>
          </w:r>
          <w:r>
            <w:rPr>
              <w:rFonts w:ascii="宋体" w:hAnsi="宋体" w:cs="Arial"/>
              <w:color w:val="000000" w:themeColor="text1"/>
              <w14:textFill>
                <w14:solidFill>
                  <w14:schemeClr w14:val="tx1"/>
                </w14:solidFill>
              </w14:textFill>
            </w:rPr>
            <w:fldChar w:fldCharType="begin"/>
          </w:r>
          <w:r>
            <w:rPr>
              <w:rFonts w:hint="eastAsia" w:ascii="宋体" w:hAnsi="宋体" w:cs="Arial"/>
              <w:color w:val="000000" w:themeColor="text1"/>
              <w14:textFill>
                <w14:solidFill>
                  <w14:schemeClr w14:val="tx1"/>
                </w14:solidFill>
              </w14:textFill>
            </w:rPr>
            <w:instrText xml:space="preserve"> MACROBUTTON  SnrToggleCheckbox √不适用 </w:instrText>
          </w:r>
          <w:r>
            <w:rPr>
              <w:rFonts w:ascii="宋体" w:hAnsi="宋体" w:cs="Arial"/>
              <w:color w:val="000000" w:themeColor="text1"/>
              <w14:textFill>
                <w14:solidFill>
                  <w14:schemeClr w14:val="tx1"/>
                </w14:solidFill>
              </w14:textFill>
            </w:rPr>
            <w:fldChar w:fldCharType="end"/>
          </w:r>
        </w:p>
      </w:sdtContent>
    </w:sdt>
    <w:p w14:paraId="2BDED6B2">
      <w:pPr>
        <w:rPr>
          <w:rFonts w:cs="Arial"/>
          <w:color w:val="000000" w:themeColor="text1"/>
          <w14:textFill>
            <w14:solidFill>
              <w14:schemeClr w14:val="tx1"/>
            </w14:solidFill>
          </w14:textFill>
        </w:rPr>
      </w:pPr>
    </w:p>
    <w:p w14:paraId="1EDF43C2">
      <w:pPr>
        <w:pStyle w:val="4"/>
        <w:numPr>
          <w:ilvl w:val="2"/>
          <w:numId w:val="94"/>
        </w:numP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其他</w:t>
      </w:r>
    </w:p>
    <w:sdt>
      <w:sdtPr>
        <w:rPr>
          <w:color w:val="000000" w:themeColor="text1"/>
          <w14:textFill>
            <w14:solidFill>
              <w14:schemeClr w14:val="tx1"/>
            </w14:solidFill>
          </w14:textFill>
        </w:rPr>
        <w:alias w:val="是否适用：在其他主体中的权益其他需要说明的事项[双击切换]"/>
        <w:tag w:val="_GBC_ad8b7a7df0724efaa681a931c91befff"/>
        <w:id w:val="-597099360"/>
        <w:placeholder>
          <w:docPart w:val="GBC22222222222222222222222222222"/>
        </w:placeholder>
      </w:sdtPr>
      <w:sdtEndPr>
        <w:rPr>
          <w:color w:val="000000" w:themeColor="text1"/>
          <w14:textFill>
            <w14:solidFill>
              <w14:schemeClr w14:val="tx1"/>
            </w14:solidFill>
          </w14:textFill>
        </w:rPr>
      </w:sdtEndPr>
      <w:sdtContent>
        <w:p w14:paraId="3B33704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F66382B">
      <w:pPr>
        <w:rPr>
          <w:color w:val="000000" w:themeColor="text1"/>
          <w14:textFill>
            <w14:solidFill>
              <w14:schemeClr w14:val="tx1"/>
            </w14:solidFill>
          </w14:textFill>
        </w:rPr>
      </w:pPr>
    </w:p>
    <w:p w14:paraId="4F859932">
      <w:pPr>
        <w:pStyle w:val="3"/>
        <w:numPr>
          <w:ilvl w:val="0"/>
          <w:numId w:val="30"/>
        </w:numPr>
        <w:ind w:left="422" w:hanging="422"/>
        <w:rPr>
          <w:rFonts w:hint="eastAsia" w:ascii="宋体" w:hAnsi="宋体"/>
          <w:color w:val="000000" w:themeColor="text1"/>
          <w14:textFill>
            <w14:solidFill>
              <w14:schemeClr w14:val="tx1"/>
            </w14:solidFill>
          </w14:textFill>
        </w:rPr>
      </w:pPr>
      <w:bookmarkStart w:id="393" w:name="_Hlk167976217"/>
      <w:r>
        <w:rPr>
          <w:rFonts w:hint="eastAsia" w:ascii="宋体" w:hAnsi="宋体"/>
          <w:color w:val="000000" w:themeColor="text1"/>
          <w14:textFill>
            <w14:solidFill>
              <w14:schemeClr w14:val="tx1"/>
            </w14:solidFill>
          </w14:textFill>
        </w:rPr>
        <w:t>政府补助</w:t>
      </w:r>
    </w:p>
    <w:p w14:paraId="5352E941">
      <w:pPr>
        <w:pStyle w:val="4"/>
        <w:numPr>
          <w:ilvl w:val="0"/>
          <w:numId w:val="97"/>
        </w:numPr>
        <w:ind w:left="0" w:firstLine="0"/>
        <w:rPr>
          <w:color w:val="000000" w:themeColor="text1"/>
          <w14:textFill>
            <w14:solidFill>
              <w14:schemeClr w14:val="tx1"/>
            </w14:solidFill>
          </w14:textFill>
        </w:rPr>
      </w:pPr>
      <w:r>
        <w:rPr>
          <w:color w:val="000000" w:themeColor="text1"/>
          <w14:textFill>
            <w14:solidFill>
              <w14:schemeClr w14:val="tx1"/>
            </w14:solidFill>
          </w14:textFill>
        </w:rPr>
        <w:t>报告期末按应收金额确认的政府补助</w:t>
      </w:r>
    </w:p>
    <w:sdt>
      <w:sdtPr>
        <w:rPr>
          <w:color w:val="000000" w:themeColor="text1"/>
          <w14:textFill>
            <w14:solidFill>
              <w14:schemeClr w14:val="tx1"/>
            </w14:solidFill>
          </w14:textFill>
        </w:rPr>
        <w:alias w:val="是否适用：按应收金额确认的政府补助[双击切换]"/>
        <w:tag w:val="_GBC_3d18d31d14384adf9969b37c0463bdb6"/>
        <w:id w:val="-1434207644"/>
        <w:placeholder>
          <w:docPart w:val="GBC22222222222222222222222222222"/>
        </w:placeholder>
      </w:sdtPr>
      <w:sdtEndPr>
        <w:rPr>
          <w:color w:val="000000" w:themeColor="text1"/>
          <w14:textFill>
            <w14:solidFill>
              <w14:schemeClr w14:val="tx1"/>
            </w14:solidFill>
          </w14:textFill>
        </w:rPr>
      </w:sdtEndPr>
      <w:sdtContent>
        <w:p w14:paraId="2ECB578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9E8B120">
      <w:pPr>
        <w:rPr>
          <w:color w:val="000000" w:themeColor="text1"/>
          <w14:textFill>
            <w14:solidFill>
              <w14:schemeClr w14:val="tx1"/>
            </w14:solidFill>
          </w14:textFill>
        </w:rPr>
      </w:pPr>
      <w:r>
        <w:rPr>
          <w:color w:val="000000" w:themeColor="text1"/>
          <w14:textFill>
            <w14:solidFill>
              <w14:schemeClr w14:val="tx1"/>
            </w14:solidFill>
          </w14:textFill>
        </w:rPr>
        <w:t>应收款项的期末余额</w:t>
      </w:r>
      <w:sdt>
        <w:sdtPr>
          <w:rPr>
            <w:color w:val="000000" w:themeColor="text1"/>
            <w14:textFill>
              <w14:solidFill>
                <w14:schemeClr w14:val="tx1"/>
              </w14:solidFill>
            </w14:textFill>
          </w:rPr>
          <w:alias w:val="按应收金额确认的政府补助合计"/>
          <w:tag w:val="_GBC_9bcff0fd06344ace95019244ee86bbd0"/>
          <w:id w:val="-336839831"/>
          <w:placeholder>
            <w:docPart w:val="GBC22222222222222222222222222222"/>
          </w:placeholder>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757,851.74</w:t>
          </w:r>
        </w:sdtContent>
      </w:sdt>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按应收金额确认的政府补助"/>
          <w:tag w:val="_GBC_471b14a2a8de4e0d8f1134f091b5a9f7"/>
          <w:id w:val="-192478523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按应收金额确认的政府补助"/>
          <w:tag w:val="_GBC_8a83c97cd38d48b09afe5b677bb99ecf"/>
          <w:id w:val="290787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sdt>
        <w:sdtPr>
          <w:tag w:val="_PLD_591f493f4d3c4b88bbd66b6a5a54de88"/>
          <w:id w:val="-715189917"/>
        </w:sdtPr>
        <w:sdtContent>
          <w:r>
            <w:rPr>
              <w:rFonts w:hint="eastAsia"/>
              <w:color w:val="000000" w:themeColor="text1"/>
              <w14:textFill>
                <w14:solidFill>
                  <w14:schemeClr w14:val="tx1"/>
                </w14:solidFill>
              </w14:textFill>
            </w:rPr>
            <w:t>）</w:t>
          </w:r>
        </w:sdtContent>
      </w:sdt>
    </w:p>
    <w:p w14:paraId="7EDFFA7A">
      <w:pPr>
        <w:rPr>
          <w:color w:val="000000" w:themeColor="text1"/>
          <w14:textFill>
            <w14:solidFill>
              <w14:schemeClr w14:val="tx1"/>
            </w14:solidFill>
          </w14:textFill>
        </w:rPr>
      </w:pPr>
    </w:p>
    <w:p w14:paraId="71992310">
      <w:pPr>
        <w:rPr>
          <w:color w:val="000000" w:themeColor="text1"/>
          <w14:textFill>
            <w14:solidFill>
              <w14:schemeClr w14:val="tx1"/>
            </w14:solidFill>
          </w14:textFill>
        </w:rPr>
      </w:pPr>
      <w:r>
        <w:rPr>
          <w:color w:val="000000" w:themeColor="text1"/>
          <w14:textFill>
            <w14:solidFill>
              <w14:schemeClr w14:val="tx1"/>
            </w14:solidFill>
          </w14:textFill>
        </w:rPr>
        <w:t>未能在预计时点收到预计金额的政府补助</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原因</w:t>
      </w:r>
    </w:p>
    <w:sdt>
      <w:sdtPr>
        <w:rPr>
          <w:color w:val="000000" w:themeColor="text1"/>
          <w14:textFill>
            <w14:solidFill>
              <w14:schemeClr w14:val="tx1"/>
            </w14:solidFill>
          </w14:textFill>
        </w:rPr>
        <w:alias w:val="是否适用：未能在预计时点收到预计金额的政府补助的原因[双击切换]"/>
        <w:tag w:val="_GBC_e0b0850317ba480b8188bda150ebfb78"/>
        <w:id w:val="1172767259"/>
        <w:placeholder>
          <w:docPart w:val="GBC22222222222222222222222222222"/>
        </w:placeholder>
      </w:sdtPr>
      <w:sdtEndPr>
        <w:rPr>
          <w:color w:val="000000" w:themeColor="text1"/>
          <w14:textFill>
            <w14:solidFill>
              <w14:schemeClr w14:val="tx1"/>
            </w14:solidFill>
          </w14:textFill>
        </w:rPr>
      </w:sdtEndPr>
      <w:sdtContent>
        <w:p w14:paraId="12F7559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59A7118">
      <w:pPr>
        <w:rPr>
          <w:color w:val="000000" w:themeColor="text1"/>
          <w14:textFill>
            <w14:solidFill>
              <w14:schemeClr w14:val="tx1"/>
            </w14:solidFill>
          </w14:textFill>
        </w:rPr>
      </w:pPr>
    </w:p>
    <w:p w14:paraId="00F18242">
      <w:pPr>
        <w:pStyle w:val="4"/>
        <w:numPr>
          <w:ilvl w:val="0"/>
          <w:numId w:val="97"/>
        </w:numPr>
        <w:ind w:left="0" w:firstLine="0"/>
        <w:rPr>
          <w:color w:val="000000" w:themeColor="text1"/>
          <w14:textFill>
            <w14:solidFill>
              <w14:schemeClr w14:val="tx1"/>
            </w14:solidFill>
          </w14:textFill>
        </w:rPr>
      </w:pPr>
      <w:r>
        <w:rPr>
          <w:color w:val="000000" w:themeColor="text1"/>
          <w14:textFill>
            <w14:solidFill>
              <w14:schemeClr w14:val="tx1"/>
            </w14:solidFill>
          </w14:textFill>
        </w:rPr>
        <w:t>涉及政府补助的负债项目</w:t>
      </w:r>
    </w:p>
    <w:sdt>
      <w:sdtPr>
        <w:rPr>
          <w:color w:val="000000" w:themeColor="text1"/>
          <w14:textFill>
            <w14:solidFill>
              <w14:schemeClr w14:val="tx1"/>
            </w14:solidFill>
          </w14:textFill>
        </w:rPr>
        <w:alias w:val="是否适用：涉及政府补助的负债项目[双击切换]"/>
        <w:tag w:val="_GBC_5b8cf655c53545cab80f75be728637c0"/>
        <w:id w:val="-440692301"/>
        <w:placeholder>
          <w:docPart w:val="GBC22222222222222222222222222222"/>
        </w:placeholder>
      </w:sdtPr>
      <w:sdtEndPr>
        <w:rPr>
          <w:color w:val="000000" w:themeColor="text1"/>
          <w14:textFill>
            <w14:solidFill>
              <w14:schemeClr w14:val="tx1"/>
            </w14:solidFill>
          </w14:textFill>
        </w:rPr>
      </w:sdtEndPr>
      <w:sdtContent>
        <w:p w14:paraId="4C1EDDF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7362B37">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涉及政府补助的负债项目"/>
          <w:tag w:val="_GBC_3f46f2e72def428785501464e8373dc7"/>
          <w:id w:val="-77292944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涉及政府补助的负债项目"/>
          <w:tag w:val="_GBC_2061879c791b40ceb951bedd0f7334b3"/>
          <w:id w:val="2167663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9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8"/>
        <w:gridCol w:w="1191"/>
        <w:gridCol w:w="1116"/>
        <w:gridCol w:w="1104"/>
        <w:gridCol w:w="1116"/>
        <w:gridCol w:w="1034"/>
        <w:gridCol w:w="1192"/>
        <w:gridCol w:w="1027"/>
      </w:tblGrid>
      <w:tr w14:paraId="4449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sdt>
          <w:sdtPr>
            <w:rPr>
              <w:rFonts w:asciiTheme="minorEastAsia" w:hAnsiTheme="minorEastAsia" w:eastAsiaTheme="minorEastAsia"/>
            </w:rPr>
            <w:tag w:val="_PLD_69dbfe6de199442ba67fa4c2623ba343"/>
            <w:id w:val="-558472044"/>
          </w:sdtPr>
          <w:sdtEndPr>
            <w:rPr>
              <w:rFonts w:asciiTheme="minorEastAsia" w:hAnsiTheme="minorEastAsia" w:eastAsiaTheme="minorEastAsia"/>
            </w:rPr>
          </w:sdtEndPr>
          <w:sdtContent>
            <w:tc>
              <w:tcPr>
                <w:tcW w:w="1309" w:type="pct"/>
                <w:vAlign w:val="center"/>
              </w:tcPr>
              <w:p w14:paraId="5424C428">
                <w:pPr>
                  <w:jc w:val="center"/>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财务报表项目</w:t>
                </w:r>
              </w:p>
            </w:tc>
          </w:sdtContent>
        </w:sdt>
        <w:sdt>
          <w:sdtPr>
            <w:rPr>
              <w:rFonts w:asciiTheme="minorEastAsia" w:hAnsiTheme="minorEastAsia" w:eastAsiaTheme="minorEastAsia"/>
            </w:rPr>
            <w:tag w:val="_PLD_ed889bd262164e639c21bff48ded3a53"/>
            <w:id w:val="-582065514"/>
          </w:sdtPr>
          <w:sdtEndPr>
            <w:rPr>
              <w:rFonts w:asciiTheme="minorEastAsia" w:hAnsiTheme="minorEastAsia" w:eastAsiaTheme="minorEastAsia"/>
            </w:rPr>
          </w:sdtEndPr>
          <w:sdtContent>
            <w:tc>
              <w:tcPr>
                <w:tcW w:w="565" w:type="pct"/>
                <w:vAlign w:val="center"/>
              </w:tcPr>
              <w:p w14:paraId="218610F1">
                <w:pPr>
                  <w:jc w:val="center"/>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期初余额</w:t>
                </w:r>
              </w:p>
            </w:tc>
          </w:sdtContent>
        </w:sdt>
        <w:sdt>
          <w:sdtPr>
            <w:rPr>
              <w:rFonts w:asciiTheme="minorEastAsia" w:hAnsiTheme="minorEastAsia" w:eastAsiaTheme="minorEastAsia"/>
            </w:rPr>
            <w:tag w:val="_PLD_7052fd9610c24b8baab6d4bc81cd150d"/>
            <w:id w:val="1885665587"/>
          </w:sdtPr>
          <w:sdtEndPr>
            <w:rPr>
              <w:rFonts w:asciiTheme="minorEastAsia" w:hAnsiTheme="minorEastAsia" w:eastAsiaTheme="minorEastAsia"/>
            </w:rPr>
          </w:sdtEndPr>
          <w:sdtContent>
            <w:tc>
              <w:tcPr>
                <w:tcW w:w="529" w:type="pct"/>
                <w:vAlign w:val="center"/>
              </w:tcPr>
              <w:p w14:paraId="2F44C24C">
                <w:pPr>
                  <w:jc w:val="center"/>
                  <w:rPr>
                    <w:rFonts w:hint="eastAsia"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本期新增补助金额</w:t>
                </w:r>
              </w:p>
            </w:tc>
          </w:sdtContent>
        </w:sdt>
        <w:sdt>
          <w:sdtPr>
            <w:rPr>
              <w:rFonts w:asciiTheme="minorEastAsia" w:hAnsiTheme="minorEastAsia" w:eastAsiaTheme="minorEastAsia"/>
            </w:rPr>
            <w:tag w:val="_PLD_52c2e402043d4e31a35cf36007217038"/>
            <w:id w:val="-2012667393"/>
          </w:sdtPr>
          <w:sdtEndPr>
            <w:rPr>
              <w:rFonts w:asciiTheme="minorEastAsia" w:hAnsiTheme="minorEastAsia" w:eastAsiaTheme="minorEastAsia"/>
            </w:rPr>
          </w:sdtEndPr>
          <w:sdtContent>
            <w:tc>
              <w:tcPr>
                <w:tcW w:w="524" w:type="pct"/>
                <w:vAlign w:val="center"/>
              </w:tcPr>
              <w:p w14:paraId="7BDEA1CA">
                <w:pPr>
                  <w:jc w:val="center"/>
                  <w:rPr>
                    <w:rFonts w:hint="eastAsia"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本期计入营业外收入金额</w:t>
                </w:r>
              </w:p>
            </w:tc>
          </w:sdtContent>
        </w:sdt>
        <w:sdt>
          <w:sdtPr>
            <w:rPr>
              <w:rFonts w:asciiTheme="minorEastAsia" w:hAnsiTheme="minorEastAsia" w:eastAsiaTheme="minorEastAsia"/>
            </w:rPr>
            <w:tag w:val="_PLD_54cb3f3d4b4b49b9913df5c05007eb61"/>
            <w:id w:val="2054727342"/>
          </w:sdtPr>
          <w:sdtEndPr>
            <w:rPr>
              <w:rFonts w:asciiTheme="minorEastAsia" w:hAnsiTheme="minorEastAsia" w:eastAsiaTheme="minorEastAsia"/>
            </w:rPr>
          </w:sdtEndPr>
          <w:sdtContent>
            <w:tc>
              <w:tcPr>
                <w:tcW w:w="529" w:type="pct"/>
                <w:vAlign w:val="center"/>
              </w:tcPr>
              <w:p w14:paraId="26F1CDD4">
                <w:pPr>
                  <w:jc w:val="center"/>
                  <w:rPr>
                    <w:rFonts w:hint="eastAsia"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本期转入其他收益</w:t>
                </w:r>
              </w:p>
            </w:tc>
          </w:sdtContent>
        </w:sdt>
        <w:sdt>
          <w:sdtPr>
            <w:rPr>
              <w:rFonts w:asciiTheme="minorEastAsia" w:hAnsiTheme="minorEastAsia" w:eastAsiaTheme="minorEastAsia"/>
            </w:rPr>
            <w:tag w:val="_PLD_f8464a8361c140659dec395b64a565c0"/>
            <w:id w:val="-1136172725"/>
          </w:sdtPr>
          <w:sdtEndPr>
            <w:rPr>
              <w:rFonts w:asciiTheme="minorEastAsia" w:hAnsiTheme="minorEastAsia" w:eastAsiaTheme="minorEastAsia"/>
            </w:rPr>
          </w:sdtEndPr>
          <w:sdtContent>
            <w:tc>
              <w:tcPr>
                <w:tcW w:w="491" w:type="pct"/>
                <w:vAlign w:val="center"/>
              </w:tcPr>
              <w:p w14:paraId="2571F2D8">
                <w:pPr>
                  <w:jc w:val="center"/>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本期其他变动</w:t>
                </w:r>
              </w:p>
            </w:tc>
          </w:sdtContent>
        </w:sdt>
        <w:sdt>
          <w:sdtPr>
            <w:rPr>
              <w:rFonts w:asciiTheme="minorEastAsia" w:hAnsiTheme="minorEastAsia" w:eastAsiaTheme="minorEastAsia"/>
            </w:rPr>
            <w:tag w:val="_PLD_abc368d2d0c7418dbd78f4f89cd037d5"/>
            <w:id w:val="-879634750"/>
          </w:sdtPr>
          <w:sdtEndPr>
            <w:rPr>
              <w:rFonts w:asciiTheme="minorEastAsia" w:hAnsiTheme="minorEastAsia" w:eastAsiaTheme="minorEastAsia"/>
            </w:rPr>
          </w:sdtEndPr>
          <w:sdtContent>
            <w:tc>
              <w:tcPr>
                <w:tcW w:w="565" w:type="pct"/>
                <w:vAlign w:val="center"/>
              </w:tcPr>
              <w:p w14:paraId="1F7DFE1F">
                <w:pPr>
                  <w:jc w:val="center"/>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期末余额</w:t>
                </w:r>
              </w:p>
            </w:tc>
          </w:sdtContent>
        </w:sdt>
        <w:sdt>
          <w:sdtPr>
            <w:rPr>
              <w:rFonts w:asciiTheme="minorEastAsia" w:hAnsiTheme="minorEastAsia" w:eastAsiaTheme="minorEastAsia"/>
            </w:rPr>
            <w:tag w:val="_PLD_3ff2a65a79344d48808fa5737db3cb39"/>
            <w:id w:val="1067002686"/>
          </w:sdtPr>
          <w:sdtEndPr>
            <w:rPr>
              <w:rFonts w:asciiTheme="minorEastAsia" w:hAnsiTheme="minorEastAsia" w:eastAsiaTheme="minorEastAsia"/>
            </w:rPr>
          </w:sdtEndPr>
          <w:sdtContent>
            <w:tc>
              <w:tcPr>
                <w:tcW w:w="487" w:type="pct"/>
                <w:vAlign w:val="center"/>
              </w:tcPr>
              <w:p w14:paraId="3F8AA0D6">
                <w:pPr>
                  <w:jc w:val="center"/>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与资产</w:t>
                </w:r>
                <w:r>
                  <w:rPr>
                    <w:rFonts w:asciiTheme="minorEastAsia" w:hAnsiTheme="minorEastAsia" w:eastAsiaTheme="minorEastAsia"/>
                    <w:color w:val="000000" w:themeColor="text1"/>
                    <w14:textFill>
                      <w14:solidFill>
                        <w14:schemeClr w14:val="tx1"/>
                      </w14:solidFill>
                    </w14:textFill>
                  </w:rPr>
                  <w:t>/收益相关</w:t>
                </w:r>
              </w:p>
            </w:tc>
          </w:sdtContent>
        </w:sdt>
      </w:tr>
      <w:tr w14:paraId="7508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40934D35">
            <w:pPr>
              <w:rPr>
                <w:rFonts w:hint="eastAsia" w:asciiTheme="minorEastAsia" w:hAnsiTheme="minorEastAsia" w:eastAsiaTheme="minorEastAsia"/>
              </w:rPr>
            </w:pPr>
            <w:r>
              <w:rPr>
                <w:rFonts w:asciiTheme="minorEastAsia" w:hAnsiTheme="minorEastAsia" w:eastAsiaTheme="minorEastAsia"/>
                <w:sz w:val="15"/>
                <w:szCs w:val="15"/>
              </w:rPr>
              <w:t>防潮堤项目政府补助</w:t>
            </w:r>
          </w:p>
        </w:tc>
        <w:tc>
          <w:tcPr>
            <w:tcW w:w="565" w:type="pct"/>
            <w:vAlign w:val="center"/>
          </w:tcPr>
          <w:p w14:paraId="6E05C2F7">
            <w:pPr>
              <w:jc w:val="right"/>
              <w:rPr>
                <w:rFonts w:hint="eastAsia" w:asciiTheme="minorEastAsia" w:hAnsiTheme="minorEastAsia" w:eastAsiaTheme="minorEastAsia"/>
              </w:rPr>
            </w:pPr>
            <w:r>
              <w:rPr>
                <w:rFonts w:asciiTheme="minorEastAsia" w:hAnsiTheme="minorEastAsia" w:eastAsiaTheme="minorEastAsia"/>
                <w:sz w:val="15"/>
                <w:szCs w:val="15"/>
              </w:rPr>
              <w:t>700,000.00</w:t>
            </w:r>
          </w:p>
        </w:tc>
        <w:tc>
          <w:tcPr>
            <w:tcW w:w="529" w:type="pct"/>
            <w:vAlign w:val="center"/>
          </w:tcPr>
          <w:p w14:paraId="6E158054">
            <w:pPr>
              <w:jc w:val="right"/>
              <w:rPr>
                <w:rFonts w:hint="eastAsia" w:asciiTheme="minorEastAsia" w:hAnsiTheme="minorEastAsia" w:eastAsiaTheme="minorEastAsia"/>
              </w:rPr>
            </w:pPr>
          </w:p>
        </w:tc>
        <w:tc>
          <w:tcPr>
            <w:tcW w:w="524" w:type="pct"/>
            <w:vAlign w:val="center"/>
          </w:tcPr>
          <w:p w14:paraId="49E9076F">
            <w:pPr>
              <w:jc w:val="right"/>
              <w:rPr>
                <w:rFonts w:hint="eastAsia" w:asciiTheme="minorEastAsia" w:hAnsiTheme="minorEastAsia" w:eastAsiaTheme="minorEastAsia"/>
                <w:sz w:val="15"/>
                <w:szCs w:val="15"/>
              </w:rPr>
            </w:pPr>
          </w:p>
        </w:tc>
        <w:tc>
          <w:tcPr>
            <w:tcW w:w="529" w:type="pct"/>
            <w:vAlign w:val="center"/>
          </w:tcPr>
          <w:p w14:paraId="0BCEFCFA">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25,000.00</w:t>
            </w:r>
          </w:p>
        </w:tc>
        <w:tc>
          <w:tcPr>
            <w:tcW w:w="491" w:type="pct"/>
            <w:vAlign w:val="center"/>
          </w:tcPr>
          <w:p w14:paraId="1ECBB985">
            <w:pPr>
              <w:jc w:val="right"/>
              <w:rPr>
                <w:rFonts w:hint="eastAsia" w:asciiTheme="minorEastAsia" w:hAnsiTheme="minorEastAsia" w:eastAsiaTheme="minorEastAsia"/>
                <w:sz w:val="15"/>
                <w:szCs w:val="15"/>
              </w:rPr>
            </w:pPr>
          </w:p>
        </w:tc>
        <w:tc>
          <w:tcPr>
            <w:tcW w:w="565" w:type="pct"/>
            <w:vAlign w:val="center"/>
          </w:tcPr>
          <w:p w14:paraId="0898EDB9">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675,000.00</w:t>
            </w:r>
          </w:p>
        </w:tc>
        <w:tc>
          <w:tcPr>
            <w:tcW w:w="487" w:type="pct"/>
            <w:vAlign w:val="center"/>
          </w:tcPr>
          <w:p w14:paraId="6DE493D7">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2786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6780E3AF">
            <w:pPr>
              <w:rPr>
                <w:rFonts w:hint="eastAsia" w:asciiTheme="minorEastAsia" w:hAnsiTheme="minorEastAsia" w:eastAsiaTheme="minorEastAsia"/>
              </w:rPr>
            </w:pPr>
            <w:r>
              <w:rPr>
                <w:rFonts w:asciiTheme="minorEastAsia" w:hAnsiTheme="minorEastAsia" w:eastAsiaTheme="minorEastAsia"/>
                <w:sz w:val="15"/>
                <w:szCs w:val="15"/>
              </w:rPr>
              <w:t>人工鱼礁项目政府补助</w:t>
            </w:r>
          </w:p>
        </w:tc>
        <w:tc>
          <w:tcPr>
            <w:tcW w:w="565" w:type="pct"/>
            <w:vAlign w:val="center"/>
          </w:tcPr>
          <w:p w14:paraId="56ABA649">
            <w:pPr>
              <w:jc w:val="right"/>
              <w:rPr>
                <w:rFonts w:hint="eastAsia" w:asciiTheme="minorEastAsia" w:hAnsiTheme="minorEastAsia" w:eastAsiaTheme="minorEastAsia"/>
              </w:rPr>
            </w:pPr>
            <w:r>
              <w:rPr>
                <w:rFonts w:asciiTheme="minorEastAsia" w:hAnsiTheme="minorEastAsia" w:eastAsiaTheme="minorEastAsia"/>
                <w:sz w:val="15"/>
                <w:szCs w:val="15"/>
              </w:rPr>
              <w:t>26,112,460.32</w:t>
            </w:r>
          </w:p>
        </w:tc>
        <w:tc>
          <w:tcPr>
            <w:tcW w:w="529" w:type="pct"/>
            <w:vAlign w:val="center"/>
          </w:tcPr>
          <w:p w14:paraId="12172613">
            <w:pPr>
              <w:jc w:val="right"/>
              <w:rPr>
                <w:rFonts w:hint="eastAsia" w:asciiTheme="minorEastAsia" w:hAnsiTheme="minorEastAsia" w:eastAsiaTheme="minorEastAsia"/>
              </w:rPr>
            </w:pPr>
          </w:p>
        </w:tc>
        <w:tc>
          <w:tcPr>
            <w:tcW w:w="524" w:type="pct"/>
            <w:vAlign w:val="center"/>
          </w:tcPr>
          <w:p w14:paraId="1D1C5B6E">
            <w:pPr>
              <w:jc w:val="right"/>
              <w:rPr>
                <w:rFonts w:hint="eastAsia" w:asciiTheme="minorEastAsia" w:hAnsiTheme="minorEastAsia" w:eastAsiaTheme="minorEastAsia"/>
                <w:sz w:val="15"/>
                <w:szCs w:val="15"/>
              </w:rPr>
            </w:pPr>
          </w:p>
        </w:tc>
        <w:tc>
          <w:tcPr>
            <w:tcW w:w="529" w:type="pct"/>
            <w:vAlign w:val="center"/>
          </w:tcPr>
          <w:p w14:paraId="63EC4B19">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391,156.68</w:t>
            </w:r>
          </w:p>
        </w:tc>
        <w:tc>
          <w:tcPr>
            <w:tcW w:w="491" w:type="pct"/>
            <w:vAlign w:val="center"/>
          </w:tcPr>
          <w:p w14:paraId="7B09EA80">
            <w:pPr>
              <w:jc w:val="right"/>
              <w:rPr>
                <w:rFonts w:hint="eastAsia" w:asciiTheme="minorEastAsia" w:hAnsiTheme="minorEastAsia" w:eastAsiaTheme="minorEastAsia"/>
                <w:sz w:val="15"/>
                <w:szCs w:val="15"/>
              </w:rPr>
            </w:pPr>
          </w:p>
        </w:tc>
        <w:tc>
          <w:tcPr>
            <w:tcW w:w="565" w:type="pct"/>
            <w:vAlign w:val="center"/>
          </w:tcPr>
          <w:p w14:paraId="46762A55">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25,721,303.64</w:t>
            </w:r>
          </w:p>
        </w:tc>
        <w:tc>
          <w:tcPr>
            <w:tcW w:w="487" w:type="pct"/>
            <w:vAlign w:val="center"/>
          </w:tcPr>
          <w:p w14:paraId="3E42E635">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46F7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6C0615F1">
            <w:pPr>
              <w:rPr>
                <w:rFonts w:hint="eastAsia" w:asciiTheme="minorEastAsia" w:hAnsiTheme="minorEastAsia" w:eastAsiaTheme="minorEastAsia"/>
              </w:rPr>
            </w:pPr>
            <w:r>
              <w:rPr>
                <w:rFonts w:asciiTheme="minorEastAsia" w:hAnsiTheme="minorEastAsia" w:eastAsiaTheme="minorEastAsia"/>
                <w:sz w:val="15"/>
                <w:szCs w:val="15"/>
              </w:rPr>
              <w:t>刺参育苗生态养殖</w:t>
            </w:r>
          </w:p>
        </w:tc>
        <w:tc>
          <w:tcPr>
            <w:tcW w:w="565" w:type="pct"/>
            <w:vAlign w:val="center"/>
          </w:tcPr>
          <w:p w14:paraId="4084C20D">
            <w:pPr>
              <w:jc w:val="right"/>
              <w:rPr>
                <w:rFonts w:hint="eastAsia" w:asciiTheme="minorEastAsia" w:hAnsiTheme="minorEastAsia" w:eastAsiaTheme="minorEastAsia"/>
              </w:rPr>
            </w:pPr>
            <w:r>
              <w:rPr>
                <w:rFonts w:asciiTheme="minorEastAsia" w:hAnsiTheme="minorEastAsia" w:eastAsiaTheme="minorEastAsia"/>
                <w:sz w:val="15"/>
                <w:szCs w:val="15"/>
              </w:rPr>
              <w:t>17,130,000.00</w:t>
            </w:r>
          </w:p>
        </w:tc>
        <w:tc>
          <w:tcPr>
            <w:tcW w:w="529" w:type="pct"/>
            <w:vAlign w:val="center"/>
          </w:tcPr>
          <w:p w14:paraId="40153E2C">
            <w:pPr>
              <w:jc w:val="right"/>
              <w:rPr>
                <w:rFonts w:hint="eastAsia" w:asciiTheme="minorEastAsia" w:hAnsiTheme="minorEastAsia" w:eastAsiaTheme="minorEastAsia"/>
              </w:rPr>
            </w:pPr>
          </w:p>
        </w:tc>
        <w:tc>
          <w:tcPr>
            <w:tcW w:w="524" w:type="pct"/>
            <w:vAlign w:val="center"/>
          </w:tcPr>
          <w:p w14:paraId="09FEE279">
            <w:pPr>
              <w:jc w:val="right"/>
              <w:rPr>
                <w:rFonts w:hint="eastAsia" w:asciiTheme="minorEastAsia" w:hAnsiTheme="minorEastAsia" w:eastAsiaTheme="minorEastAsia"/>
                <w:sz w:val="15"/>
                <w:szCs w:val="15"/>
              </w:rPr>
            </w:pPr>
          </w:p>
        </w:tc>
        <w:tc>
          <w:tcPr>
            <w:tcW w:w="529" w:type="pct"/>
            <w:vAlign w:val="center"/>
          </w:tcPr>
          <w:p w14:paraId="1242F02F">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450,000.00</w:t>
            </w:r>
          </w:p>
        </w:tc>
        <w:tc>
          <w:tcPr>
            <w:tcW w:w="491" w:type="pct"/>
            <w:vAlign w:val="center"/>
          </w:tcPr>
          <w:p w14:paraId="2D0505B4">
            <w:pPr>
              <w:jc w:val="right"/>
              <w:rPr>
                <w:rFonts w:hint="eastAsia" w:asciiTheme="minorEastAsia" w:hAnsiTheme="minorEastAsia" w:eastAsiaTheme="minorEastAsia"/>
                <w:sz w:val="15"/>
                <w:szCs w:val="15"/>
              </w:rPr>
            </w:pPr>
          </w:p>
        </w:tc>
        <w:tc>
          <w:tcPr>
            <w:tcW w:w="565" w:type="pct"/>
            <w:vAlign w:val="center"/>
          </w:tcPr>
          <w:p w14:paraId="34B8A0EF">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16,680,000.00</w:t>
            </w:r>
          </w:p>
        </w:tc>
        <w:tc>
          <w:tcPr>
            <w:tcW w:w="487" w:type="pct"/>
            <w:vAlign w:val="center"/>
          </w:tcPr>
          <w:p w14:paraId="2A02C2CC">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7490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69BFBBB3">
            <w:pPr>
              <w:rPr>
                <w:rFonts w:hint="eastAsia" w:asciiTheme="minorEastAsia" w:hAnsiTheme="minorEastAsia" w:eastAsiaTheme="minorEastAsia"/>
              </w:rPr>
            </w:pPr>
            <w:r>
              <w:rPr>
                <w:rFonts w:hint="eastAsia" w:asciiTheme="minorEastAsia" w:hAnsiTheme="minorEastAsia" w:eastAsiaTheme="minorEastAsia"/>
                <w:sz w:val="15"/>
                <w:szCs w:val="15"/>
              </w:rPr>
              <w:t>渔船更新改造</w:t>
            </w:r>
          </w:p>
        </w:tc>
        <w:tc>
          <w:tcPr>
            <w:tcW w:w="565" w:type="pct"/>
            <w:vAlign w:val="center"/>
          </w:tcPr>
          <w:p w14:paraId="7B90BC75">
            <w:pPr>
              <w:jc w:val="right"/>
              <w:rPr>
                <w:rFonts w:hint="eastAsia" w:asciiTheme="minorEastAsia" w:hAnsiTheme="minorEastAsia" w:eastAsiaTheme="minorEastAsia"/>
              </w:rPr>
            </w:pPr>
            <w:r>
              <w:rPr>
                <w:rFonts w:asciiTheme="minorEastAsia" w:hAnsiTheme="minorEastAsia" w:eastAsiaTheme="minorEastAsia"/>
                <w:sz w:val="15"/>
                <w:szCs w:val="15"/>
              </w:rPr>
              <w:t>2,399,803.91</w:t>
            </w:r>
          </w:p>
        </w:tc>
        <w:tc>
          <w:tcPr>
            <w:tcW w:w="529" w:type="pct"/>
            <w:vAlign w:val="center"/>
          </w:tcPr>
          <w:p w14:paraId="7A9ACD0F">
            <w:pPr>
              <w:jc w:val="right"/>
              <w:rPr>
                <w:rFonts w:hint="eastAsia" w:asciiTheme="minorEastAsia" w:hAnsiTheme="minorEastAsia" w:eastAsiaTheme="minorEastAsia"/>
              </w:rPr>
            </w:pPr>
          </w:p>
        </w:tc>
        <w:tc>
          <w:tcPr>
            <w:tcW w:w="524" w:type="pct"/>
            <w:vAlign w:val="center"/>
          </w:tcPr>
          <w:p w14:paraId="1FB9C2B2">
            <w:pPr>
              <w:jc w:val="right"/>
              <w:rPr>
                <w:rFonts w:hint="eastAsia" w:asciiTheme="minorEastAsia" w:hAnsiTheme="minorEastAsia" w:eastAsiaTheme="minorEastAsia"/>
                <w:sz w:val="15"/>
                <w:szCs w:val="15"/>
              </w:rPr>
            </w:pPr>
          </w:p>
        </w:tc>
        <w:tc>
          <w:tcPr>
            <w:tcW w:w="529" w:type="pct"/>
            <w:vAlign w:val="center"/>
          </w:tcPr>
          <w:p w14:paraId="346EDF16">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2,399,803.91</w:t>
            </w:r>
          </w:p>
        </w:tc>
        <w:tc>
          <w:tcPr>
            <w:tcW w:w="491" w:type="pct"/>
            <w:vAlign w:val="center"/>
          </w:tcPr>
          <w:p w14:paraId="1C712038">
            <w:pPr>
              <w:jc w:val="right"/>
              <w:rPr>
                <w:rFonts w:hint="eastAsia" w:asciiTheme="minorEastAsia" w:hAnsiTheme="minorEastAsia" w:eastAsiaTheme="minorEastAsia"/>
                <w:sz w:val="15"/>
                <w:szCs w:val="15"/>
              </w:rPr>
            </w:pPr>
          </w:p>
        </w:tc>
        <w:tc>
          <w:tcPr>
            <w:tcW w:w="565" w:type="pct"/>
            <w:vAlign w:val="center"/>
          </w:tcPr>
          <w:p w14:paraId="3AEDB3ED">
            <w:pPr>
              <w:jc w:val="right"/>
              <w:rPr>
                <w:rFonts w:hint="eastAsia" w:asciiTheme="minorEastAsia" w:hAnsiTheme="minorEastAsia" w:eastAsiaTheme="minorEastAsia"/>
                <w:sz w:val="15"/>
                <w:szCs w:val="15"/>
              </w:rPr>
            </w:pPr>
          </w:p>
        </w:tc>
        <w:tc>
          <w:tcPr>
            <w:tcW w:w="487" w:type="pct"/>
            <w:vAlign w:val="center"/>
          </w:tcPr>
          <w:p w14:paraId="4C1C4BAF">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26EF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718ABA91">
            <w:pPr>
              <w:rPr>
                <w:rFonts w:hint="eastAsia" w:asciiTheme="minorEastAsia" w:hAnsiTheme="minorEastAsia" w:eastAsiaTheme="minorEastAsia"/>
              </w:rPr>
            </w:pPr>
            <w:r>
              <w:rPr>
                <w:rFonts w:asciiTheme="minorEastAsia" w:hAnsiTheme="minorEastAsia" w:eastAsiaTheme="minorEastAsia"/>
                <w:sz w:val="15"/>
                <w:szCs w:val="15"/>
              </w:rPr>
              <w:t>海珍品精深加工技术研究及产业化开发</w:t>
            </w:r>
          </w:p>
        </w:tc>
        <w:tc>
          <w:tcPr>
            <w:tcW w:w="565" w:type="pct"/>
            <w:vAlign w:val="center"/>
          </w:tcPr>
          <w:p w14:paraId="7224527F">
            <w:pPr>
              <w:jc w:val="right"/>
              <w:rPr>
                <w:rFonts w:hint="eastAsia" w:asciiTheme="minorEastAsia" w:hAnsiTheme="minorEastAsia" w:eastAsiaTheme="minorEastAsia"/>
              </w:rPr>
            </w:pPr>
            <w:r>
              <w:rPr>
                <w:rFonts w:asciiTheme="minorEastAsia" w:hAnsiTheme="minorEastAsia" w:eastAsiaTheme="minorEastAsia"/>
                <w:sz w:val="15"/>
                <w:szCs w:val="15"/>
              </w:rPr>
              <w:t>4,123,480.42</w:t>
            </w:r>
          </w:p>
        </w:tc>
        <w:tc>
          <w:tcPr>
            <w:tcW w:w="529" w:type="pct"/>
            <w:vAlign w:val="center"/>
          </w:tcPr>
          <w:p w14:paraId="767DBBDC">
            <w:pPr>
              <w:jc w:val="right"/>
              <w:rPr>
                <w:rFonts w:hint="eastAsia" w:asciiTheme="minorEastAsia" w:hAnsiTheme="minorEastAsia" w:eastAsiaTheme="minorEastAsia"/>
              </w:rPr>
            </w:pPr>
          </w:p>
        </w:tc>
        <w:tc>
          <w:tcPr>
            <w:tcW w:w="524" w:type="pct"/>
            <w:vAlign w:val="center"/>
          </w:tcPr>
          <w:p w14:paraId="509CCC26">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198,586.60</w:t>
            </w:r>
          </w:p>
        </w:tc>
        <w:tc>
          <w:tcPr>
            <w:tcW w:w="529" w:type="pct"/>
            <w:vAlign w:val="center"/>
          </w:tcPr>
          <w:p w14:paraId="2A50B6EE">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135,000.00</w:t>
            </w:r>
          </w:p>
        </w:tc>
        <w:tc>
          <w:tcPr>
            <w:tcW w:w="491" w:type="pct"/>
            <w:vAlign w:val="center"/>
          </w:tcPr>
          <w:p w14:paraId="75869C3A">
            <w:pPr>
              <w:jc w:val="right"/>
              <w:rPr>
                <w:rFonts w:hint="eastAsia" w:asciiTheme="minorEastAsia" w:hAnsiTheme="minorEastAsia" w:eastAsiaTheme="minorEastAsia"/>
                <w:sz w:val="15"/>
                <w:szCs w:val="15"/>
              </w:rPr>
            </w:pPr>
          </w:p>
        </w:tc>
        <w:tc>
          <w:tcPr>
            <w:tcW w:w="565" w:type="pct"/>
            <w:vAlign w:val="center"/>
          </w:tcPr>
          <w:p w14:paraId="4824601F">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3,789,893.82</w:t>
            </w:r>
          </w:p>
        </w:tc>
        <w:tc>
          <w:tcPr>
            <w:tcW w:w="487" w:type="pct"/>
            <w:vAlign w:val="center"/>
          </w:tcPr>
          <w:p w14:paraId="36885343">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3657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3282B5EC">
            <w:pPr>
              <w:rPr>
                <w:rFonts w:hint="eastAsia" w:asciiTheme="minorEastAsia" w:hAnsiTheme="minorEastAsia" w:eastAsiaTheme="minorEastAsia"/>
              </w:rPr>
            </w:pPr>
            <w:r>
              <w:rPr>
                <w:rFonts w:hint="eastAsia" w:asciiTheme="minorEastAsia" w:hAnsiTheme="minorEastAsia" w:eastAsiaTheme="minorEastAsia"/>
                <w:sz w:val="15"/>
                <w:szCs w:val="15"/>
              </w:rPr>
              <w:t>海参养殖用高生物活性制剂地的开发与应用</w:t>
            </w:r>
          </w:p>
        </w:tc>
        <w:tc>
          <w:tcPr>
            <w:tcW w:w="565" w:type="pct"/>
            <w:vAlign w:val="center"/>
          </w:tcPr>
          <w:p w14:paraId="5B89E9BC">
            <w:pPr>
              <w:jc w:val="right"/>
              <w:rPr>
                <w:rFonts w:hint="eastAsia" w:asciiTheme="minorEastAsia" w:hAnsiTheme="minorEastAsia" w:eastAsiaTheme="minorEastAsia"/>
              </w:rPr>
            </w:pPr>
            <w:r>
              <w:rPr>
                <w:rFonts w:asciiTheme="minorEastAsia" w:hAnsiTheme="minorEastAsia" w:eastAsiaTheme="minorEastAsia"/>
                <w:sz w:val="15"/>
                <w:szCs w:val="15"/>
              </w:rPr>
              <w:t>300,000.00</w:t>
            </w:r>
          </w:p>
        </w:tc>
        <w:tc>
          <w:tcPr>
            <w:tcW w:w="529" w:type="pct"/>
            <w:vAlign w:val="center"/>
          </w:tcPr>
          <w:p w14:paraId="54D8CAAE">
            <w:pPr>
              <w:jc w:val="right"/>
              <w:rPr>
                <w:rFonts w:hint="eastAsia" w:asciiTheme="minorEastAsia" w:hAnsiTheme="minorEastAsia" w:eastAsiaTheme="minorEastAsia"/>
              </w:rPr>
            </w:pPr>
          </w:p>
        </w:tc>
        <w:tc>
          <w:tcPr>
            <w:tcW w:w="524" w:type="pct"/>
            <w:vAlign w:val="center"/>
          </w:tcPr>
          <w:p w14:paraId="1BE458F1">
            <w:pPr>
              <w:jc w:val="right"/>
              <w:rPr>
                <w:rFonts w:hint="eastAsia" w:asciiTheme="minorEastAsia" w:hAnsiTheme="minorEastAsia" w:eastAsiaTheme="minorEastAsia"/>
                <w:sz w:val="15"/>
                <w:szCs w:val="15"/>
              </w:rPr>
            </w:pPr>
          </w:p>
        </w:tc>
        <w:tc>
          <w:tcPr>
            <w:tcW w:w="529" w:type="pct"/>
            <w:vAlign w:val="center"/>
          </w:tcPr>
          <w:p w14:paraId="2234E653">
            <w:pPr>
              <w:jc w:val="right"/>
              <w:rPr>
                <w:rFonts w:hint="eastAsia" w:asciiTheme="minorEastAsia" w:hAnsiTheme="minorEastAsia" w:eastAsiaTheme="minorEastAsia"/>
                <w:sz w:val="15"/>
                <w:szCs w:val="15"/>
              </w:rPr>
            </w:pPr>
          </w:p>
        </w:tc>
        <w:tc>
          <w:tcPr>
            <w:tcW w:w="491" w:type="pct"/>
            <w:vAlign w:val="center"/>
          </w:tcPr>
          <w:p w14:paraId="6274D0A6">
            <w:pPr>
              <w:jc w:val="right"/>
              <w:rPr>
                <w:rFonts w:hint="eastAsia" w:asciiTheme="minorEastAsia" w:hAnsiTheme="minorEastAsia" w:eastAsiaTheme="minorEastAsia"/>
                <w:sz w:val="15"/>
                <w:szCs w:val="15"/>
              </w:rPr>
            </w:pPr>
          </w:p>
        </w:tc>
        <w:tc>
          <w:tcPr>
            <w:tcW w:w="565" w:type="pct"/>
            <w:vAlign w:val="center"/>
          </w:tcPr>
          <w:p w14:paraId="3675499F">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300,000.00</w:t>
            </w:r>
          </w:p>
        </w:tc>
        <w:tc>
          <w:tcPr>
            <w:tcW w:w="487" w:type="pct"/>
            <w:vAlign w:val="center"/>
          </w:tcPr>
          <w:p w14:paraId="4C962005">
            <w:pPr>
              <w:rPr>
                <w:rFonts w:hint="eastAsia" w:asciiTheme="minorEastAsia" w:hAnsiTheme="minorEastAsia" w:eastAsiaTheme="minorEastAsia"/>
              </w:rPr>
            </w:pPr>
            <w:r>
              <w:rPr>
                <w:rFonts w:hint="eastAsia" w:asciiTheme="minorEastAsia" w:hAnsiTheme="minorEastAsia" w:eastAsiaTheme="minorEastAsia"/>
                <w:sz w:val="15"/>
                <w:szCs w:val="15"/>
              </w:rPr>
              <w:t>与收益相关</w:t>
            </w:r>
          </w:p>
        </w:tc>
      </w:tr>
      <w:tr w14:paraId="38D4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2E941CE7">
            <w:pPr>
              <w:rPr>
                <w:rFonts w:hint="eastAsia" w:asciiTheme="minorEastAsia" w:hAnsiTheme="minorEastAsia" w:eastAsiaTheme="minorEastAsia"/>
              </w:rPr>
            </w:pPr>
            <w:r>
              <w:rPr>
                <w:rFonts w:hint="eastAsia" w:asciiTheme="minorEastAsia" w:hAnsiTheme="minorEastAsia" w:eastAsiaTheme="minorEastAsia"/>
                <w:sz w:val="15"/>
                <w:szCs w:val="15"/>
              </w:rPr>
              <w:t>海参加工副产物中脂质活性物质提取及高效利用</w:t>
            </w:r>
          </w:p>
        </w:tc>
        <w:tc>
          <w:tcPr>
            <w:tcW w:w="565" w:type="pct"/>
            <w:vAlign w:val="center"/>
          </w:tcPr>
          <w:p w14:paraId="03259453">
            <w:pPr>
              <w:jc w:val="right"/>
              <w:rPr>
                <w:rFonts w:hint="eastAsia" w:asciiTheme="minorEastAsia" w:hAnsiTheme="minorEastAsia" w:eastAsiaTheme="minorEastAsia"/>
              </w:rPr>
            </w:pPr>
            <w:r>
              <w:rPr>
                <w:rFonts w:asciiTheme="minorEastAsia" w:hAnsiTheme="minorEastAsia" w:eastAsiaTheme="minorEastAsia"/>
                <w:sz w:val="15"/>
                <w:szCs w:val="15"/>
              </w:rPr>
              <w:t>190,000.00</w:t>
            </w:r>
          </w:p>
        </w:tc>
        <w:tc>
          <w:tcPr>
            <w:tcW w:w="529" w:type="pct"/>
            <w:vAlign w:val="center"/>
          </w:tcPr>
          <w:p w14:paraId="53B7F5CA">
            <w:pPr>
              <w:jc w:val="right"/>
              <w:rPr>
                <w:rFonts w:hint="eastAsia" w:asciiTheme="minorEastAsia" w:hAnsiTheme="minorEastAsia" w:eastAsiaTheme="minorEastAsia"/>
              </w:rPr>
            </w:pPr>
          </w:p>
        </w:tc>
        <w:tc>
          <w:tcPr>
            <w:tcW w:w="524" w:type="pct"/>
            <w:vAlign w:val="center"/>
          </w:tcPr>
          <w:p w14:paraId="535D24B8">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60,000.00</w:t>
            </w:r>
          </w:p>
        </w:tc>
        <w:tc>
          <w:tcPr>
            <w:tcW w:w="529" w:type="pct"/>
            <w:vAlign w:val="center"/>
          </w:tcPr>
          <w:p w14:paraId="37568BA0">
            <w:pPr>
              <w:jc w:val="right"/>
              <w:rPr>
                <w:rFonts w:hint="eastAsia" w:asciiTheme="minorEastAsia" w:hAnsiTheme="minorEastAsia" w:eastAsiaTheme="minorEastAsia"/>
                <w:sz w:val="15"/>
                <w:szCs w:val="15"/>
              </w:rPr>
            </w:pPr>
          </w:p>
        </w:tc>
        <w:tc>
          <w:tcPr>
            <w:tcW w:w="491" w:type="pct"/>
            <w:vAlign w:val="center"/>
          </w:tcPr>
          <w:p w14:paraId="0E37385E">
            <w:pPr>
              <w:jc w:val="right"/>
              <w:rPr>
                <w:rFonts w:hint="eastAsia" w:asciiTheme="minorEastAsia" w:hAnsiTheme="minorEastAsia" w:eastAsiaTheme="minorEastAsia"/>
                <w:sz w:val="15"/>
                <w:szCs w:val="15"/>
              </w:rPr>
            </w:pPr>
          </w:p>
        </w:tc>
        <w:tc>
          <w:tcPr>
            <w:tcW w:w="565" w:type="pct"/>
            <w:vAlign w:val="center"/>
          </w:tcPr>
          <w:p w14:paraId="777A2D4F">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130,000.00</w:t>
            </w:r>
          </w:p>
        </w:tc>
        <w:tc>
          <w:tcPr>
            <w:tcW w:w="487" w:type="pct"/>
            <w:vAlign w:val="center"/>
          </w:tcPr>
          <w:p w14:paraId="252934A0">
            <w:pPr>
              <w:rPr>
                <w:rFonts w:hint="eastAsia" w:asciiTheme="minorEastAsia" w:hAnsiTheme="minorEastAsia" w:eastAsiaTheme="minorEastAsia"/>
              </w:rPr>
            </w:pPr>
            <w:r>
              <w:rPr>
                <w:rFonts w:hint="eastAsia" w:asciiTheme="minorEastAsia" w:hAnsiTheme="minorEastAsia" w:eastAsiaTheme="minorEastAsia"/>
                <w:sz w:val="15"/>
                <w:szCs w:val="15"/>
              </w:rPr>
              <w:t>与收益相关</w:t>
            </w:r>
          </w:p>
        </w:tc>
      </w:tr>
      <w:tr w14:paraId="715D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49931CD9">
            <w:pPr>
              <w:rPr>
                <w:rFonts w:hint="eastAsia" w:asciiTheme="minorEastAsia" w:hAnsiTheme="minorEastAsia" w:eastAsiaTheme="minorEastAsia"/>
              </w:rPr>
            </w:pPr>
            <w:r>
              <w:rPr>
                <w:rFonts w:asciiTheme="minorEastAsia" w:hAnsiTheme="minorEastAsia" w:eastAsiaTheme="minorEastAsia"/>
                <w:sz w:val="15"/>
                <w:szCs w:val="15"/>
              </w:rPr>
              <w:t xml:space="preserve">利用益生菌发酵海洋生物制备活性肽及其功能食品的研发和产业化 </w:t>
            </w:r>
          </w:p>
        </w:tc>
        <w:tc>
          <w:tcPr>
            <w:tcW w:w="565" w:type="pct"/>
            <w:vAlign w:val="center"/>
          </w:tcPr>
          <w:p w14:paraId="2BC6814E">
            <w:pPr>
              <w:jc w:val="right"/>
              <w:rPr>
                <w:rFonts w:hint="eastAsia" w:asciiTheme="minorEastAsia" w:hAnsiTheme="minorEastAsia" w:eastAsiaTheme="minorEastAsia"/>
              </w:rPr>
            </w:pPr>
            <w:r>
              <w:rPr>
                <w:rFonts w:asciiTheme="minorEastAsia" w:hAnsiTheme="minorEastAsia" w:eastAsiaTheme="minorEastAsia"/>
                <w:sz w:val="15"/>
                <w:szCs w:val="15"/>
              </w:rPr>
              <w:t>240,000.00</w:t>
            </w:r>
          </w:p>
        </w:tc>
        <w:tc>
          <w:tcPr>
            <w:tcW w:w="529" w:type="pct"/>
            <w:vAlign w:val="center"/>
          </w:tcPr>
          <w:p w14:paraId="795B6A52">
            <w:pPr>
              <w:jc w:val="right"/>
              <w:rPr>
                <w:rFonts w:hint="eastAsia" w:asciiTheme="minorEastAsia" w:hAnsiTheme="minorEastAsia" w:eastAsiaTheme="minorEastAsia"/>
              </w:rPr>
            </w:pPr>
          </w:p>
        </w:tc>
        <w:tc>
          <w:tcPr>
            <w:tcW w:w="524" w:type="pct"/>
            <w:vAlign w:val="center"/>
          </w:tcPr>
          <w:p w14:paraId="430AB597">
            <w:pPr>
              <w:jc w:val="right"/>
              <w:rPr>
                <w:rFonts w:hint="eastAsia" w:asciiTheme="minorEastAsia" w:hAnsiTheme="minorEastAsia" w:eastAsiaTheme="minorEastAsia"/>
                <w:sz w:val="15"/>
                <w:szCs w:val="15"/>
              </w:rPr>
            </w:pPr>
          </w:p>
        </w:tc>
        <w:tc>
          <w:tcPr>
            <w:tcW w:w="529" w:type="pct"/>
            <w:vAlign w:val="center"/>
          </w:tcPr>
          <w:p w14:paraId="0CE5279E">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120,000.00</w:t>
            </w:r>
          </w:p>
        </w:tc>
        <w:tc>
          <w:tcPr>
            <w:tcW w:w="491" w:type="pct"/>
            <w:vAlign w:val="center"/>
          </w:tcPr>
          <w:p w14:paraId="4E2D8FFF">
            <w:pPr>
              <w:jc w:val="right"/>
              <w:rPr>
                <w:rFonts w:hint="eastAsia" w:asciiTheme="minorEastAsia" w:hAnsiTheme="minorEastAsia" w:eastAsiaTheme="minorEastAsia"/>
                <w:sz w:val="15"/>
                <w:szCs w:val="15"/>
              </w:rPr>
            </w:pPr>
          </w:p>
        </w:tc>
        <w:tc>
          <w:tcPr>
            <w:tcW w:w="565" w:type="pct"/>
            <w:vAlign w:val="center"/>
          </w:tcPr>
          <w:p w14:paraId="44F9FAEF">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120,000.00</w:t>
            </w:r>
          </w:p>
        </w:tc>
        <w:tc>
          <w:tcPr>
            <w:tcW w:w="487" w:type="pct"/>
            <w:vAlign w:val="center"/>
          </w:tcPr>
          <w:p w14:paraId="451C7FBC">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1A0D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15C00E53">
            <w:pPr>
              <w:rPr>
                <w:rFonts w:hint="eastAsia" w:asciiTheme="minorEastAsia" w:hAnsiTheme="minorEastAsia" w:eastAsiaTheme="minorEastAsia"/>
              </w:rPr>
            </w:pPr>
            <w:r>
              <w:rPr>
                <w:rFonts w:hint="eastAsia" w:asciiTheme="minorEastAsia" w:hAnsiTheme="minorEastAsia" w:eastAsiaTheme="minorEastAsia"/>
                <w:sz w:val="15"/>
                <w:szCs w:val="15"/>
              </w:rPr>
              <w:t>刺参养殖采捕机械化</w:t>
            </w:r>
          </w:p>
        </w:tc>
        <w:tc>
          <w:tcPr>
            <w:tcW w:w="565" w:type="pct"/>
            <w:vAlign w:val="center"/>
          </w:tcPr>
          <w:p w14:paraId="03F253DB">
            <w:pPr>
              <w:jc w:val="right"/>
              <w:rPr>
                <w:rFonts w:hint="eastAsia" w:asciiTheme="minorEastAsia" w:hAnsiTheme="minorEastAsia" w:eastAsiaTheme="minorEastAsia"/>
              </w:rPr>
            </w:pPr>
            <w:r>
              <w:rPr>
                <w:rFonts w:asciiTheme="minorEastAsia" w:hAnsiTheme="minorEastAsia" w:eastAsiaTheme="minorEastAsia"/>
                <w:sz w:val="15"/>
                <w:szCs w:val="15"/>
              </w:rPr>
              <w:t>2,496,000.00</w:t>
            </w:r>
          </w:p>
        </w:tc>
        <w:tc>
          <w:tcPr>
            <w:tcW w:w="529" w:type="pct"/>
            <w:vAlign w:val="center"/>
          </w:tcPr>
          <w:p w14:paraId="0287B9E6">
            <w:pPr>
              <w:jc w:val="right"/>
              <w:rPr>
                <w:rFonts w:hint="eastAsia" w:asciiTheme="minorEastAsia" w:hAnsiTheme="minorEastAsia" w:eastAsiaTheme="minorEastAsia"/>
              </w:rPr>
            </w:pPr>
          </w:p>
        </w:tc>
        <w:tc>
          <w:tcPr>
            <w:tcW w:w="524" w:type="pct"/>
            <w:vAlign w:val="center"/>
          </w:tcPr>
          <w:p w14:paraId="2BF36F05">
            <w:pPr>
              <w:jc w:val="right"/>
              <w:rPr>
                <w:rFonts w:hint="eastAsia" w:asciiTheme="minorEastAsia" w:hAnsiTheme="minorEastAsia" w:eastAsiaTheme="minorEastAsia"/>
                <w:sz w:val="15"/>
                <w:szCs w:val="15"/>
              </w:rPr>
            </w:pPr>
          </w:p>
        </w:tc>
        <w:tc>
          <w:tcPr>
            <w:tcW w:w="529" w:type="pct"/>
            <w:vAlign w:val="center"/>
          </w:tcPr>
          <w:p w14:paraId="34F6CAB7">
            <w:pPr>
              <w:jc w:val="right"/>
              <w:rPr>
                <w:rFonts w:hint="eastAsia" w:asciiTheme="minorEastAsia" w:hAnsiTheme="minorEastAsia" w:eastAsiaTheme="minorEastAsia"/>
                <w:sz w:val="15"/>
                <w:szCs w:val="15"/>
              </w:rPr>
            </w:pPr>
          </w:p>
        </w:tc>
        <w:tc>
          <w:tcPr>
            <w:tcW w:w="491" w:type="pct"/>
            <w:vAlign w:val="center"/>
          </w:tcPr>
          <w:p w14:paraId="7ACBAC4A">
            <w:pPr>
              <w:jc w:val="right"/>
              <w:rPr>
                <w:rFonts w:hint="eastAsia" w:asciiTheme="minorEastAsia" w:hAnsiTheme="minorEastAsia" w:eastAsiaTheme="minorEastAsia"/>
                <w:sz w:val="15"/>
                <w:szCs w:val="15"/>
              </w:rPr>
            </w:pPr>
          </w:p>
        </w:tc>
        <w:tc>
          <w:tcPr>
            <w:tcW w:w="565" w:type="pct"/>
            <w:vAlign w:val="center"/>
          </w:tcPr>
          <w:p w14:paraId="729D7C9B">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2,496,000.00</w:t>
            </w:r>
          </w:p>
        </w:tc>
        <w:tc>
          <w:tcPr>
            <w:tcW w:w="487" w:type="pct"/>
            <w:vAlign w:val="center"/>
          </w:tcPr>
          <w:p w14:paraId="1EC22B8A">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5352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0B2EBF25">
            <w:pPr>
              <w:rPr>
                <w:rFonts w:hint="eastAsia" w:asciiTheme="minorEastAsia" w:hAnsiTheme="minorEastAsia" w:eastAsiaTheme="minorEastAsia"/>
              </w:rPr>
            </w:pPr>
            <w:r>
              <w:rPr>
                <w:rFonts w:hint="eastAsia" w:asciiTheme="minorEastAsia" w:hAnsiTheme="minorEastAsia" w:eastAsiaTheme="minorEastAsia"/>
                <w:sz w:val="15"/>
                <w:szCs w:val="15"/>
              </w:rPr>
              <w:t>海参岩藻多糖副产物资源回收生产及特需食品的研发</w:t>
            </w:r>
          </w:p>
        </w:tc>
        <w:tc>
          <w:tcPr>
            <w:tcW w:w="565" w:type="pct"/>
            <w:vAlign w:val="center"/>
          </w:tcPr>
          <w:p w14:paraId="1B679B2D">
            <w:pPr>
              <w:jc w:val="right"/>
              <w:rPr>
                <w:rFonts w:hint="eastAsia" w:asciiTheme="minorEastAsia" w:hAnsiTheme="minorEastAsia" w:eastAsiaTheme="minorEastAsia"/>
              </w:rPr>
            </w:pPr>
            <w:r>
              <w:rPr>
                <w:rFonts w:asciiTheme="minorEastAsia" w:hAnsiTheme="minorEastAsia" w:eastAsiaTheme="minorEastAsia"/>
                <w:sz w:val="15"/>
                <w:szCs w:val="15"/>
              </w:rPr>
              <w:t>390,000.00</w:t>
            </w:r>
          </w:p>
        </w:tc>
        <w:tc>
          <w:tcPr>
            <w:tcW w:w="529" w:type="pct"/>
            <w:vAlign w:val="center"/>
          </w:tcPr>
          <w:p w14:paraId="70B8D1AE">
            <w:pPr>
              <w:jc w:val="right"/>
              <w:rPr>
                <w:rFonts w:hint="eastAsia" w:asciiTheme="minorEastAsia" w:hAnsiTheme="minorEastAsia" w:eastAsiaTheme="minorEastAsia"/>
              </w:rPr>
            </w:pPr>
          </w:p>
        </w:tc>
        <w:tc>
          <w:tcPr>
            <w:tcW w:w="524" w:type="pct"/>
            <w:vAlign w:val="center"/>
          </w:tcPr>
          <w:p w14:paraId="7D50F339">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22,500.00</w:t>
            </w:r>
          </w:p>
        </w:tc>
        <w:tc>
          <w:tcPr>
            <w:tcW w:w="529" w:type="pct"/>
            <w:vAlign w:val="center"/>
          </w:tcPr>
          <w:p w14:paraId="258FCB05">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45,000.00</w:t>
            </w:r>
          </w:p>
        </w:tc>
        <w:tc>
          <w:tcPr>
            <w:tcW w:w="491" w:type="pct"/>
            <w:vAlign w:val="center"/>
          </w:tcPr>
          <w:p w14:paraId="186C354B">
            <w:pPr>
              <w:jc w:val="right"/>
              <w:rPr>
                <w:rFonts w:hint="eastAsia" w:asciiTheme="minorEastAsia" w:hAnsiTheme="minorEastAsia" w:eastAsiaTheme="minorEastAsia"/>
                <w:sz w:val="15"/>
                <w:szCs w:val="15"/>
              </w:rPr>
            </w:pPr>
          </w:p>
        </w:tc>
        <w:tc>
          <w:tcPr>
            <w:tcW w:w="565" w:type="pct"/>
            <w:vAlign w:val="center"/>
          </w:tcPr>
          <w:p w14:paraId="0A4533C0">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322,500.00</w:t>
            </w:r>
          </w:p>
        </w:tc>
        <w:tc>
          <w:tcPr>
            <w:tcW w:w="487" w:type="pct"/>
            <w:vAlign w:val="center"/>
          </w:tcPr>
          <w:p w14:paraId="1BDEF464">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2C3E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35C4E088">
            <w:pPr>
              <w:rPr>
                <w:rFonts w:hint="eastAsia" w:asciiTheme="minorEastAsia" w:hAnsiTheme="minorEastAsia" w:eastAsiaTheme="minorEastAsia"/>
              </w:rPr>
            </w:pPr>
            <w:r>
              <w:rPr>
                <w:rFonts w:asciiTheme="minorEastAsia" w:hAnsiTheme="minorEastAsia" w:eastAsiaTheme="minorEastAsia"/>
                <w:sz w:val="15"/>
                <w:szCs w:val="15"/>
              </w:rPr>
              <w:t>渔港建设补助</w:t>
            </w:r>
          </w:p>
        </w:tc>
        <w:tc>
          <w:tcPr>
            <w:tcW w:w="565" w:type="pct"/>
            <w:vAlign w:val="center"/>
          </w:tcPr>
          <w:p w14:paraId="5CE698C5">
            <w:pPr>
              <w:jc w:val="right"/>
              <w:rPr>
                <w:rFonts w:hint="eastAsia" w:asciiTheme="minorEastAsia" w:hAnsiTheme="minorEastAsia" w:eastAsiaTheme="minorEastAsia"/>
              </w:rPr>
            </w:pPr>
            <w:r>
              <w:rPr>
                <w:rFonts w:asciiTheme="minorEastAsia" w:hAnsiTheme="minorEastAsia" w:eastAsiaTheme="minorEastAsia"/>
                <w:sz w:val="15"/>
                <w:szCs w:val="15"/>
              </w:rPr>
              <w:t>16,282,039.73</w:t>
            </w:r>
          </w:p>
        </w:tc>
        <w:tc>
          <w:tcPr>
            <w:tcW w:w="529" w:type="pct"/>
            <w:vAlign w:val="center"/>
          </w:tcPr>
          <w:p w14:paraId="157FB5D4">
            <w:pPr>
              <w:jc w:val="right"/>
              <w:rPr>
                <w:rFonts w:hint="eastAsia" w:asciiTheme="minorEastAsia" w:hAnsiTheme="minorEastAsia" w:eastAsiaTheme="minorEastAsia"/>
              </w:rPr>
            </w:pPr>
          </w:p>
        </w:tc>
        <w:tc>
          <w:tcPr>
            <w:tcW w:w="524" w:type="pct"/>
            <w:vAlign w:val="center"/>
          </w:tcPr>
          <w:p w14:paraId="5F6F4DF2">
            <w:pPr>
              <w:jc w:val="right"/>
              <w:rPr>
                <w:rFonts w:hint="eastAsia" w:asciiTheme="minorEastAsia" w:hAnsiTheme="minorEastAsia" w:eastAsiaTheme="minorEastAsia"/>
                <w:sz w:val="15"/>
                <w:szCs w:val="15"/>
              </w:rPr>
            </w:pPr>
          </w:p>
        </w:tc>
        <w:tc>
          <w:tcPr>
            <w:tcW w:w="529" w:type="pct"/>
            <w:vAlign w:val="center"/>
          </w:tcPr>
          <w:p w14:paraId="4C0E2524">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333,333.36</w:t>
            </w:r>
          </w:p>
        </w:tc>
        <w:tc>
          <w:tcPr>
            <w:tcW w:w="491" w:type="pct"/>
            <w:vAlign w:val="center"/>
          </w:tcPr>
          <w:p w14:paraId="55B3A2F4">
            <w:pPr>
              <w:jc w:val="right"/>
              <w:rPr>
                <w:rFonts w:hint="eastAsia" w:asciiTheme="minorEastAsia" w:hAnsiTheme="minorEastAsia" w:eastAsiaTheme="minorEastAsia"/>
                <w:sz w:val="15"/>
                <w:szCs w:val="15"/>
              </w:rPr>
            </w:pPr>
          </w:p>
        </w:tc>
        <w:tc>
          <w:tcPr>
            <w:tcW w:w="565" w:type="pct"/>
            <w:vAlign w:val="center"/>
          </w:tcPr>
          <w:p w14:paraId="677F526A">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15,948,706.37</w:t>
            </w:r>
          </w:p>
        </w:tc>
        <w:tc>
          <w:tcPr>
            <w:tcW w:w="487" w:type="pct"/>
            <w:vAlign w:val="center"/>
          </w:tcPr>
          <w:p w14:paraId="1A899C4E">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46B1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55388A17">
            <w:pPr>
              <w:rPr>
                <w:rFonts w:hint="eastAsia" w:asciiTheme="minorEastAsia" w:hAnsiTheme="minorEastAsia" w:eastAsiaTheme="minorEastAsia"/>
              </w:rPr>
            </w:pPr>
            <w:r>
              <w:rPr>
                <w:rFonts w:asciiTheme="minorEastAsia" w:hAnsiTheme="minorEastAsia" w:eastAsiaTheme="minorEastAsia"/>
                <w:sz w:val="15"/>
                <w:szCs w:val="15"/>
              </w:rPr>
              <w:t>水产种业建设</w:t>
            </w:r>
          </w:p>
        </w:tc>
        <w:tc>
          <w:tcPr>
            <w:tcW w:w="565" w:type="pct"/>
            <w:vAlign w:val="center"/>
          </w:tcPr>
          <w:p w14:paraId="751687BE">
            <w:pPr>
              <w:jc w:val="right"/>
              <w:rPr>
                <w:rFonts w:hint="eastAsia" w:asciiTheme="minorEastAsia" w:hAnsiTheme="minorEastAsia" w:eastAsiaTheme="minorEastAsia"/>
              </w:rPr>
            </w:pPr>
            <w:r>
              <w:rPr>
                <w:rFonts w:asciiTheme="minorEastAsia" w:hAnsiTheme="minorEastAsia" w:eastAsiaTheme="minorEastAsia"/>
                <w:sz w:val="15"/>
                <w:szCs w:val="15"/>
              </w:rPr>
              <w:t>583,333.31</w:t>
            </w:r>
          </w:p>
        </w:tc>
        <w:tc>
          <w:tcPr>
            <w:tcW w:w="529" w:type="pct"/>
            <w:vAlign w:val="center"/>
          </w:tcPr>
          <w:p w14:paraId="7C6279BC">
            <w:pPr>
              <w:jc w:val="right"/>
              <w:rPr>
                <w:rFonts w:hint="eastAsia" w:asciiTheme="minorEastAsia" w:hAnsiTheme="minorEastAsia" w:eastAsiaTheme="minorEastAsia"/>
              </w:rPr>
            </w:pPr>
          </w:p>
        </w:tc>
        <w:tc>
          <w:tcPr>
            <w:tcW w:w="524" w:type="pct"/>
            <w:vAlign w:val="center"/>
          </w:tcPr>
          <w:p w14:paraId="68E508EC">
            <w:pPr>
              <w:jc w:val="right"/>
              <w:rPr>
                <w:rFonts w:hint="eastAsia" w:asciiTheme="minorEastAsia" w:hAnsiTheme="minorEastAsia" w:eastAsiaTheme="minorEastAsia"/>
                <w:sz w:val="15"/>
                <w:szCs w:val="15"/>
              </w:rPr>
            </w:pPr>
          </w:p>
        </w:tc>
        <w:tc>
          <w:tcPr>
            <w:tcW w:w="529" w:type="pct"/>
            <w:vAlign w:val="center"/>
          </w:tcPr>
          <w:p w14:paraId="359427AB">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116,666.67</w:t>
            </w:r>
          </w:p>
        </w:tc>
        <w:tc>
          <w:tcPr>
            <w:tcW w:w="491" w:type="pct"/>
            <w:vAlign w:val="center"/>
          </w:tcPr>
          <w:p w14:paraId="0FC28E1C">
            <w:pPr>
              <w:jc w:val="right"/>
              <w:rPr>
                <w:rFonts w:hint="eastAsia" w:asciiTheme="minorEastAsia" w:hAnsiTheme="minorEastAsia" w:eastAsiaTheme="minorEastAsia"/>
                <w:sz w:val="15"/>
                <w:szCs w:val="15"/>
              </w:rPr>
            </w:pPr>
          </w:p>
        </w:tc>
        <w:tc>
          <w:tcPr>
            <w:tcW w:w="565" w:type="pct"/>
            <w:vAlign w:val="center"/>
          </w:tcPr>
          <w:p w14:paraId="35D28A7C">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466,666.64</w:t>
            </w:r>
          </w:p>
        </w:tc>
        <w:tc>
          <w:tcPr>
            <w:tcW w:w="487" w:type="pct"/>
            <w:vAlign w:val="center"/>
          </w:tcPr>
          <w:p w14:paraId="6917875E">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36B0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756DDEB0">
            <w:pPr>
              <w:rPr>
                <w:rFonts w:hint="eastAsia" w:asciiTheme="minorEastAsia" w:hAnsiTheme="minorEastAsia" w:eastAsiaTheme="minorEastAsia"/>
              </w:rPr>
            </w:pPr>
            <w:r>
              <w:rPr>
                <w:rFonts w:hint="eastAsia" w:asciiTheme="minorEastAsia" w:hAnsiTheme="minorEastAsia" w:eastAsiaTheme="minorEastAsia"/>
                <w:sz w:val="15"/>
                <w:szCs w:val="15"/>
              </w:rPr>
              <w:t xml:space="preserve">企业发展扶持资金 </w:t>
            </w:r>
          </w:p>
        </w:tc>
        <w:tc>
          <w:tcPr>
            <w:tcW w:w="565" w:type="pct"/>
            <w:vAlign w:val="center"/>
          </w:tcPr>
          <w:p w14:paraId="1304F1B0">
            <w:pPr>
              <w:jc w:val="right"/>
              <w:rPr>
                <w:rFonts w:hint="eastAsia" w:asciiTheme="minorEastAsia" w:hAnsiTheme="minorEastAsia" w:eastAsiaTheme="minorEastAsia"/>
              </w:rPr>
            </w:pPr>
            <w:r>
              <w:rPr>
                <w:rFonts w:asciiTheme="minorEastAsia" w:hAnsiTheme="minorEastAsia" w:eastAsiaTheme="minorEastAsia"/>
                <w:sz w:val="15"/>
                <w:szCs w:val="15"/>
              </w:rPr>
              <w:t>1,963,939.09</w:t>
            </w:r>
          </w:p>
        </w:tc>
        <w:tc>
          <w:tcPr>
            <w:tcW w:w="529" w:type="pct"/>
            <w:vAlign w:val="center"/>
          </w:tcPr>
          <w:p w14:paraId="3FB8A835">
            <w:pPr>
              <w:jc w:val="right"/>
              <w:rPr>
                <w:rFonts w:hint="eastAsia" w:asciiTheme="minorEastAsia" w:hAnsiTheme="minorEastAsia" w:eastAsiaTheme="minorEastAsia"/>
              </w:rPr>
            </w:pPr>
          </w:p>
        </w:tc>
        <w:tc>
          <w:tcPr>
            <w:tcW w:w="524" w:type="pct"/>
            <w:vAlign w:val="center"/>
          </w:tcPr>
          <w:p w14:paraId="2A19C6BB">
            <w:pPr>
              <w:jc w:val="right"/>
              <w:rPr>
                <w:rFonts w:hint="eastAsia" w:asciiTheme="minorEastAsia" w:hAnsiTheme="minorEastAsia" w:eastAsiaTheme="minorEastAsia"/>
                <w:sz w:val="15"/>
                <w:szCs w:val="15"/>
              </w:rPr>
            </w:pPr>
          </w:p>
        </w:tc>
        <w:tc>
          <w:tcPr>
            <w:tcW w:w="529" w:type="pct"/>
            <w:vAlign w:val="center"/>
          </w:tcPr>
          <w:p w14:paraId="39E9C6BB">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22,200.00</w:t>
            </w:r>
          </w:p>
        </w:tc>
        <w:tc>
          <w:tcPr>
            <w:tcW w:w="491" w:type="pct"/>
            <w:vAlign w:val="center"/>
          </w:tcPr>
          <w:p w14:paraId="5879C2C2">
            <w:pPr>
              <w:jc w:val="right"/>
              <w:rPr>
                <w:rFonts w:hint="eastAsia" w:asciiTheme="minorEastAsia" w:hAnsiTheme="minorEastAsia" w:eastAsiaTheme="minorEastAsia"/>
                <w:sz w:val="15"/>
                <w:szCs w:val="15"/>
              </w:rPr>
            </w:pPr>
          </w:p>
        </w:tc>
        <w:tc>
          <w:tcPr>
            <w:tcW w:w="565" w:type="pct"/>
            <w:vAlign w:val="center"/>
          </w:tcPr>
          <w:p w14:paraId="5231699D">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1,941,739.09</w:t>
            </w:r>
          </w:p>
        </w:tc>
        <w:tc>
          <w:tcPr>
            <w:tcW w:w="487" w:type="pct"/>
            <w:vAlign w:val="center"/>
          </w:tcPr>
          <w:p w14:paraId="4CAD7D68">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0E21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40455A81">
            <w:pPr>
              <w:rPr>
                <w:rFonts w:hint="eastAsia" w:asciiTheme="minorEastAsia" w:hAnsiTheme="minorEastAsia" w:eastAsiaTheme="minorEastAsia"/>
              </w:rPr>
            </w:pPr>
            <w:r>
              <w:rPr>
                <w:rFonts w:hint="eastAsia" w:asciiTheme="minorEastAsia" w:hAnsiTheme="minorEastAsia" w:eastAsiaTheme="minorEastAsia"/>
                <w:sz w:val="15"/>
                <w:szCs w:val="15"/>
              </w:rPr>
              <w:t>海洋牧场建设资金</w:t>
            </w:r>
          </w:p>
        </w:tc>
        <w:tc>
          <w:tcPr>
            <w:tcW w:w="565" w:type="pct"/>
            <w:vAlign w:val="center"/>
          </w:tcPr>
          <w:p w14:paraId="3FADCBF3">
            <w:pPr>
              <w:jc w:val="right"/>
              <w:rPr>
                <w:rFonts w:hint="eastAsia" w:asciiTheme="minorEastAsia" w:hAnsiTheme="minorEastAsia" w:eastAsiaTheme="minorEastAsia"/>
              </w:rPr>
            </w:pPr>
            <w:r>
              <w:rPr>
                <w:rFonts w:asciiTheme="minorEastAsia" w:hAnsiTheme="minorEastAsia" w:eastAsiaTheme="minorEastAsia"/>
                <w:sz w:val="15"/>
                <w:szCs w:val="15"/>
              </w:rPr>
              <w:t>8,840,000.13</w:t>
            </w:r>
          </w:p>
        </w:tc>
        <w:tc>
          <w:tcPr>
            <w:tcW w:w="529" w:type="pct"/>
            <w:vAlign w:val="center"/>
          </w:tcPr>
          <w:p w14:paraId="0975EEE4">
            <w:pPr>
              <w:jc w:val="right"/>
              <w:rPr>
                <w:rFonts w:hint="eastAsia" w:asciiTheme="minorEastAsia" w:hAnsiTheme="minorEastAsia" w:eastAsiaTheme="minorEastAsia"/>
              </w:rPr>
            </w:pPr>
          </w:p>
        </w:tc>
        <w:tc>
          <w:tcPr>
            <w:tcW w:w="524" w:type="pct"/>
            <w:vAlign w:val="center"/>
          </w:tcPr>
          <w:p w14:paraId="0C5A4A7E">
            <w:pPr>
              <w:jc w:val="right"/>
              <w:rPr>
                <w:rFonts w:hint="eastAsia" w:asciiTheme="minorEastAsia" w:hAnsiTheme="minorEastAsia" w:eastAsiaTheme="minorEastAsia"/>
                <w:sz w:val="15"/>
                <w:szCs w:val="15"/>
              </w:rPr>
            </w:pPr>
          </w:p>
        </w:tc>
        <w:tc>
          <w:tcPr>
            <w:tcW w:w="529" w:type="pct"/>
            <w:vAlign w:val="center"/>
          </w:tcPr>
          <w:p w14:paraId="7EE876F2">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169,999.98</w:t>
            </w:r>
          </w:p>
        </w:tc>
        <w:tc>
          <w:tcPr>
            <w:tcW w:w="491" w:type="pct"/>
            <w:vAlign w:val="center"/>
          </w:tcPr>
          <w:p w14:paraId="37282471">
            <w:pPr>
              <w:jc w:val="right"/>
              <w:rPr>
                <w:rFonts w:hint="eastAsia" w:asciiTheme="minorEastAsia" w:hAnsiTheme="minorEastAsia" w:eastAsiaTheme="minorEastAsia"/>
                <w:sz w:val="15"/>
                <w:szCs w:val="15"/>
              </w:rPr>
            </w:pPr>
          </w:p>
        </w:tc>
        <w:tc>
          <w:tcPr>
            <w:tcW w:w="565" w:type="pct"/>
            <w:vAlign w:val="center"/>
          </w:tcPr>
          <w:p w14:paraId="1A0AC6B7">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8,670,000.15</w:t>
            </w:r>
          </w:p>
        </w:tc>
        <w:tc>
          <w:tcPr>
            <w:tcW w:w="487" w:type="pct"/>
            <w:vAlign w:val="center"/>
          </w:tcPr>
          <w:p w14:paraId="2A760EC8">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6F715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1EFC8136">
            <w:pPr>
              <w:rPr>
                <w:rFonts w:hint="eastAsia" w:asciiTheme="minorEastAsia" w:hAnsiTheme="minorEastAsia" w:eastAsiaTheme="minorEastAsia"/>
              </w:rPr>
            </w:pPr>
            <w:r>
              <w:rPr>
                <w:rFonts w:hint="eastAsia" w:asciiTheme="minorEastAsia" w:hAnsiTheme="minorEastAsia" w:eastAsiaTheme="minorEastAsia"/>
                <w:sz w:val="15"/>
                <w:szCs w:val="15"/>
              </w:rPr>
              <w:t>现代渔业园区建设</w:t>
            </w:r>
          </w:p>
        </w:tc>
        <w:tc>
          <w:tcPr>
            <w:tcW w:w="565" w:type="pct"/>
            <w:vAlign w:val="center"/>
          </w:tcPr>
          <w:p w14:paraId="57F5A638">
            <w:pPr>
              <w:jc w:val="right"/>
              <w:rPr>
                <w:rFonts w:hint="eastAsia" w:asciiTheme="minorEastAsia" w:hAnsiTheme="minorEastAsia" w:eastAsiaTheme="minorEastAsia"/>
              </w:rPr>
            </w:pPr>
            <w:r>
              <w:rPr>
                <w:rFonts w:asciiTheme="minorEastAsia" w:hAnsiTheme="minorEastAsia" w:eastAsiaTheme="minorEastAsia"/>
                <w:sz w:val="15"/>
                <w:szCs w:val="15"/>
              </w:rPr>
              <w:t>7,292,278.21</w:t>
            </w:r>
          </w:p>
        </w:tc>
        <w:tc>
          <w:tcPr>
            <w:tcW w:w="529" w:type="pct"/>
            <w:vAlign w:val="center"/>
          </w:tcPr>
          <w:p w14:paraId="05F695A1">
            <w:pPr>
              <w:jc w:val="right"/>
              <w:rPr>
                <w:rFonts w:hint="eastAsia" w:asciiTheme="minorEastAsia" w:hAnsiTheme="minorEastAsia" w:eastAsiaTheme="minorEastAsia"/>
              </w:rPr>
            </w:pPr>
          </w:p>
        </w:tc>
        <w:tc>
          <w:tcPr>
            <w:tcW w:w="524" w:type="pct"/>
            <w:vAlign w:val="center"/>
          </w:tcPr>
          <w:p w14:paraId="5FD6E873">
            <w:pPr>
              <w:jc w:val="right"/>
              <w:rPr>
                <w:rFonts w:hint="eastAsia" w:asciiTheme="minorEastAsia" w:hAnsiTheme="minorEastAsia" w:eastAsiaTheme="minorEastAsia"/>
                <w:sz w:val="15"/>
                <w:szCs w:val="15"/>
              </w:rPr>
            </w:pPr>
          </w:p>
        </w:tc>
        <w:tc>
          <w:tcPr>
            <w:tcW w:w="529" w:type="pct"/>
            <w:vAlign w:val="center"/>
          </w:tcPr>
          <w:p w14:paraId="52A06F00">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146,333.28</w:t>
            </w:r>
          </w:p>
        </w:tc>
        <w:tc>
          <w:tcPr>
            <w:tcW w:w="491" w:type="pct"/>
            <w:vAlign w:val="center"/>
          </w:tcPr>
          <w:p w14:paraId="6FCF2A10">
            <w:pPr>
              <w:jc w:val="right"/>
              <w:rPr>
                <w:rFonts w:hint="eastAsia" w:asciiTheme="minorEastAsia" w:hAnsiTheme="minorEastAsia" w:eastAsiaTheme="minorEastAsia"/>
                <w:sz w:val="15"/>
                <w:szCs w:val="15"/>
              </w:rPr>
            </w:pPr>
          </w:p>
        </w:tc>
        <w:tc>
          <w:tcPr>
            <w:tcW w:w="565" w:type="pct"/>
            <w:vAlign w:val="center"/>
          </w:tcPr>
          <w:p w14:paraId="798DAA8F">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7,145,944.93</w:t>
            </w:r>
          </w:p>
        </w:tc>
        <w:tc>
          <w:tcPr>
            <w:tcW w:w="487" w:type="pct"/>
            <w:vAlign w:val="center"/>
          </w:tcPr>
          <w:p w14:paraId="4AD52ECD">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0B37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5F5CC08F">
            <w:pPr>
              <w:rPr>
                <w:rFonts w:hint="eastAsia" w:asciiTheme="minorEastAsia" w:hAnsiTheme="minorEastAsia" w:eastAsiaTheme="minorEastAsia"/>
              </w:rPr>
            </w:pPr>
            <w:r>
              <w:rPr>
                <w:rFonts w:hint="eastAsia" w:asciiTheme="minorEastAsia" w:hAnsiTheme="minorEastAsia" w:eastAsiaTheme="minorEastAsia"/>
                <w:sz w:val="15"/>
                <w:szCs w:val="15"/>
              </w:rPr>
              <w:t>乡村振兴科技创新</w:t>
            </w:r>
          </w:p>
        </w:tc>
        <w:tc>
          <w:tcPr>
            <w:tcW w:w="565" w:type="pct"/>
            <w:vAlign w:val="center"/>
          </w:tcPr>
          <w:p w14:paraId="045417AD">
            <w:pPr>
              <w:jc w:val="right"/>
              <w:rPr>
                <w:rFonts w:hint="eastAsia" w:asciiTheme="minorEastAsia" w:hAnsiTheme="minorEastAsia" w:eastAsiaTheme="minorEastAsia"/>
              </w:rPr>
            </w:pPr>
            <w:r>
              <w:rPr>
                <w:rFonts w:asciiTheme="minorEastAsia" w:hAnsiTheme="minorEastAsia" w:eastAsiaTheme="minorEastAsia"/>
                <w:sz w:val="15"/>
                <w:szCs w:val="15"/>
              </w:rPr>
              <w:t>4,642,031.09</w:t>
            </w:r>
          </w:p>
        </w:tc>
        <w:tc>
          <w:tcPr>
            <w:tcW w:w="529" w:type="pct"/>
            <w:vAlign w:val="center"/>
          </w:tcPr>
          <w:p w14:paraId="291D06A4">
            <w:pPr>
              <w:jc w:val="right"/>
              <w:rPr>
                <w:rFonts w:hint="eastAsia" w:asciiTheme="minorEastAsia" w:hAnsiTheme="minorEastAsia" w:eastAsiaTheme="minorEastAsia"/>
              </w:rPr>
            </w:pPr>
          </w:p>
        </w:tc>
        <w:tc>
          <w:tcPr>
            <w:tcW w:w="524" w:type="pct"/>
            <w:vAlign w:val="center"/>
          </w:tcPr>
          <w:p w14:paraId="59947D4B">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77,500.00</w:t>
            </w:r>
          </w:p>
        </w:tc>
        <w:tc>
          <w:tcPr>
            <w:tcW w:w="529" w:type="pct"/>
            <w:vAlign w:val="center"/>
          </w:tcPr>
          <w:p w14:paraId="30979D88">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52,956.54</w:t>
            </w:r>
          </w:p>
        </w:tc>
        <w:tc>
          <w:tcPr>
            <w:tcW w:w="491" w:type="pct"/>
            <w:vAlign w:val="center"/>
          </w:tcPr>
          <w:p w14:paraId="43834AD7">
            <w:pPr>
              <w:jc w:val="right"/>
              <w:rPr>
                <w:rFonts w:hint="eastAsia" w:asciiTheme="minorEastAsia" w:hAnsiTheme="minorEastAsia" w:eastAsiaTheme="minorEastAsia"/>
                <w:sz w:val="15"/>
                <w:szCs w:val="15"/>
              </w:rPr>
            </w:pPr>
          </w:p>
        </w:tc>
        <w:tc>
          <w:tcPr>
            <w:tcW w:w="565" w:type="pct"/>
            <w:vAlign w:val="center"/>
          </w:tcPr>
          <w:p w14:paraId="1EDAEB2E">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4,511,574.55</w:t>
            </w:r>
          </w:p>
        </w:tc>
        <w:tc>
          <w:tcPr>
            <w:tcW w:w="487" w:type="pct"/>
            <w:vAlign w:val="center"/>
          </w:tcPr>
          <w:p w14:paraId="4F7D0BB7">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1573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vAlign w:val="center"/>
          </w:tcPr>
          <w:p w14:paraId="2529F1B8">
            <w:pPr>
              <w:rPr>
                <w:rFonts w:hint="eastAsia" w:asciiTheme="minorEastAsia" w:hAnsiTheme="minorEastAsia" w:eastAsiaTheme="minorEastAsia"/>
              </w:rPr>
            </w:pPr>
            <w:r>
              <w:rPr>
                <w:rFonts w:hint="eastAsia" w:asciiTheme="minorEastAsia" w:hAnsiTheme="minorEastAsia" w:eastAsiaTheme="minorEastAsia"/>
                <w:sz w:val="15"/>
                <w:szCs w:val="15"/>
              </w:rPr>
              <w:t>速生抗逆刺参突破性新品种培育项目</w:t>
            </w:r>
          </w:p>
        </w:tc>
        <w:tc>
          <w:tcPr>
            <w:tcW w:w="565" w:type="pct"/>
            <w:vAlign w:val="center"/>
          </w:tcPr>
          <w:p w14:paraId="552ADCD6">
            <w:pPr>
              <w:jc w:val="right"/>
              <w:rPr>
                <w:rFonts w:hint="eastAsia" w:asciiTheme="minorEastAsia" w:hAnsiTheme="minorEastAsia" w:eastAsiaTheme="minorEastAsia"/>
              </w:rPr>
            </w:pPr>
            <w:r>
              <w:rPr>
                <w:rFonts w:asciiTheme="minorEastAsia" w:hAnsiTheme="minorEastAsia" w:eastAsiaTheme="minorEastAsia"/>
                <w:sz w:val="15"/>
                <w:szCs w:val="15"/>
              </w:rPr>
              <w:t>450,000.00</w:t>
            </w:r>
          </w:p>
        </w:tc>
        <w:tc>
          <w:tcPr>
            <w:tcW w:w="529" w:type="pct"/>
            <w:vAlign w:val="center"/>
          </w:tcPr>
          <w:p w14:paraId="6866D209">
            <w:pPr>
              <w:jc w:val="right"/>
              <w:rPr>
                <w:rFonts w:hint="eastAsia" w:asciiTheme="minorEastAsia" w:hAnsiTheme="minorEastAsia" w:eastAsiaTheme="minorEastAsia"/>
              </w:rPr>
            </w:pPr>
          </w:p>
        </w:tc>
        <w:tc>
          <w:tcPr>
            <w:tcW w:w="524" w:type="pct"/>
            <w:vAlign w:val="center"/>
          </w:tcPr>
          <w:p w14:paraId="4B948A5F">
            <w:pPr>
              <w:jc w:val="right"/>
              <w:rPr>
                <w:rFonts w:hint="eastAsia" w:asciiTheme="minorEastAsia" w:hAnsiTheme="minorEastAsia" w:eastAsiaTheme="minorEastAsia"/>
                <w:sz w:val="15"/>
                <w:szCs w:val="15"/>
              </w:rPr>
            </w:pPr>
          </w:p>
        </w:tc>
        <w:tc>
          <w:tcPr>
            <w:tcW w:w="529" w:type="pct"/>
            <w:vAlign w:val="center"/>
          </w:tcPr>
          <w:p w14:paraId="1C8D35F5">
            <w:pPr>
              <w:jc w:val="right"/>
              <w:rPr>
                <w:rFonts w:hint="eastAsia" w:asciiTheme="minorEastAsia" w:hAnsiTheme="minorEastAsia" w:eastAsiaTheme="minorEastAsia"/>
                <w:sz w:val="15"/>
                <w:szCs w:val="15"/>
              </w:rPr>
            </w:pPr>
          </w:p>
        </w:tc>
        <w:tc>
          <w:tcPr>
            <w:tcW w:w="491" w:type="pct"/>
            <w:vAlign w:val="center"/>
          </w:tcPr>
          <w:p w14:paraId="705BAA81">
            <w:pPr>
              <w:jc w:val="right"/>
              <w:rPr>
                <w:rFonts w:hint="eastAsia" w:asciiTheme="minorEastAsia" w:hAnsiTheme="minorEastAsia" w:eastAsiaTheme="minorEastAsia"/>
                <w:sz w:val="15"/>
                <w:szCs w:val="15"/>
              </w:rPr>
            </w:pPr>
          </w:p>
        </w:tc>
        <w:tc>
          <w:tcPr>
            <w:tcW w:w="565" w:type="pct"/>
            <w:vAlign w:val="center"/>
          </w:tcPr>
          <w:p w14:paraId="07A9010A">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450,000.00</w:t>
            </w:r>
          </w:p>
        </w:tc>
        <w:tc>
          <w:tcPr>
            <w:tcW w:w="487" w:type="pct"/>
            <w:vAlign w:val="center"/>
          </w:tcPr>
          <w:p w14:paraId="79999EF1">
            <w:pPr>
              <w:rPr>
                <w:rFonts w:hint="eastAsia" w:asciiTheme="minorEastAsia" w:hAnsiTheme="minorEastAsia" w:eastAsiaTheme="minorEastAsia"/>
              </w:rPr>
            </w:pPr>
            <w:r>
              <w:rPr>
                <w:rFonts w:hint="eastAsia" w:asciiTheme="minorEastAsia" w:hAnsiTheme="minorEastAsia" w:eastAsiaTheme="minorEastAsia"/>
                <w:sz w:val="15"/>
                <w:szCs w:val="15"/>
              </w:rPr>
              <w:t>与资产相关</w:t>
            </w:r>
          </w:p>
        </w:tc>
      </w:tr>
      <w:tr w14:paraId="1EAC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309" w:type="pct"/>
            <w:vAlign w:val="center"/>
          </w:tcPr>
          <w:p w14:paraId="6CF4D5F2">
            <w:pPr>
              <w:rPr>
                <w:rFonts w:hint="eastAsia" w:asciiTheme="minorEastAsia" w:hAnsiTheme="minorEastAsia" w:eastAsiaTheme="minorEastAsia"/>
                <w:sz w:val="15"/>
                <w:szCs w:val="15"/>
              </w:rPr>
            </w:pPr>
            <w:r>
              <w:rPr>
                <w:rFonts w:hint="eastAsia" w:asciiTheme="minorEastAsia" w:hAnsiTheme="minorEastAsia" w:eastAsiaTheme="minorEastAsia"/>
                <w:sz w:val="15"/>
                <w:szCs w:val="15"/>
              </w:rPr>
              <w:t>现在种业提升工程</w:t>
            </w:r>
          </w:p>
        </w:tc>
        <w:tc>
          <w:tcPr>
            <w:tcW w:w="565" w:type="pct"/>
            <w:vAlign w:val="center"/>
          </w:tcPr>
          <w:p w14:paraId="07C08C2B">
            <w:pPr>
              <w:jc w:val="right"/>
              <w:rPr>
                <w:rFonts w:hint="eastAsia" w:asciiTheme="minorEastAsia" w:hAnsiTheme="minorEastAsia" w:eastAsiaTheme="minorEastAsia"/>
                <w:sz w:val="15"/>
                <w:szCs w:val="15"/>
              </w:rPr>
            </w:pPr>
          </w:p>
        </w:tc>
        <w:tc>
          <w:tcPr>
            <w:tcW w:w="529" w:type="pct"/>
            <w:vAlign w:val="center"/>
          </w:tcPr>
          <w:p w14:paraId="00CE0CCA">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3,000,000.00</w:t>
            </w:r>
          </w:p>
        </w:tc>
        <w:tc>
          <w:tcPr>
            <w:tcW w:w="524" w:type="pct"/>
            <w:vAlign w:val="center"/>
          </w:tcPr>
          <w:p w14:paraId="7BCD5993">
            <w:pPr>
              <w:jc w:val="right"/>
              <w:rPr>
                <w:rFonts w:hint="eastAsia" w:asciiTheme="minorEastAsia" w:hAnsiTheme="minorEastAsia" w:eastAsiaTheme="minorEastAsia"/>
                <w:sz w:val="15"/>
                <w:szCs w:val="15"/>
              </w:rPr>
            </w:pPr>
          </w:p>
        </w:tc>
        <w:tc>
          <w:tcPr>
            <w:tcW w:w="529" w:type="pct"/>
            <w:vAlign w:val="center"/>
          </w:tcPr>
          <w:p w14:paraId="0FF26573">
            <w:pPr>
              <w:jc w:val="right"/>
              <w:rPr>
                <w:rFonts w:hint="eastAsia" w:asciiTheme="minorEastAsia" w:hAnsiTheme="minorEastAsia" w:eastAsiaTheme="minorEastAsia"/>
                <w:sz w:val="15"/>
                <w:szCs w:val="15"/>
              </w:rPr>
            </w:pPr>
          </w:p>
        </w:tc>
        <w:tc>
          <w:tcPr>
            <w:tcW w:w="491" w:type="pct"/>
            <w:vAlign w:val="center"/>
          </w:tcPr>
          <w:p w14:paraId="612AB455">
            <w:pPr>
              <w:jc w:val="right"/>
              <w:rPr>
                <w:rFonts w:hint="eastAsia" w:asciiTheme="minorEastAsia" w:hAnsiTheme="minorEastAsia" w:eastAsiaTheme="minorEastAsia"/>
                <w:sz w:val="15"/>
                <w:szCs w:val="15"/>
              </w:rPr>
            </w:pPr>
          </w:p>
        </w:tc>
        <w:tc>
          <w:tcPr>
            <w:tcW w:w="565" w:type="pct"/>
            <w:vAlign w:val="center"/>
          </w:tcPr>
          <w:p w14:paraId="3E550CA0">
            <w:pPr>
              <w:jc w:val="right"/>
              <w:rPr>
                <w:rFonts w:hint="eastAsia" w:asciiTheme="minorEastAsia" w:hAnsiTheme="minorEastAsia" w:eastAsiaTheme="minorEastAsia"/>
                <w:sz w:val="15"/>
                <w:szCs w:val="15"/>
              </w:rPr>
            </w:pPr>
            <w:r>
              <w:rPr>
                <w:rFonts w:hint="eastAsia" w:asciiTheme="minorEastAsia" w:hAnsiTheme="minorEastAsia" w:eastAsiaTheme="minorEastAsia"/>
                <w:sz w:val="15"/>
                <w:szCs w:val="15"/>
              </w:rPr>
              <w:t>3,000,000.00</w:t>
            </w:r>
          </w:p>
        </w:tc>
        <w:tc>
          <w:tcPr>
            <w:tcW w:w="487" w:type="pct"/>
            <w:vAlign w:val="center"/>
          </w:tcPr>
          <w:p w14:paraId="5FD2379B">
            <w:pPr>
              <w:rPr>
                <w:rFonts w:hint="eastAsia" w:asciiTheme="minorEastAsia" w:hAnsiTheme="minorEastAsia" w:eastAsiaTheme="minorEastAsia"/>
                <w:sz w:val="15"/>
                <w:szCs w:val="15"/>
              </w:rPr>
            </w:pPr>
            <w:r>
              <w:rPr>
                <w:rFonts w:hint="eastAsia" w:asciiTheme="minorEastAsia" w:hAnsiTheme="minorEastAsia" w:eastAsiaTheme="minorEastAsia"/>
                <w:sz w:val="15"/>
                <w:szCs w:val="15"/>
              </w:rPr>
              <w:t>与资产相关</w:t>
            </w:r>
          </w:p>
        </w:tc>
      </w:tr>
      <w:tr w14:paraId="1F1F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pct"/>
            <w:tcBorders>
              <w:top w:val="single" w:color="auto" w:sz="4" w:space="0"/>
              <w:left w:val="single" w:color="auto" w:sz="4" w:space="0"/>
              <w:bottom w:val="single" w:color="auto" w:sz="4" w:space="0"/>
              <w:right w:val="single" w:color="auto" w:sz="4" w:space="0"/>
            </w:tcBorders>
          </w:tcPr>
          <w:p w14:paraId="651B01A9">
            <w:pPr>
              <w:jc w:val="center"/>
              <w:rPr>
                <w:rFonts w:hint="eastAsia"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合计</w:t>
            </w:r>
          </w:p>
        </w:tc>
        <w:tc>
          <w:tcPr>
            <w:tcW w:w="565" w:type="pct"/>
            <w:tcBorders>
              <w:top w:val="single" w:color="auto" w:sz="4" w:space="0"/>
              <w:left w:val="single" w:color="auto" w:sz="4" w:space="0"/>
              <w:bottom w:val="single" w:color="auto" w:sz="4" w:space="0"/>
              <w:right w:val="single" w:color="auto" w:sz="4" w:space="0"/>
            </w:tcBorders>
            <w:vAlign w:val="center"/>
          </w:tcPr>
          <w:p w14:paraId="581B9BB1">
            <w:pPr>
              <w:jc w:val="right"/>
              <w:rPr>
                <w:rFonts w:hint="eastAsia" w:asciiTheme="minorEastAsia" w:hAnsiTheme="minorEastAsia" w:eastAsiaTheme="minorEastAsia"/>
              </w:rPr>
            </w:pPr>
            <w:r>
              <w:rPr>
                <w:rFonts w:asciiTheme="minorEastAsia" w:hAnsiTheme="minorEastAsia" w:eastAsiaTheme="minorEastAsia"/>
                <w:sz w:val="15"/>
                <w:szCs w:val="15"/>
              </w:rPr>
              <w:t>94,135,366.21</w:t>
            </w:r>
          </w:p>
        </w:tc>
        <w:tc>
          <w:tcPr>
            <w:tcW w:w="529" w:type="pct"/>
            <w:tcBorders>
              <w:top w:val="single" w:color="auto" w:sz="4" w:space="0"/>
              <w:left w:val="single" w:color="auto" w:sz="4" w:space="0"/>
              <w:bottom w:val="single" w:color="auto" w:sz="4" w:space="0"/>
              <w:right w:val="single" w:color="auto" w:sz="4" w:space="0"/>
            </w:tcBorders>
            <w:vAlign w:val="center"/>
          </w:tcPr>
          <w:p w14:paraId="3630B356">
            <w:pPr>
              <w:jc w:val="right"/>
              <w:rPr>
                <w:rFonts w:hint="eastAsia" w:asciiTheme="minorEastAsia" w:hAnsiTheme="minorEastAsia" w:eastAsiaTheme="minorEastAsia"/>
                <w:sz w:val="15"/>
                <w:szCs w:val="15"/>
              </w:rPr>
            </w:pPr>
            <w:r>
              <w:rPr>
                <w:rFonts w:asciiTheme="minorEastAsia" w:hAnsiTheme="minorEastAsia" w:eastAsiaTheme="minorEastAsia"/>
                <w:sz w:val="15"/>
                <w:szCs w:val="15"/>
              </w:rPr>
              <w:t>3,000,000.00</w:t>
            </w:r>
          </w:p>
        </w:tc>
        <w:tc>
          <w:tcPr>
            <w:tcW w:w="524" w:type="pct"/>
            <w:tcBorders>
              <w:top w:val="single" w:color="auto" w:sz="4" w:space="0"/>
              <w:left w:val="single" w:color="auto" w:sz="4" w:space="0"/>
              <w:bottom w:val="single" w:color="auto" w:sz="4" w:space="0"/>
              <w:right w:val="single" w:color="auto" w:sz="4" w:space="0"/>
            </w:tcBorders>
            <w:vAlign w:val="center"/>
          </w:tcPr>
          <w:p w14:paraId="055CC283">
            <w:pPr>
              <w:jc w:val="right"/>
              <w:rPr>
                <w:rFonts w:hint="eastAsia" w:asciiTheme="minorEastAsia" w:hAnsiTheme="minorEastAsia" w:eastAsiaTheme="minorEastAsia"/>
                <w:sz w:val="15"/>
                <w:szCs w:val="15"/>
              </w:rPr>
            </w:pPr>
            <w:r>
              <w:rPr>
                <w:rFonts w:hint="eastAsia" w:asciiTheme="minorEastAsia" w:hAnsiTheme="minorEastAsia" w:eastAsiaTheme="minorEastAsia"/>
                <w:sz w:val="15"/>
                <w:szCs w:val="15"/>
              </w:rPr>
              <w:t>358,586.60</w:t>
            </w:r>
          </w:p>
        </w:tc>
        <w:tc>
          <w:tcPr>
            <w:tcW w:w="529" w:type="pct"/>
            <w:tcBorders>
              <w:top w:val="single" w:color="auto" w:sz="4" w:space="0"/>
              <w:left w:val="single" w:color="auto" w:sz="4" w:space="0"/>
              <w:bottom w:val="single" w:color="auto" w:sz="4" w:space="0"/>
              <w:right w:val="single" w:color="auto" w:sz="4" w:space="0"/>
            </w:tcBorders>
            <w:vAlign w:val="center"/>
          </w:tcPr>
          <w:p w14:paraId="529ECE04">
            <w:pPr>
              <w:jc w:val="right"/>
              <w:rPr>
                <w:rFonts w:hint="eastAsia" w:asciiTheme="minorEastAsia" w:hAnsiTheme="minorEastAsia" w:eastAsiaTheme="minorEastAsia"/>
                <w:sz w:val="15"/>
                <w:szCs w:val="15"/>
              </w:rPr>
            </w:pPr>
            <w:r>
              <w:rPr>
                <w:rFonts w:hint="eastAsia" w:asciiTheme="minorEastAsia" w:hAnsiTheme="minorEastAsia" w:eastAsiaTheme="minorEastAsia"/>
                <w:sz w:val="15"/>
                <w:szCs w:val="15"/>
              </w:rPr>
              <w:t>4,407,450.42</w:t>
            </w:r>
          </w:p>
        </w:tc>
        <w:tc>
          <w:tcPr>
            <w:tcW w:w="491" w:type="pct"/>
            <w:tcBorders>
              <w:top w:val="single" w:color="auto" w:sz="4" w:space="0"/>
              <w:left w:val="single" w:color="auto" w:sz="4" w:space="0"/>
              <w:bottom w:val="single" w:color="auto" w:sz="4" w:space="0"/>
              <w:right w:val="single" w:color="auto" w:sz="4" w:space="0"/>
            </w:tcBorders>
            <w:vAlign w:val="center"/>
          </w:tcPr>
          <w:p w14:paraId="315252A9">
            <w:pPr>
              <w:jc w:val="right"/>
              <w:rPr>
                <w:rFonts w:hint="eastAsia" w:asciiTheme="minorEastAsia" w:hAnsiTheme="minorEastAsia" w:eastAsiaTheme="minorEastAsia"/>
                <w:sz w:val="15"/>
                <w:szCs w:val="15"/>
              </w:rPr>
            </w:pPr>
          </w:p>
        </w:tc>
        <w:tc>
          <w:tcPr>
            <w:tcW w:w="565" w:type="pct"/>
            <w:tcBorders>
              <w:top w:val="single" w:color="auto" w:sz="4" w:space="0"/>
              <w:left w:val="single" w:color="auto" w:sz="4" w:space="0"/>
              <w:bottom w:val="single" w:color="auto" w:sz="4" w:space="0"/>
              <w:right w:val="single" w:color="auto" w:sz="4" w:space="0"/>
            </w:tcBorders>
            <w:vAlign w:val="center"/>
          </w:tcPr>
          <w:p w14:paraId="3E39E3C1">
            <w:pPr>
              <w:jc w:val="right"/>
              <w:rPr>
                <w:rFonts w:hint="eastAsia" w:asciiTheme="minorEastAsia" w:hAnsiTheme="minorEastAsia" w:eastAsiaTheme="minorEastAsia"/>
                <w:sz w:val="15"/>
                <w:szCs w:val="15"/>
              </w:rPr>
            </w:pPr>
            <w:r>
              <w:rPr>
                <w:rFonts w:hint="eastAsia" w:asciiTheme="minorEastAsia" w:hAnsiTheme="minorEastAsia" w:eastAsiaTheme="minorEastAsia"/>
                <w:sz w:val="15"/>
                <w:szCs w:val="15"/>
              </w:rPr>
              <w:t>92,369,329.19</w:t>
            </w:r>
          </w:p>
        </w:tc>
        <w:tc>
          <w:tcPr>
            <w:tcW w:w="487" w:type="pct"/>
            <w:tcBorders>
              <w:top w:val="single" w:color="auto" w:sz="4" w:space="0"/>
              <w:left w:val="single" w:color="auto" w:sz="4" w:space="0"/>
              <w:bottom w:val="single" w:color="auto" w:sz="4" w:space="0"/>
              <w:right w:val="single" w:color="auto" w:sz="4" w:space="0"/>
            </w:tcBorders>
            <w:vAlign w:val="center"/>
          </w:tcPr>
          <w:p w14:paraId="4DE32C18">
            <w:pPr>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p>
        </w:tc>
      </w:tr>
    </w:tbl>
    <w:p w14:paraId="13687B0E">
      <w:pPr>
        <w:rPr>
          <w:color w:val="000000" w:themeColor="text1"/>
          <w14:textFill>
            <w14:solidFill>
              <w14:schemeClr w14:val="tx1"/>
            </w14:solidFill>
          </w14:textFill>
        </w:rPr>
      </w:pPr>
    </w:p>
    <w:p w14:paraId="2A458EBF">
      <w:pPr>
        <w:pStyle w:val="4"/>
        <w:numPr>
          <w:ilvl w:val="0"/>
          <w:numId w:val="97"/>
        </w:numPr>
        <w:ind w:left="0" w:firstLine="0"/>
        <w:rPr>
          <w:rFonts w:cs="宋体"/>
          <w:color w:val="000000" w:themeColor="text1"/>
          <w:kern w:val="0"/>
          <w:szCs w:val="24"/>
          <w14:textFill>
            <w14:solidFill>
              <w14:schemeClr w14:val="tx1"/>
            </w14:solidFill>
          </w14:textFill>
        </w:rPr>
      </w:pPr>
      <w:bookmarkStart w:id="394" w:name="_Hlk153267407"/>
      <w:r>
        <w:rPr>
          <w:rFonts w:hint="eastAsia" w:cs="宋体"/>
          <w:color w:val="000000" w:themeColor="text1"/>
          <w:kern w:val="0"/>
          <w:szCs w:val="24"/>
          <w14:textFill>
            <w14:solidFill>
              <w14:schemeClr w14:val="tx1"/>
            </w14:solidFill>
          </w14:textFill>
        </w:rPr>
        <w:t>计入当期损益的政府补助</w:t>
      </w:r>
    </w:p>
    <w:sdt>
      <w:sdtPr>
        <w:rPr>
          <w:rStyle w:val="47"/>
          <w:rFonts w:ascii="宋体" w:hAnsi="宋体"/>
          <w:b w:val="0"/>
          <w:color w:val="000000" w:themeColor="text1"/>
          <w:szCs w:val="21"/>
          <w14:textFill>
            <w14:solidFill>
              <w14:schemeClr w14:val="tx1"/>
            </w14:solidFill>
          </w14:textFill>
        </w:rPr>
        <w:alias w:val="是否适用：计入当期损益的政府补助[双击切换]"/>
        <w:tag w:val="_GBC_01aefe636f4f4e8b8752cf8841e143f6"/>
        <w:id w:val="838506748"/>
        <w:placeholder>
          <w:docPart w:val="GBC22222222222222222222222222222"/>
        </w:placeholder>
      </w:sdtPr>
      <w:sdtEndPr>
        <w:rPr>
          <w:rStyle w:val="47"/>
          <w:rFonts w:ascii="宋体" w:hAnsi="宋体"/>
          <w:b w:val="0"/>
          <w:color w:val="000000" w:themeColor="text1"/>
          <w:szCs w:val="21"/>
          <w14:textFill>
            <w14:solidFill>
              <w14:schemeClr w14:val="tx1"/>
            </w14:solidFill>
          </w14:textFill>
        </w:rPr>
      </w:sdtEndPr>
      <w:sdtContent>
        <w:p w14:paraId="21398E16">
          <w:pPr>
            <w:rPr>
              <w:rStyle w:val="47"/>
              <w:rFonts w:hint="eastAsia" w:ascii="宋体" w:hAnsi="宋体"/>
              <w:b w:val="0"/>
              <w:color w:val="000000" w:themeColor="text1"/>
              <w:szCs w:val="21"/>
              <w14:textFill>
                <w14:solidFill>
                  <w14:schemeClr w14:val="tx1"/>
                </w14:solidFill>
              </w14:textFill>
            </w:rPr>
          </w:pPr>
          <w:r>
            <w:rPr>
              <w:rStyle w:val="47"/>
              <w:rFonts w:ascii="宋体" w:hAnsi="宋体"/>
              <w:b w:val="0"/>
              <w:bCs w:val="0"/>
              <w:color w:val="000000" w:themeColor="text1"/>
              <w:szCs w:val="21"/>
              <w14:textFill>
                <w14:solidFill>
                  <w14:schemeClr w14:val="tx1"/>
                </w14:solidFill>
              </w14:textFill>
            </w:rPr>
            <w:fldChar w:fldCharType="begin"/>
          </w:r>
          <w:r>
            <w:rPr>
              <w:rStyle w:val="47"/>
              <w:rFonts w:hint="eastAsia" w:ascii="宋体" w:hAnsi="宋体"/>
              <w:b w:val="0"/>
              <w:bCs w:val="0"/>
              <w:color w:val="000000" w:themeColor="text1"/>
              <w:szCs w:val="21"/>
              <w14:textFill>
                <w14:solidFill>
                  <w14:schemeClr w14:val="tx1"/>
                </w14:solidFill>
              </w14:textFill>
            </w:rPr>
            <w:instrText xml:space="preserve">MACROBUTTON  SnrToggleCheckbox □适用 </w:instrText>
          </w:r>
          <w:r>
            <w:rPr>
              <w:rStyle w:val="47"/>
              <w:rFonts w:ascii="宋体" w:hAnsi="宋体"/>
              <w:b w:val="0"/>
              <w:bCs w:val="0"/>
              <w:color w:val="000000" w:themeColor="text1"/>
              <w:szCs w:val="21"/>
              <w14:textFill>
                <w14:solidFill>
                  <w14:schemeClr w14:val="tx1"/>
                </w14:solidFill>
              </w14:textFill>
            </w:rPr>
            <w:fldChar w:fldCharType="end"/>
          </w:r>
          <w:r>
            <w:rPr>
              <w:rStyle w:val="47"/>
              <w:rFonts w:ascii="宋体" w:hAnsi="宋体"/>
              <w:b w:val="0"/>
              <w:bCs w:val="0"/>
              <w:color w:val="000000" w:themeColor="text1"/>
              <w:szCs w:val="21"/>
              <w14:textFill>
                <w14:solidFill>
                  <w14:schemeClr w14:val="tx1"/>
                </w14:solidFill>
              </w14:textFill>
            </w:rPr>
            <w:fldChar w:fldCharType="begin"/>
          </w:r>
          <w:r>
            <w:rPr>
              <w:rStyle w:val="47"/>
              <w:rFonts w:hint="eastAsia" w:ascii="宋体" w:hAnsi="宋体"/>
              <w:b w:val="0"/>
              <w:bCs w:val="0"/>
              <w:color w:val="000000" w:themeColor="text1"/>
              <w:szCs w:val="21"/>
              <w14:textFill>
                <w14:solidFill>
                  <w14:schemeClr w14:val="tx1"/>
                </w14:solidFill>
              </w14:textFill>
            </w:rPr>
            <w:instrText xml:space="preserve"> MACROBUTTON  SnrToggleCheckbox √不适用 </w:instrText>
          </w:r>
          <w:r>
            <w:rPr>
              <w:rStyle w:val="47"/>
              <w:rFonts w:ascii="宋体" w:hAnsi="宋体"/>
              <w:b w:val="0"/>
              <w:bCs w:val="0"/>
              <w:color w:val="000000" w:themeColor="text1"/>
              <w:szCs w:val="21"/>
              <w14:textFill>
                <w14:solidFill>
                  <w14:schemeClr w14:val="tx1"/>
                </w14:solidFill>
              </w14:textFill>
            </w:rPr>
            <w:fldChar w:fldCharType="end"/>
          </w:r>
        </w:p>
      </w:sdtContent>
    </w:sdt>
    <w:p w14:paraId="3EB1E733">
      <w:pPr>
        <w:rPr>
          <w:color w:val="000000" w:themeColor="text1"/>
          <w14:textFill>
            <w14:solidFill>
              <w14:schemeClr w14:val="tx1"/>
            </w14:solidFill>
          </w14:textFill>
        </w:rPr>
      </w:pPr>
    </w:p>
    <w:bookmarkEnd w:id="394"/>
    <w:p w14:paraId="380C9698">
      <w:pPr>
        <w:rPr>
          <w:color w:val="000000" w:themeColor="text1"/>
          <w14:textFill>
            <w14:solidFill>
              <w14:schemeClr w14:val="tx1"/>
            </w14:solidFill>
          </w14:textFill>
        </w:rPr>
      </w:pPr>
      <w:bookmarkStart w:id="395" w:name="_Hlk153267868"/>
      <w:r>
        <w:rPr>
          <w:rFonts w:hint="eastAsia"/>
          <w:color w:val="000000" w:themeColor="text1"/>
          <w14:textFill>
            <w14:solidFill>
              <w14:schemeClr w14:val="tx1"/>
            </w14:solidFill>
          </w14:textFill>
        </w:rPr>
        <w:t>其他说明：</w:t>
      </w:r>
    </w:p>
    <w:p w14:paraId="55FA0C53">
      <w:pPr>
        <w:rPr>
          <w:color w:val="000000" w:themeColor="text1"/>
          <w14:textFill>
            <w14:solidFill>
              <w14:schemeClr w14:val="tx1"/>
            </w14:solidFill>
          </w14:textFill>
        </w:rPr>
      </w:pPr>
      <w:sdt>
        <w:sdtPr>
          <w:rPr>
            <w:color w:val="000000" w:themeColor="text1"/>
            <w14:textFill>
              <w14:solidFill>
                <w14:schemeClr w14:val="tx1"/>
              </w14:solidFill>
            </w14:textFill>
          </w:rPr>
          <w:alias w:val="政府补助说明"/>
          <w:tag w:val="_GBC_2db67f97ef974f8db75ebfb04517ea6f"/>
          <w:id w:val="1890301386"/>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无</w:t>
          </w:r>
        </w:sdtContent>
      </w:sdt>
    </w:p>
    <w:p w14:paraId="74B7B473">
      <w:pPr>
        <w:rPr>
          <w:color w:val="000000" w:themeColor="text1"/>
          <w14:textFill>
            <w14:solidFill>
              <w14:schemeClr w14:val="tx1"/>
            </w14:solidFill>
          </w14:textFill>
        </w:rPr>
      </w:pPr>
    </w:p>
    <w:bookmarkEnd w:id="393"/>
    <w:bookmarkEnd w:id="395"/>
    <w:p w14:paraId="469299FC">
      <w:pPr>
        <w:pStyle w:val="3"/>
        <w:numPr>
          <w:ilvl w:val="0"/>
          <w:numId w:val="30"/>
        </w:numPr>
        <w:ind w:left="420" w:hanging="420"/>
        <w:rPr>
          <w:rFonts w:hint="eastAsia" w:ascii="宋体" w:hAnsi="宋体"/>
          <w:color w:val="000000" w:themeColor="text1"/>
          <w14:textFill>
            <w14:solidFill>
              <w14:schemeClr w14:val="tx1"/>
            </w14:solidFill>
          </w14:textFill>
        </w:rPr>
      </w:pPr>
      <w:bookmarkStart w:id="396" w:name="_Hlk167976349"/>
      <w:r>
        <w:rPr>
          <w:rFonts w:hint="eastAsia" w:ascii="宋体" w:hAnsi="宋体"/>
          <w:color w:val="000000" w:themeColor="text1"/>
          <w14:textFill>
            <w14:solidFill>
              <w14:schemeClr w14:val="tx1"/>
            </w14:solidFill>
          </w14:textFill>
        </w:rPr>
        <w:t>与金融工具相关的风险</w:t>
      </w:r>
    </w:p>
    <w:p w14:paraId="012A3C48">
      <w:pPr>
        <w:pStyle w:val="4"/>
        <w:numPr>
          <w:ilvl w:val="0"/>
          <w:numId w:val="98"/>
        </w:num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金融工具的风险</w:t>
      </w:r>
    </w:p>
    <w:sdt>
      <w:sdtPr>
        <w:rPr>
          <w:color w:val="000000" w:themeColor="text1"/>
          <w14:textFill>
            <w14:solidFill>
              <w14:schemeClr w14:val="tx1"/>
            </w14:solidFill>
          </w14:textFill>
        </w:rPr>
        <w:alias w:val="是否适用：与金融工具相关的风险[双击切换]"/>
        <w:tag w:val="_GBC_e1cf17d3b39745d798050adfebdd2723"/>
        <w:id w:val="1999380902"/>
        <w:placeholder>
          <w:docPart w:val="GBC22222222222222222222222222222"/>
        </w:placeholder>
      </w:sdtPr>
      <w:sdtEndPr>
        <w:rPr>
          <w:color w:val="000000" w:themeColor="text1"/>
          <w14:textFill>
            <w14:solidFill>
              <w14:schemeClr w14:val="tx1"/>
            </w14:solidFill>
          </w14:textFill>
        </w:rPr>
      </w:sdtEndPr>
      <w:sdtContent>
        <w:p w14:paraId="4A54CD2C">
          <w:pPr>
            <w:rPr>
              <w:b/>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24FF5C4">
      <w:pPr>
        <w:rPr>
          <w:color w:val="000000" w:themeColor="text1"/>
          <w14:textFill>
            <w14:solidFill>
              <w14:schemeClr w14:val="tx1"/>
            </w14:solidFill>
          </w14:textFill>
        </w:rPr>
      </w:pPr>
    </w:p>
    <w:p w14:paraId="40941F71">
      <w:pPr>
        <w:pStyle w:val="4"/>
        <w:numPr>
          <w:ilvl w:val="0"/>
          <w:numId w:val="98"/>
        </w:num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套期</w:t>
      </w:r>
    </w:p>
    <w:p w14:paraId="0D871795">
      <w:pPr>
        <w:pStyle w:val="5"/>
        <w:numPr>
          <w:ilvl w:val="0"/>
          <w:numId w:val="99"/>
        </w:numPr>
        <w:ind w:left="0"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公司开展套期业务进行风险管理</w:t>
      </w:r>
    </w:p>
    <w:sdt>
      <w:sdtPr>
        <w:rPr>
          <w:color w:val="000000" w:themeColor="text1"/>
          <w14:textFill>
            <w14:solidFill>
              <w14:schemeClr w14:val="tx1"/>
            </w14:solidFill>
          </w14:textFill>
        </w:rPr>
        <w:alias w:val="是否适用：公司开展套期业务进行风险管理情况[双击切换]"/>
        <w:tag w:val="_GBC_2f499c37491c40ebb25e43ccee2adbf5"/>
        <w:id w:val="856000876"/>
        <w:placeholder>
          <w:docPart w:val="GBC22222222222222222222222222222"/>
        </w:placeholder>
      </w:sdtPr>
      <w:sdtEndPr>
        <w:rPr>
          <w:color w:val="000000" w:themeColor="text1"/>
          <w14:textFill>
            <w14:solidFill>
              <w14:schemeClr w14:val="tx1"/>
            </w14:solidFill>
          </w14:textFill>
        </w:rPr>
      </w:sdtEndPr>
      <w:sdtContent>
        <w:p w14:paraId="1583417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41C8F24">
      <w:pPr>
        <w:rPr>
          <w:color w:val="000000" w:themeColor="text1"/>
          <w14:textFill>
            <w14:solidFill>
              <w14:schemeClr w14:val="tx1"/>
            </w14:solidFill>
          </w14:textFill>
        </w:rPr>
      </w:pPr>
    </w:p>
    <w:p w14:paraId="67722A65">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公司开展套期业务进行风险管理的其他说明[双击切换]"/>
        <w:tag w:val="_GBC_75de8ffa05014fb7849cdf4959d00e5b"/>
        <w:id w:val="-874925699"/>
        <w:placeholder>
          <w:docPart w:val="GBC22222222222222222222222222222"/>
        </w:placeholder>
      </w:sdtPr>
      <w:sdtEndPr>
        <w:rPr>
          <w:color w:val="000000" w:themeColor="text1"/>
          <w14:textFill>
            <w14:solidFill>
              <w14:schemeClr w14:val="tx1"/>
            </w14:solidFill>
          </w14:textFill>
        </w:rPr>
      </w:sdtEndPr>
      <w:sdtContent>
        <w:p w14:paraId="769773B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B3E980F">
      <w:pPr>
        <w:rPr>
          <w:color w:val="000000" w:themeColor="text1"/>
          <w14:textFill>
            <w14:solidFill>
              <w14:schemeClr w14:val="tx1"/>
            </w14:solidFill>
          </w14:textFill>
        </w:rPr>
      </w:pPr>
    </w:p>
    <w:p w14:paraId="1B5C3F02">
      <w:pPr>
        <w:pStyle w:val="5"/>
        <w:numPr>
          <w:ilvl w:val="0"/>
          <w:numId w:val="99"/>
        </w:numPr>
        <w:ind w:left="0"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公司开展符合条件套期业务并应用套期会计</w:t>
      </w:r>
    </w:p>
    <w:sdt>
      <w:sdtPr>
        <w:rPr>
          <w:color w:val="000000" w:themeColor="text1"/>
          <w14:textFill>
            <w14:solidFill>
              <w14:schemeClr w14:val="tx1"/>
            </w14:solidFill>
          </w14:textFill>
        </w:rPr>
        <w:alias w:val="是否适用：公司开展符合条件套期业务并应用套期会计情况[双击切换]"/>
        <w:tag w:val="_GBC_6e6b563ac07d4214b853bf73488c53f8"/>
        <w:id w:val="1427691405"/>
        <w:placeholder>
          <w:docPart w:val="GBC22222222222222222222222222222"/>
        </w:placeholder>
      </w:sdtPr>
      <w:sdtEndPr>
        <w:rPr>
          <w:color w:val="000000" w:themeColor="text1"/>
          <w14:textFill>
            <w14:solidFill>
              <w14:schemeClr w14:val="tx1"/>
            </w14:solidFill>
          </w14:textFill>
        </w:rPr>
      </w:sdtEndPr>
      <w:sdtContent>
        <w:p w14:paraId="60E6281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406ACF7">
      <w:pPr>
        <w:rPr>
          <w:color w:val="000000" w:themeColor="text1"/>
          <w14:textFill>
            <w14:solidFill>
              <w14:schemeClr w14:val="tx1"/>
            </w14:solidFill>
          </w14:textFill>
        </w:rPr>
      </w:pPr>
    </w:p>
    <w:p w14:paraId="789C6B71">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公司开展符合条件套期业务并应用套期会计情况的其他说明[双击切换]"/>
        <w:tag w:val="_GBC_27a95a99453a402ca0b1fc92fc64b202"/>
        <w:id w:val="76326978"/>
        <w:placeholder>
          <w:docPart w:val="GBC22222222222222222222222222222"/>
        </w:placeholder>
      </w:sdtPr>
      <w:sdtEndPr>
        <w:rPr>
          <w:color w:val="000000" w:themeColor="text1"/>
          <w14:textFill>
            <w14:solidFill>
              <w14:schemeClr w14:val="tx1"/>
            </w14:solidFill>
          </w14:textFill>
        </w:rPr>
      </w:sdtEndPr>
      <w:sdtContent>
        <w:p w14:paraId="6867CEF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17C751B">
      <w:pPr>
        <w:rPr>
          <w:color w:val="000000" w:themeColor="text1"/>
          <w14:textFill>
            <w14:solidFill>
              <w14:schemeClr w14:val="tx1"/>
            </w14:solidFill>
          </w14:textFill>
        </w:rPr>
      </w:pPr>
    </w:p>
    <w:p w14:paraId="4EA58BA9">
      <w:pPr>
        <w:pStyle w:val="5"/>
        <w:numPr>
          <w:ilvl w:val="0"/>
          <w:numId w:val="99"/>
        </w:numPr>
        <w:ind w:left="0"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公司开展套期业务进行风险管理、预期能实现风险管理目标但未应用套期会计</w:t>
      </w:r>
    </w:p>
    <w:sdt>
      <w:sdtPr>
        <w:rPr>
          <w:color w:val="000000" w:themeColor="text1"/>
          <w14:textFill>
            <w14:solidFill>
              <w14:schemeClr w14:val="tx1"/>
            </w14:solidFill>
          </w14:textFill>
        </w:rPr>
        <w:alias w:val="是否适用：公司开展套期业务进行风险管理、预期能实现风险管理目标但未应用套期会计[双击切换]"/>
        <w:tag w:val="_GBC_8ff64f4b33cf4c818fade70a82ac65ca"/>
        <w:id w:val="-179516329"/>
        <w:placeholder>
          <w:docPart w:val="GBC22222222222222222222222222222"/>
        </w:placeholder>
      </w:sdtPr>
      <w:sdtEndPr>
        <w:rPr>
          <w:color w:val="000000" w:themeColor="text1"/>
          <w14:textFill>
            <w14:solidFill>
              <w14:schemeClr w14:val="tx1"/>
            </w14:solidFill>
          </w14:textFill>
        </w:rPr>
      </w:sdtEndPr>
      <w:sdtContent>
        <w:p w14:paraId="234ACE3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E396F43">
      <w:pPr>
        <w:rPr>
          <w:color w:val="000000" w:themeColor="text1"/>
          <w14:textFill>
            <w14:solidFill>
              <w14:schemeClr w14:val="tx1"/>
            </w14:solidFill>
          </w14:textFill>
        </w:rPr>
      </w:pPr>
    </w:p>
    <w:p w14:paraId="07D4F6DC">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公司开展套期业务进行风险管理、预期能实现风险管理目标但未应用套期会计的其他说明[双击切换]"/>
        <w:tag w:val="_GBC_a996d12612974969937163f50fa093b8"/>
        <w:id w:val="1907568548"/>
        <w:placeholder>
          <w:docPart w:val="GBC22222222222222222222222222222"/>
        </w:placeholder>
      </w:sdtPr>
      <w:sdtEndPr>
        <w:rPr>
          <w:color w:val="000000" w:themeColor="text1"/>
          <w14:textFill>
            <w14:solidFill>
              <w14:schemeClr w14:val="tx1"/>
            </w14:solidFill>
          </w14:textFill>
        </w:rPr>
      </w:sdtEndPr>
      <w:sdtContent>
        <w:p w14:paraId="2C7AF92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4B45463">
      <w:pPr>
        <w:rPr>
          <w:color w:val="000000" w:themeColor="text1"/>
          <w14:textFill>
            <w14:solidFill>
              <w14:schemeClr w14:val="tx1"/>
            </w14:solidFill>
          </w14:textFill>
        </w:rPr>
      </w:pPr>
    </w:p>
    <w:p w14:paraId="151614F0">
      <w:pPr>
        <w:pStyle w:val="4"/>
        <w:numPr>
          <w:ilvl w:val="0"/>
          <w:numId w:val="98"/>
        </w:num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金融资产转移</w:t>
      </w:r>
    </w:p>
    <w:p w14:paraId="0B2DECCB">
      <w:pPr>
        <w:pStyle w:val="5"/>
        <w:numPr>
          <w:ilvl w:val="0"/>
          <w:numId w:val="100"/>
        </w:numPr>
        <w:ind w:left="425" w:hanging="425"/>
        <w:rPr>
          <w:color w:val="000000" w:themeColor="text1"/>
          <w14:textFill>
            <w14:solidFill>
              <w14:schemeClr w14:val="tx1"/>
            </w14:solidFill>
          </w14:textFill>
        </w:rPr>
      </w:pPr>
      <w:bookmarkStart w:id="397" w:name="_Hlk153550670"/>
      <w:r>
        <w:rPr>
          <w:rFonts w:hint="eastAsia"/>
          <w:color w:val="000000" w:themeColor="text1"/>
          <w14:textFill>
            <w14:solidFill>
              <w14:schemeClr w14:val="tx1"/>
            </w14:solidFill>
          </w14:textFill>
        </w:rPr>
        <w:t>转移方式分类</w:t>
      </w:r>
    </w:p>
    <w:sdt>
      <w:sdtPr>
        <w:rPr>
          <w:color w:val="000000" w:themeColor="text1"/>
          <w14:textFill>
            <w14:solidFill>
              <w14:schemeClr w14:val="tx1"/>
            </w14:solidFill>
          </w14:textFill>
        </w:rPr>
        <w:alias w:val="是否适用：转移方式分类[双击切换]"/>
        <w:tag w:val="_GBC_3e1020fb455f4853972cca8d6b0a6b3e"/>
        <w:id w:val="1571845103"/>
        <w:placeholder>
          <w:docPart w:val="GBC22222222222222222222222222222"/>
        </w:placeholder>
      </w:sdtPr>
      <w:sdtEndPr>
        <w:rPr>
          <w:color w:val="000000" w:themeColor="text1"/>
          <w14:textFill>
            <w14:solidFill>
              <w14:schemeClr w14:val="tx1"/>
            </w14:solidFill>
          </w14:textFill>
        </w:rPr>
      </w:sdtEndPr>
      <w:sdtContent>
        <w:p w14:paraId="7C2C15B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73C1ACB">
      <w:pPr>
        <w:rPr>
          <w:color w:val="000000" w:themeColor="text1"/>
          <w14:textFill>
            <w14:solidFill>
              <w14:schemeClr w14:val="tx1"/>
            </w14:solidFill>
          </w14:textFill>
        </w:rPr>
      </w:pPr>
    </w:p>
    <w:bookmarkEnd w:id="397"/>
    <w:p w14:paraId="424A6F04">
      <w:pPr>
        <w:pStyle w:val="5"/>
        <w:numPr>
          <w:ilvl w:val="0"/>
          <w:numId w:val="100"/>
        </w:num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因转移而终止确认的金融资产</w:t>
      </w:r>
    </w:p>
    <w:sdt>
      <w:sdtPr>
        <w:rPr>
          <w:rFonts w:hint="eastAsia"/>
          <w:color w:val="000000" w:themeColor="text1"/>
          <w14:textFill>
            <w14:solidFill>
              <w14:schemeClr w14:val="tx1"/>
            </w14:solidFill>
          </w14:textFill>
        </w:rPr>
        <w:alias w:val="是否适用：因转移而终止确认的金融资产[双击切换]"/>
        <w:tag w:val="_GBC_46574eb995bc458dacbb66d429fbeb28"/>
        <w:id w:val="-1348405668"/>
        <w:placeholder>
          <w:docPart w:val="GBC22222222222222222222222222222"/>
        </w:placeholder>
      </w:sdtPr>
      <w:sdtEndPr>
        <w:rPr>
          <w:rFonts w:hint="eastAsia"/>
          <w:color w:val="000000" w:themeColor="text1"/>
          <w14:textFill>
            <w14:solidFill>
              <w14:schemeClr w14:val="tx1"/>
            </w14:solidFill>
          </w14:textFill>
        </w:rPr>
      </w:sdtEndPr>
      <w:sdtContent>
        <w:p w14:paraId="2E72ED5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DC96E83">
      <w:pPr>
        <w:rPr>
          <w:color w:val="000000" w:themeColor="text1"/>
          <w14:textFill>
            <w14:solidFill>
              <w14:schemeClr w14:val="tx1"/>
            </w14:solidFill>
          </w14:textFill>
        </w:rPr>
      </w:pPr>
    </w:p>
    <w:p w14:paraId="0A07C021">
      <w:pPr>
        <w:pStyle w:val="5"/>
        <w:numPr>
          <w:ilvl w:val="0"/>
          <w:numId w:val="100"/>
        </w:num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继续涉入的转移金融资产</w:t>
      </w:r>
    </w:p>
    <w:sdt>
      <w:sdtPr>
        <w:rPr>
          <w:color w:val="000000" w:themeColor="text1"/>
          <w14:textFill>
            <w14:solidFill>
              <w14:schemeClr w14:val="tx1"/>
            </w14:solidFill>
          </w14:textFill>
        </w:rPr>
        <w:alias w:val="是否适用：继续涉入的转移金融资产[双击切换]"/>
        <w:tag w:val="_GBC_839df5011587479d8e96a4229c69e37a"/>
        <w:id w:val="1601221443"/>
        <w:placeholder>
          <w:docPart w:val="GBC22222222222222222222222222222"/>
        </w:placeholder>
      </w:sdtPr>
      <w:sdtEndPr>
        <w:rPr>
          <w:color w:val="000000" w:themeColor="text1"/>
          <w14:textFill>
            <w14:solidFill>
              <w14:schemeClr w14:val="tx1"/>
            </w14:solidFill>
          </w14:textFill>
        </w:rPr>
      </w:sdtEndPr>
      <w:sdtContent>
        <w:p w14:paraId="05EC9BE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A883F14">
      <w:pPr>
        <w:rPr>
          <w:color w:val="000000" w:themeColor="text1"/>
          <w14:textFill>
            <w14:solidFill>
              <w14:schemeClr w14:val="tx1"/>
            </w14:solidFill>
          </w14:textFill>
        </w:rPr>
      </w:pPr>
    </w:p>
    <w:p w14:paraId="6124C5E7">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金融资产转移其他说明[双击切换]"/>
        <w:tag w:val="_GBC_d5c96ff7d4c3440e81b67f6ecd7164b1"/>
        <w:id w:val="366888102"/>
        <w:placeholder>
          <w:docPart w:val="GBC22222222222222222222222222222"/>
        </w:placeholder>
      </w:sdtPr>
      <w:sdtEndPr>
        <w:rPr>
          <w:color w:val="000000" w:themeColor="text1"/>
          <w14:textFill>
            <w14:solidFill>
              <w14:schemeClr w14:val="tx1"/>
            </w14:solidFill>
          </w14:textFill>
        </w:rPr>
      </w:sdtEndPr>
      <w:sdtContent>
        <w:p w14:paraId="6E16E40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F35B64D">
      <w:pPr>
        <w:rPr>
          <w:color w:val="000000" w:themeColor="text1"/>
          <w14:textFill>
            <w14:solidFill>
              <w14:schemeClr w14:val="tx1"/>
            </w14:solidFill>
          </w14:textFill>
        </w:rPr>
      </w:pPr>
    </w:p>
    <w:bookmarkEnd w:id="396"/>
    <w:p w14:paraId="4A9FB42A">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公允价值的披露</w:t>
      </w:r>
    </w:p>
    <w:p w14:paraId="6BCF8366">
      <w:pPr>
        <w:pStyle w:val="4"/>
        <w:numPr>
          <w:ilvl w:val="0"/>
          <w:numId w:val="101"/>
        </w:numPr>
        <w:rPr>
          <w:rFonts w:hint="eastAsia" w:ascii="宋体" w:hAnsi="宋体"/>
          <w:color w:val="000000" w:themeColor="text1"/>
          <w14:textFill>
            <w14:solidFill>
              <w14:schemeClr w14:val="tx1"/>
            </w14:solidFill>
          </w14:textFill>
        </w:rPr>
      </w:pPr>
      <w:bookmarkStart w:id="398" w:name="_Hlk10539195"/>
      <w:r>
        <w:rPr>
          <w:rFonts w:hint="eastAsia" w:ascii="宋体" w:hAnsi="宋体"/>
          <w:color w:val="000000" w:themeColor="text1"/>
          <w14:textFill>
            <w14:solidFill>
              <w14:schemeClr w14:val="tx1"/>
            </w14:solidFill>
          </w14:textFill>
        </w:rPr>
        <w:t>以公允价值计量的资产和负债的期末公允价值</w:t>
      </w:r>
    </w:p>
    <w:sdt>
      <w:sdtPr>
        <w:rPr>
          <w:color w:val="000000" w:themeColor="text1"/>
          <w14:textFill>
            <w14:solidFill>
              <w14:schemeClr w14:val="tx1"/>
            </w14:solidFill>
          </w14:textFill>
        </w:rPr>
        <w:alias w:val="是否适用：以公允价值计量的资产和负债的期末公允价值[双击切换]"/>
        <w:tag w:val="_GBC_291486261b6a4e8092eea55d961b7664"/>
        <w:id w:val="258182562"/>
        <w:placeholder>
          <w:docPart w:val="GBC22222222222222222222222222222"/>
        </w:placeholder>
      </w:sdtPr>
      <w:sdtEndPr>
        <w:rPr>
          <w:color w:val="000000" w:themeColor="text1"/>
          <w14:textFill>
            <w14:solidFill>
              <w14:schemeClr w14:val="tx1"/>
            </w14:solidFill>
          </w14:textFill>
        </w:rPr>
      </w:sdtEndPr>
      <w:sdtContent>
        <w:p w14:paraId="49C0028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6C56B2B">
      <w:pPr>
        <w:rPr>
          <w:rFonts w:cs="Cambria"/>
          <w:b/>
          <w:color w:val="000000" w:themeColor="text1"/>
          <w14:textFill>
            <w14:solidFill>
              <w14:schemeClr w14:val="tx1"/>
            </w14:solidFill>
          </w14:textFill>
        </w:rPr>
      </w:pPr>
    </w:p>
    <w:bookmarkEnd w:id="398"/>
    <w:p w14:paraId="662CBB12">
      <w:pPr>
        <w:pStyle w:val="4"/>
        <w:numPr>
          <w:ilvl w:val="0"/>
          <w:numId w:val="101"/>
        </w:numP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持续和非持续第一层次公允价值计量项目市价的确定依据</w:t>
      </w:r>
    </w:p>
    <w:sdt>
      <w:sdtPr>
        <w:rPr>
          <w:color w:val="000000" w:themeColor="text1"/>
          <w14:textFill>
            <w14:solidFill>
              <w14:schemeClr w14:val="tx1"/>
            </w14:solidFill>
          </w14:textFill>
        </w:rPr>
        <w:alias w:val="是否适用：持续和非持续第一层次公允价值计量项目市价的确定依据[双击切换]"/>
        <w:tag w:val="_GBC_699178e78c6743f697df07ed34d59216"/>
        <w:id w:val="227353182"/>
        <w:placeholder>
          <w:docPart w:val="GBC22222222222222222222222222222"/>
        </w:placeholder>
      </w:sdtPr>
      <w:sdtEndPr>
        <w:rPr>
          <w:color w:val="000000" w:themeColor="text1"/>
          <w14:textFill>
            <w14:solidFill>
              <w14:schemeClr w14:val="tx1"/>
            </w14:solidFill>
          </w14:textFill>
        </w:rPr>
      </w:sdtEndPr>
      <w:sdtContent>
        <w:p w14:paraId="03AE3ECB">
          <w:pPr>
            <w:rPr>
              <w:rFonts w:cs="Arial"/>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EAB9BA1">
      <w:pPr>
        <w:tabs>
          <w:tab w:val="left" w:pos="1134"/>
        </w:tabs>
        <w:rPr>
          <w:rFonts w:cs="Cambria"/>
          <w:b/>
          <w:color w:val="000000" w:themeColor="text1"/>
          <w14:textFill>
            <w14:solidFill>
              <w14:schemeClr w14:val="tx1"/>
            </w14:solidFill>
          </w14:textFill>
        </w:rPr>
      </w:pPr>
    </w:p>
    <w:p w14:paraId="287E5DEF">
      <w:pPr>
        <w:pStyle w:val="4"/>
        <w:numPr>
          <w:ilvl w:val="0"/>
          <w:numId w:val="101"/>
        </w:numPr>
        <w:rPr>
          <w:rFonts w:hint="eastAsia" w:ascii="宋体" w:hAnsi="宋体"/>
          <w:color w:val="000000" w:themeColor="text1"/>
          <w14:textFill>
            <w14:solidFill>
              <w14:schemeClr w14:val="tx1"/>
            </w14:solidFill>
          </w14:textFill>
        </w:rPr>
      </w:pPr>
      <w:r>
        <w:rPr>
          <w:rFonts w:hint="eastAsia" w:ascii="宋体" w:hAnsi="宋体" w:cs="Arial"/>
          <w:color w:val="000000" w:themeColor="text1"/>
          <w:szCs w:val="21"/>
          <w14:textFill>
            <w14:solidFill>
              <w14:schemeClr w14:val="tx1"/>
            </w14:solidFill>
          </w14:textFill>
        </w:rPr>
        <w:t>持续和非持续第二层次公允价值计量项目，采用的估值技术和重要参数的定性及定量信息</w:t>
      </w:r>
    </w:p>
    <w:sdt>
      <w:sdtPr>
        <w:rPr>
          <w:rFonts w:hint="eastAsia" w:cs="Cambria"/>
          <w:color w:val="000000" w:themeColor="text1"/>
          <w14:textFill>
            <w14:solidFill>
              <w14:schemeClr w14:val="tx1"/>
            </w14:solidFill>
          </w14:textFill>
        </w:rPr>
        <w:alias w:val="是否适用：持续和非持续第二层次公允价值计量项目，采用的估值技术和重要参数的定性及定量信息[双击切换]"/>
        <w:tag w:val="_GBC_8bee9b1c9bf241d5ae1f2c4578fc3b6c"/>
        <w:id w:val="-175888221"/>
        <w:placeholder>
          <w:docPart w:val="GBC22222222222222222222222222222"/>
        </w:placeholder>
      </w:sdtPr>
      <w:sdtEndPr>
        <w:rPr>
          <w:rFonts w:hint="eastAsia" w:cs="Cambria"/>
          <w:color w:val="000000" w:themeColor="text1"/>
          <w14:textFill>
            <w14:solidFill>
              <w14:schemeClr w14:val="tx1"/>
            </w14:solidFill>
          </w14:textFill>
        </w:rPr>
      </w:sdtEndPr>
      <w:sdtContent>
        <w:p w14:paraId="2C6EE3C3">
          <w:pPr>
            <w:tabs>
              <w:tab w:val="left" w:pos="1134"/>
            </w:tabs>
            <w:rPr>
              <w:rFonts w:cs="Cambria"/>
              <w:color w:val="000000" w:themeColor="text1"/>
              <w14:textFill>
                <w14:solidFill>
                  <w14:schemeClr w14:val="tx1"/>
                </w14:solidFill>
              </w14:textFill>
            </w:rPr>
          </w:pPr>
          <w:r>
            <w:rPr>
              <w:rFonts w:ascii="宋体" w:hAnsi="宋体" w:cs="Cambria"/>
              <w:color w:val="000000" w:themeColor="text1"/>
              <w14:textFill>
                <w14:solidFill>
                  <w14:schemeClr w14:val="tx1"/>
                </w14:solidFill>
              </w14:textFill>
            </w:rPr>
            <w:fldChar w:fldCharType="begin"/>
          </w:r>
          <w:r>
            <w:rPr>
              <w:rFonts w:hint="eastAsia" w:ascii="宋体" w:hAnsi="宋体" w:cs="Cambria"/>
              <w:color w:val="000000" w:themeColor="text1"/>
              <w14:textFill>
                <w14:solidFill>
                  <w14:schemeClr w14:val="tx1"/>
                </w14:solidFill>
              </w14:textFill>
            </w:rPr>
            <w:instrText xml:space="preserve"> MACROBUTTON  SnrToggleCheckbox □适用 </w:instrText>
          </w:r>
          <w:r>
            <w:rPr>
              <w:rFonts w:ascii="宋体" w:hAnsi="宋体" w:cs="Cambria"/>
              <w:color w:val="000000" w:themeColor="text1"/>
              <w14:textFill>
                <w14:solidFill>
                  <w14:schemeClr w14:val="tx1"/>
                </w14:solidFill>
              </w14:textFill>
            </w:rPr>
            <w:fldChar w:fldCharType="end"/>
          </w:r>
          <w:r>
            <w:rPr>
              <w:rFonts w:ascii="宋体" w:hAnsi="宋体" w:cs="Cambria"/>
              <w:color w:val="000000" w:themeColor="text1"/>
              <w14:textFill>
                <w14:solidFill>
                  <w14:schemeClr w14:val="tx1"/>
                </w14:solidFill>
              </w14:textFill>
            </w:rPr>
            <w:fldChar w:fldCharType="begin"/>
          </w:r>
          <w:r>
            <w:rPr>
              <w:rFonts w:hint="eastAsia" w:ascii="宋体" w:hAnsi="宋体" w:cs="Cambria"/>
              <w:color w:val="000000" w:themeColor="text1"/>
              <w14:textFill>
                <w14:solidFill>
                  <w14:schemeClr w14:val="tx1"/>
                </w14:solidFill>
              </w14:textFill>
            </w:rPr>
            <w:instrText xml:space="preserve"> MACROBUTTON  SnrToggleCheckbox √不适用 </w:instrText>
          </w:r>
          <w:r>
            <w:rPr>
              <w:rFonts w:ascii="宋体" w:hAnsi="宋体" w:cs="Cambria"/>
              <w:color w:val="000000" w:themeColor="text1"/>
              <w14:textFill>
                <w14:solidFill>
                  <w14:schemeClr w14:val="tx1"/>
                </w14:solidFill>
              </w14:textFill>
            </w:rPr>
            <w:fldChar w:fldCharType="end"/>
          </w:r>
        </w:p>
      </w:sdtContent>
    </w:sdt>
    <w:p w14:paraId="35247201">
      <w:pPr>
        <w:rPr>
          <w:color w:val="000000" w:themeColor="text1"/>
          <w14:textFill>
            <w14:solidFill>
              <w14:schemeClr w14:val="tx1"/>
            </w14:solidFill>
          </w14:textFill>
        </w:rPr>
      </w:pPr>
    </w:p>
    <w:p w14:paraId="523652C0">
      <w:pPr>
        <w:pStyle w:val="4"/>
        <w:numPr>
          <w:ilvl w:val="0"/>
          <w:numId w:val="101"/>
        </w:numPr>
        <w:rPr>
          <w:rFonts w:hint="eastAsia" w:ascii="宋体" w:hAnsi="宋体"/>
          <w:color w:val="000000" w:themeColor="text1"/>
          <w14:textFill>
            <w14:solidFill>
              <w14:schemeClr w14:val="tx1"/>
            </w14:solidFill>
          </w14:textFill>
        </w:rPr>
      </w:pPr>
      <w:r>
        <w:rPr>
          <w:rFonts w:hint="eastAsia" w:ascii="宋体" w:hAnsi="宋体" w:cs="Arial"/>
          <w:color w:val="000000" w:themeColor="text1"/>
          <w:szCs w:val="21"/>
          <w14:textFill>
            <w14:solidFill>
              <w14:schemeClr w14:val="tx1"/>
            </w14:solidFill>
          </w14:textFill>
        </w:rPr>
        <w:t>持续和非持续第三层次公允价值计量项目，采用的估值技术和重要参数的定性及定量信息</w:t>
      </w:r>
    </w:p>
    <w:sdt>
      <w:sdtPr>
        <w:rPr>
          <w:rFonts w:hint="eastAsia"/>
          <w:color w:val="000000" w:themeColor="text1"/>
          <w14:textFill>
            <w14:solidFill>
              <w14:schemeClr w14:val="tx1"/>
            </w14:solidFill>
          </w14:textFill>
        </w:rPr>
        <w:alias w:val="是否适用：持续和非持续第三层次公允价值计量项目，采用的估值技术和重要参数的定性及定量信息[双击切换]"/>
        <w:tag w:val="_GBC_4feedb18bf344f2ebff0035f82f30e3c"/>
        <w:id w:val="-249892793"/>
        <w:placeholder>
          <w:docPart w:val="GBC22222222222222222222222222222"/>
        </w:placeholder>
      </w:sdtPr>
      <w:sdtEndPr>
        <w:rPr>
          <w:rFonts w:hint="eastAsia"/>
          <w:color w:val="000000" w:themeColor="text1"/>
          <w14:textFill>
            <w14:solidFill>
              <w14:schemeClr w14:val="tx1"/>
            </w14:solidFill>
          </w14:textFill>
        </w:rPr>
      </w:sdtEndPr>
      <w:sdtContent>
        <w:p w14:paraId="7BAADBE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4C3DF26">
      <w:pPr>
        <w:tabs>
          <w:tab w:val="left" w:pos="1134"/>
        </w:tabs>
        <w:rPr>
          <w:rFonts w:cs="Cambria"/>
          <w:b/>
          <w:color w:val="000000" w:themeColor="text1"/>
          <w14:textFill>
            <w14:solidFill>
              <w14:schemeClr w14:val="tx1"/>
            </w14:solidFill>
          </w14:textFill>
        </w:rPr>
      </w:pPr>
    </w:p>
    <w:p w14:paraId="49549CBB">
      <w:pPr>
        <w:pStyle w:val="4"/>
        <w:numPr>
          <w:ilvl w:val="0"/>
          <w:numId w:val="101"/>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持续的第三层次公允价值计量项目，期初与期末账面价值间的调节信息及不可观察参数敏感性分析</w:t>
      </w:r>
    </w:p>
    <w:sdt>
      <w:sdtPr>
        <w:rPr>
          <w:rFonts w:hint="eastAsia"/>
          <w:color w:val="000000" w:themeColor="text1"/>
          <w14:textFill>
            <w14:solidFill>
              <w14:schemeClr w14:val="tx1"/>
            </w14:solidFill>
          </w14:textFill>
        </w:rPr>
        <w:alias w:val="是否适用：持续的第三层次公允价值计量项目，期初与期末账面价值间的调节信息及不可观察参数敏感性分析[双击切换]"/>
        <w:tag w:val="_GBC_fbb80659fa8c4cbba85b32b2b514495c"/>
        <w:id w:val="771977493"/>
        <w:placeholder>
          <w:docPart w:val="GBC22222222222222222222222222222"/>
        </w:placeholder>
      </w:sdtPr>
      <w:sdtEndPr>
        <w:rPr>
          <w:rFonts w:hint="eastAsia"/>
          <w:color w:val="000000" w:themeColor="text1"/>
          <w14:textFill>
            <w14:solidFill>
              <w14:schemeClr w14:val="tx1"/>
            </w14:solidFill>
          </w14:textFill>
        </w:rPr>
      </w:sdtEndPr>
      <w:sdtContent>
        <w:p w14:paraId="785920D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E4ED2F2">
      <w:pPr>
        <w:tabs>
          <w:tab w:val="left" w:pos="1134"/>
        </w:tabs>
        <w:rPr>
          <w:rFonts w:cs="Cambria"/>
          <w:b/>
          <w:color w:val="000000" w:themeColor="text1"/>
          <w14:textFill>
            <w14:solidFill>
              <w14:schemeClr w14:val="tx1"/>
            </w14:solidFill>
          </w14:textFill>
        </w:rPr>
      </w:pPr>
    </w:p>
    <w:p w14:paraId="00FF4FC8">
      <w:pPr>
        <w:pStyle w:val="4"/>
        <w:numPr>
          <w:ilvl w:val="0"/>
          <w:numId w:val="101"/>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持续的公允价值计量项目，本期内发生各层级之间转换的，转换的原因及确定转换时点的政策</w:t>
      </w:r>
    </w:p>
    <w:sdt>
      <w:sdtPr>
        <w:rPr>
          <w:rFonts w:hint="eastAsia"/>
          <w:color w:val="000000" w:themeColor="text1"/>
          <w14:textFill>
            <w14:solidFill>
              <w14:schemeClr w14:val="tx1"/>
            </w14:solidFill>
          </w14:textFill>
        </w:rPr>
        <w:alias w:val="是否适用：持续的公允价值计量项目，本期内发生各层级之间转换的，转换的原因及确定转换时点的政策[双击切换]"/>
        <w:tag w:val="_GBC_e3d16a79a58242bc9c7be1f3a6f00898"/>
        <w:id w:val="1456599229"/>
        <w:placeholder>
          <w:docPart w:val="GBC22222222222222222222222222222"/>
        </w:placeholder>
      </w:sdtPr>
      <w:sdtEndPr>
        <w:rPr>
          <w:rFonts w:hint="eastAsia"/>
          <w:color w:val="000000" w:themeColor="text1"/>
          <w14:textFill>
            <w14:solidFill>
              <w14:schemeClr w14:val="tx1"/>
            </w14:solidFill>
          </w14:textFill>
        </w:rPr>
      </w:sdtEndPr>
      <w:sdtContent>
        <w:p w14:paraId="03F1236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4E7D4F3">
      <w:pPr>
        <w:tabs>
          <w:tab w:val="left" w:pos="1134"/>
        </w:tabs>
        <w:rPr>
          <w:rFonts w:cs="Cambria"/>
          <w:b/>
          <w:color w:val="000000" w:themeColor="text1"/>
          <w14:textFill>
            <w14:solidFill>
              <w14:schemeClr w14:val="tx1"/>
            </w14:solidFill>
          </w14:textFill>
        </w:rPr>
      </w:pPr>
    </w:p>
    <w:p w14:paraId="5CE14066">
      <w:pPr>
        <w:pStyle w:val="4"/>
        <w:numPr>
          <w:ilvl w:val="0"/>
          <w:numId w:val="101"/>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本期内发生的估值技术变更及变更原因</w:t>
      </w:r>
    </w:p>
    <w:sdt>
      <w:sdtPr>
        <w:rPr>
          <w:color w:val="000000" w:themeColor="text1"/>
          <w14:textFill>
            <w14:solidFill>
              <w14:schemeClr w14:val="tx1"/>
            </w14:solidFill>
          </w14:textFill>
        </w:rPr>
        <w:alias w:val="是否适用：本期内发生的估值技术变更及变更原因[双击切换]"/>
        <w:tag w:val="_GBC_b070160060a9485c87417fe5a8b5e02f"/>
        <w:id w:val="-708577162"/>
        <w:placeholder>
          <w:docPart w:val="GBC22222222222222222222222222222"/>
        </w:placeholder>
      </w:sdtPr>
      <w:sdtEndPr>
        <w:rPr>
          <w:color w:val="000000" w:themeColor="text1"/>
          <w14:textFill>
            <w14:solidFill>
              <w14:schemeClr w14:val="tx1"/>
            </w14:solidFill>
          </w14:textFill>
        </w:rPr>
      </w:sdtEndPr>
      <w:sdtContent>
        <w:p w14:paraId="1B01B7B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BF0CF4D">
      <w:pPr>
        <w:rPr>
          <w:rFonts w:cstheme="minorBidi"/>
          <w:color w:val="000000" w:themeColor="text1"/>
          <w14:textFill>
            <w14:solidFill>
              <w14:schemeClr w14:val="tx1"/>
            </w14:solidFill>
          </w14:textFill>
        </w:rPr>
      </w:pPr>
    </w:p>
    <w:p w14:paraId="504D9A2F">
      <w:pPr>
        <w:pStyle w:val="4"/>
        <w:numPr>
          <w:ilvl w:val="0"/>
          <w:numId w:val="101"/>
        </w:numPr>
        <w:rPr>
          <w:rFonts w:hint="eastAsia" w:ascii="宋体" w:hAnsi="宋体" w:cstheme="minorBidi"/>
          <w:color w:val="000000" w:themeColor="text1"/>
          <w:szCs w:val="21"/>
          <w14:textFill>
            <w14:solidFill>
              <w14:schemeClr w14:val="tx1"/>
            </w14:solidFill>
          </w14:textFill>
        </w:rPr>
      </w:pPr>
      <w:r>
        <w:rPr>
          <w:rFonts w:hint="eastAsia" w:ascii="宋体" w:hAnsi="宋体" w:cstheme="minorBidi"/>
          <w:color w:val="000000" w:themeColor="text1"/>
          <w:szCs w:val="21"/>
          <w14:textFill>
            <w14:solidFill>
              <w14:schemeClr w14:val="tx1"/>
            </w14:solidFill>
          </w14:textFill>
        </w:rPr>
        <w:t>不以公允价值计量的</w:t>
      </w:r>
      <w:r>
        <w:rPr>
          <w:rFonts w:hint="eastAsia" w:ascii="宋体" w:hAnsi="宋体"/>
          <w:color w:val="000000" w:themeColor="text1"/>
          <w14:textFill>
            <w14:solidFill>
              <w14:schemeClr w14:val="tx1"/>
            </w14:solidFill>
          </w14:textFill>
        </w:rPr>
        <w:t>金融资产</w:t>
      </w:r>
      <w:r>
        <w:rPr>
          <w:rFonts w:hint="eastAsia" w:ascii="宋体" w:hAnsi="宋体" w:cstheme="minorBidi"/>
          <w:color w:val="000000" w:themeColor="text1"/>
          <w:szCs w:val="21"/>
          <w14:textFill>
            <w14:solidFill>
              <w14:schemeClr w14:val="tx1"/>
            </w14:solidFill>
          </w14:textFill>
        </w:rPr>
        <w:t>和金融负债的公允价值情况</w:t>
      </w:r>
    </w:p>
    <w:sdt>
      <w:sdtPr>
        <w:rPr>
          <w:rFonts w:hint="eastAsia" w:cstheme="minorBidi"/>
          <w:color w:val="000000" w:themeColor="text1"/>
          <w14:textFill>
            <w14:solidFill>
              <w14:schemeClr w14:val="tx1"/>
            </w14:solidFill>
          </w14:textFill>
        </w:rPr>
        <w:alias w:val="是否适用：不以公允价值计量的金融资产和金融负债的公允价值情况[双击切换]"/>
        <w:tag w:val="_GBC_848a058035fb408c922e66294e86defb"/>
        <w:id w:val="-1825965303"/>
        <w:placeholder>
          <w:docPart w:val="GBC22222222222222222222222222222"/>
        </w:placeholder>
      </w:sdtPr>
      <w:sdtEndPr>
        <w:rPr>
          <w:rFonts w:hint="eastAsia" w:cstheme="minorBidi"/>
          <w:color w:val="000000" w:themeColor="text1"/>
          <w14:textFill>
            <w14:solidFill>
              <w14:schemeClr w14:val="tx1"/>
            </w14:solidFill>
          </w14:textFill>
        </w:rPr>
      </w:sdtEndPr>
      <w:sdtContent>
        <w:p w14:paraId="22A82345">
          <w:pPr>
            <w:rPr>
              <w:rFonts w:cstheme="minorBidi"/>
              <w:color w:val="000000" w:themeColor="text1"/>
              <w14:textFill>
                <w14:solidFill>
                  <w14:schemeClr w14:val="tx1"/>
                </w14:solidFill>
              </w14:textFill>
            </w:rPr>
          </w:pPr>
          <w:r>
            <w:rPr>
              <w:rFonts w:ascii="宋体" w:hAnsi="宋体" w:cstheme="minorBidi"/>
              <w:color w:val="000000" w:themeColor="text1"/>
              <w14:textFill>
                <w14:solidFill>
                  <w14:schemeClr w14:val="tx1"/>
                </w14:solidFill>
              </w14:textFill>
            </w:rPr>
            <w:fldChar w:fldCharType="begin"/>
          </w:r>
          <w:r>
            <w:rPr>
              <w:rFonts w:hint="eastAsia" w:ascii="宋体" w:hAnsi="宋体" w:cstheme="minorBidi"/>
              <w:color w:val="000000" w:themeColor="text1"/>
              <w14:textFill>
                <w14:solidFill>
                  <w14:schemeClr w14:val="tx1"/>
                </w14:solidFill>
              </w14:textFill>
            </w:rPr>
            <w:instrText xml:space="preserve"> MACROBUTTON  SnrToggleCheckbox □适用 </w:instrText>
          </w:r>
          <w:r>
            <w:rPr>
              <w:rFonts w:ascii="宋体" w:hAnsi="宋体" w:cstheme="minorBidi"/>
              <w:color w:val="000000" w:themeColor="text1"/>
              <w14:textFill>
                <w14:solidFill>
                  <w14:schemeClr w14:val="tx1"/>
                </w14:solidFill>
              </w14:textFill>
            </w:rPr>
            <w:fldChar w:fldCharType="end"/>
          </w:r>
          <w:r>
            <w:rPr>
              <w:rFonts w:ascii="宋体" w:hAnsi="宋体" w:cstheme="minorBidi"/>
              <w:color w:val="000000" w:themeColor="text1"/>
              <w14:textFill>
                <w14:solidFill>
                  <w14:schemeClr w14:val="tx1"/>
                </w14:solidFill>
              </w14:textFill>
            </w:rPr>
            <w:fldChar w:fldCharType="begin"/>
          </w:r>
          <w:r>
            <w:rPr>
              <w:rFonts w:hint="eastAsia" w:ascii="宋体" w:hAnsi="宋体" w:cstheme="minorBidi"/>
              <w:color w:val="000000" w:themeColor="text1"/>
              <w14:textFill>
                <w14:solidFill>
                  <w14:schemeClr w14:val="tx1"/>
                </w14:solidFill>
              </w14:textFill>
            </w:rPr>
            <w:instrText xml:space="preserve"> MACROBUTTON  SnrToggleCheckbox √不适用 </w:instrText>
          </w:r>
          <w:r>
            <w:rPr>
              <w:rFonts w:ascii="宋体" w:hAnsi="宋体" w:cstheme="minorBidi"/>
              <w:color w:val="000000" w:themeColor="text1"/>
              <w14:textFill>
                <w14:solidFill>
                  <w14:schemeClr w14:val="tx1"/>
                </w14:solidFill>
              </w14:textFill>
            </w:rPr>
            <w:fldChar w:fldCharType="end"/>
          </w:r>
        </w:p>
      </w:sdtContent>
    </w:sdt>
    <w:p w14:paraId="275DC6CA">
      <w:pPr>
        <w:rPr>
          <w:rFonts w:cstheme="minorBidi"/>
          <w:color w:val="000000" w:themeColor="text1"/>
          <w14:textFill>
            <w14:solidFill>
              <w14:schemeClr w14:val="tx1"/>
            </w14:solidFill>
          </w14:textFill>
        </w:rPr>
      </w:pPr>
    </w:p>
    <w:p w14:paraId="539FFA1D">
      <w:pPr>
        <w:pStyle w:val="4"/>
        <w:numPr>
          <w:ilvl w:val="0"/>
          <w:numId w:val="101"/>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w:t>
      </w:r>
    </w:p>
    <w:sdt>
      <w:sdtPr>
        <w:rPr>
          <w:rFonts w:hint="eastAsia"/>
          <w:color w:val="000000" w:themeColor="text1"/>
          <w14:textFill>
            <w14:solidFill>
              <w14:schemeClr w14:val="tx1"/>
            </w14:solidFill>
          </w14:textFill>
        </w:rPr>
        <w:alias w:val="是否适用：公允价值其他需要披露的事项[双击切换]"/>
        <w:tag w:val="_GBC_9174a0e7dec04e80924ee384dabe783a"/>
        <w:id w:val="-1098328255"/>
        <w:placeholder>
          <w:docPart w:val="GBC22222222222222222222222222222"/>
        </w:placeholder>
      </w:sdtPr>
      <w:sdtEndPr>
        <w:rPr>
          <w:rFonts w:hint="eastAsia"/>
          <w:color w:val="000000" w:themeColor="text1"/>
          <w14:textFill>
            <w14:solidFill>
              <w14:schemeClr w14:val="tx1"/>
            </w14:solidFill>
          </w14:textFill>
        </w:rPr>
      </w:sdtEndPr>
      <w:sdtContent>
        <w:p w14:paraId="4AA5898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B992202">
      <w:pPr>
        <w:rPr>
          <w:color w:val="000000" w:themeColor="text1"/>
          <w14:textFill>
            <w14:solidFill>
              <w14:schemeClr w14:val="tx1"/>
            </w14:solidFill>
          </w14:textFill>
        </w:rPr>
      </w:pPr>
    </w:p>
    <w:p w14:paraId="4CBA8223">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关联方及关联交易</w:t>
      </w:r>
    </w:p>
    <w:p w14:paraId="2A1F69A2">
      <w:pPr>
        <w:pStyle w:val="4"/>
        <w:numPr>
          <w:ilvl w:val="0"/>
          <w:numId w:val="102"/>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本企业的母公司情况</w:t>
      </w:r>
    </w:p>
    <w:sdt>
      <w:sdtPr>
        <w:rPr>
          <w:color w:val="000000" w:themeColor="text1"/>
          <w14:textFill>
            <w14:solidFill>
              <w14:schemeClr w14:val="tx1"/>
            </w14:solidFill>
          </w14:textFill>
        </w:rPr>
        <w:alias w:val="是否适用：本企业的母公司情况[双击切换]"/>
        <w:tag w:val="_GBC_ead7e4ec9cc847adb62aa8efd8005802"/>
        <w:id w:val="50354906"/>
        <w:placeholder>
          <w:docPart w:val="GBC22222222222222222222222222222"/>
        </w:placeholder>
      </w:sdtPr>
      <w:sdtEndPr>
        <w:rPr>
          <w:color w:val="000000" w:themeColor="text1"/>
          <w14:textFill>
            <w14:solidFill>
              <w14:schemeClr w14:val="tx1"/>
            </w14:solidFill>
          </w14:textFill>
        </w:rPr>
      </w:sdtEndPr>
      <w:sdtContent>
        <w:p w14:paraId="12243B6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3089AB1">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本企业的母公司情况"/>
          <w:tag w:val="_GBC_6deea75122314a599b3383585a0f5cfe"/>
          <w:id w:val="-150497622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万元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本企业的母公司情况"/>
          <w:tag w:val="_GBC_3d5eae3a190749288b0c0bc9b1b1a3a3"/>
          <w:id w:val="160136579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645" w:type="pct"/>
        <w:tblInd w:w="-1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134"/>
        <w:gridCol w:w="2694"/>
        <w:gridCol w:w="1020"/>
        <w:gridCol w:w="1642"/>
        <w:gridCol w:w="1769"/>
      </w:tblGrid>
      <w:tr w14:paraId="4649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sdt>
          <w:sdtPr>
            <w:tag w:val="_PLD_19f86fac20c44d648212d3b573ca4c90"/>
            <w:id w:val="54904725"/>
          </w:sdtPr>
          <w:sdtContent>
            <w:tc>
              <w:tcPr>
                <w:tcW w:w="854" w:type="pct"/>
                <w:tcBorders>
                  <w:top w:val="single" w:color="auto" w:sz="4" w:space="0"/>
                  <w:left w:val="single" w:color="auto" w:sz="4" w:space="0"/>
                  <w:bottom w:val="single" w:color="auto" w:sz="4" w:space="0"/>
                  <w:right w:val="single" w:color="auto" w:sz="4" w:space="0"/>
                </w:tcBorders>
                <w:vAlign w:val="center"/>
              </w:tcPr>
              <w:p w14:paraId="4C2346D3">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母公司名称</w:t>
                </w:r>
              </w:p>
            </w:tc>
          </w:sdtContent>
        </w:sdt>
        <w:sdt>
          <w:sdtPr>
            <w:tag w:val="_PLD_d0e9e84346084d4db76e60afa87cf85a"/>
            <w:id w:val="142003912"/>
          </w:sdtPr>
          <w:sdtContent>
            <w:tc>
              <w:tcPr>
                <w:tcW w:w="569" w:type="pct"/>
                <w:tcBorders>
                  <w:top w:val="single" w:color="auto" w:sz="4" w:space="0"/>
                  <w:left w:val="single" w:color="auto" w:sz="4" w:space="0"/>
                  <w:bottom w:val="single" w:color="auto" w:sz="4" w:space="0"/>
                  <w:right w:val="single" w:color="auto" w:sz="4" w:space="0"/>
                </w:tcBorders>
                <w:vAlign w:val="center"/>
              </w:tcPr>
              <w:p w14:paraId="0060F448">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注册地</w:t>
                </w:r>
              </w:p>
            </w:tc>
          </w:sdtContent>
        </w:sdt>
        <w:sdt>
          <w:sdtPr>
            <w:tag w:val="_PLD_862851f8ff08431ea28c3420f555e42d"/>
            <w:id w:val="758875379"/>
          </w:sdtPr>
          <w:sdtContent>
            <w:tc>
              <w:tcPr>
                <w:tcW w:w="1352" w:type="pct"/>
                <w:tcBorders>
                  <w:top w:val="single" w:color="auto" w:sz="4" w:space="0"/>
                  <w:left w:val="single" w:color="auto" w:sz="4" w:space="0"/>
                  <w:bottom w:val="single" w:color="auto" w:sz="4" w:space="0"/>
                  <w:right w:val="single" w:color="auto" w:sz="4" w:space="0"/>
                </w:tcBorders>
                <w:vAlign w:val="center"/>
              </w:tcPr>
              <w:p w14:paraId="228829A7">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业务性质</w:t>
                </w:r>
              </w:p>
            </w:tc>
          </w:sdtContent>
        </w:sdt>
        <w:sdt>
          <w:sdtPr>
            <w:tag w:val="_PLD_77ed8bc59084448aa6eced74a15c106f"/>
            <w:id w:val="-956182119"/>
          </w:sdtPr>
          <w:sdtContent>
            <w:tc>
              <w:tcPr>
                <w:tcW w:w="512" w:type="pct"/>
                <w:tcBorders>
                  <w:top w:val="single" w:color="auto" w:sz="4" w:space="0"/>
                  <w:left w:val="single" w:color="auto" w:sz="4" w:space="0"/>
                  <w:bottom w:val="single" w:color="auto" w:sz="4" w:space="0"/>
                  <w:right w:val="single" w:color="auto" w:sz="4" w:space="0"/>
                </w:tcBorders>
                <w:vAlign w:val="center"/>
              </w:tcPr>
              <w:p w14:paraId="5CB2A7B0">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注册资本</w:t>
                </w:r>
              </w:p>
            </w:tc>
          </w:sdtContent>
        </w:sdt>
        <w:sdt>
          <w:sdtPr>
            <w:tag w:val="_PLD_360f61c4c6c14f0abe6480ef7f30e958"/>
            <w:id w:val="1200737260"/>
          </w:sdtPr>
          <w:sdtContent>
            <w:tc>
              <w:tcPr>
                <w:tcW w:w="824" w:type="pct"/>
                <w:tcBorders>
                  <w:top w:val="single" w:color="auto" w:sz="4" w:space="0"/>
                  <w:left w:val="single" w:color="auto" w:sz="4" w:space="0"/>
                  <w:bottom w:val="single" w:color="auto" w:sz="4" w:space="0"/>
                  <w:right w:val="single" w:color="auto" w:sz="4" w:space="0"/>
                </w:tcBorders>
                <w:vAlign w:val="center"/>
              </w:tcPr>
              <w:p w14:paraId="4CD7DFC2">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母公司对本企业的持股比例</w:t>
                </w:r>
                <w:r>
                  <w:rPr>
                    <w:rFonts w:cs="Cambria"/>
                    <w:color w:val="000000" w:themeColor="text1"/>
                    <w14:textFill>
                      <w14:solidFill>
                        <w14:schemeClr w14:val="tx1"/>
                      </w14:solidFill>
                    </w14:textFill>
                  </w:rPr>
                  <w:t>(%)</w:t>
                </w:r>
              </w:p>
            </w:tc>
          </w:sdtContent>
        </w:sdt>
        <w:sdt>
          <w:sdtPr>
            <w:tag w:val="_PLD_3ef945e24ca64fc394d2e6b861604fcf"/>
            <w:id w:val="-1769302121"/>
          </w:sdtPr>
          <w:sdtContent>
            <w:tc>
              <w:tcPr>
                <w:tcW w:w="888" w:type="pct"/>
                <w:tcBorders>
                  <w:top w:val="single" w:color="auto" w:sz="4" w:space="0"/>
                  <w:left w:val="single" w:color="auto" w:sz="4" w:space="0"/>
                  <w:bottom w:val="single" w:color="auto" w:sz="4" w:space="0"/>
                  <w:right w:val="single" w:color="auto" w:sz="4" w:space="0"/>
                </w:tcBorders>
                <w:vAlign w:val="center"/>
              </w:tcPr>
              <w:p w14:paraId="10AFE0A2">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母公司对本企业的表决权比例</w:t>
                </w:r>
                <w:r>
                  <w:rPr>
                    <w:rFonts w:cs="Cambria"/>
                    <w:color w:val="000000" w:themeColor="text1"/>
                    <w14:textFill>
                      <w14:solidFill>
                        <w14:schemeClr w14:val="tx1"/>
                      </w14:solidFill>
                    </w14:textFill>
                  </w:rPr>
                  <w:t>(%)</w:t>
                </w:r>
              </w:p>
            </w:tc>
          </w:sdtContent>
        </w:sdt>
      </w:tr>
      <w:tr w14:paraId="39A5A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854" w:type="pct"/>
            <w:tcBorders>
              <w:top w:val="single" w:color="auto" w:sz="4" w:space="0"/>
              <w:left w:val="single" w:color="auto" w:sz="4" w:space="0"/>
              <w:bottom w:val="single" w:color="auto" w:sz="4" w:space="0"/>
              <w:right w:val="single" w:color="auto" w:sz="4" w:space="0"/>
            </w:tcBorders>
            <w:vAlign w:val="center"/>
          </w:tcPr>
          <w:p w14:paraId="082C2DE8">
            <w:pPr>
              <w:rPr>
                <w:rFonts w:cs="Cambria"/>
              </w:rPr>
            </w:pPr>
            <w:r>
              <w:rPr>
                <w:rFonts w:hint="eastAsia" w:ascii="宋体" w:hAnsi="宋体"/>
                <w:sz w:val="15"/>
                <w:szCs w:val="15"/>
              </w:rPr>
              <w:t>山东邱家实业有限公司</w:t>
            </w:r>
          </w:p>
        </w:tc>
        <w:tc>
          <w:tcPr>
            <w:tcW w:w="569" w:type="pct"/>
            <w:tcBorders>
              <w:top w:val="single" w:color="auto" w:sz="4" w:space="0"/>
              <w:left w:val="single" w:color="auto" w:sz="4" w:space="0"/>
              <w:bottom w:val="single" w:color="auto" w:sz="4" w:space="0"/>
              <w:right w:val="single" w:color="auto" w:sz="4" w:space="0"/>
            </w:tcBorders>
            <w:vAlign w:val="center"/>
          </w:tcPr>
          <w:p w14:paraId="21E9C871">
            <w:pPr>
              <w:rPr>
                <w:rFonts w:cs="Cambria"/>
              </w:rPr>
            </w:pPr>
            <w:r>
              <w:rPr>
                <w:rFonts w:hint="eastAsia" w:ascii="宋体" w:hAnsi="宋体"/>
                <w:sz w:val="15"/>
                <w:szCs w:val="15"/>
              </w:rPr>
              <w:t>荣成市虎山镇</w:t>
            </w:r>
          </w:p>
        </w:tc>
        <w:tc>
          <w:tcPr>
            <w:tcW w:w="1352" w:type="pct"/>
            <w:tcBorders>
              <w:top w:val="single" w:color="auto" w:sz="4" w:space="0"/>
              <w:left w:val="single" w:color="auto" w:sz="4" w:space="0"/>
              <w:bottom w:val="single" w:color="auto" w:sz="4" w:space="0"/>
              <w:right w:val="single" w:color="auto" w:sz="4" w:space="0"/>
            </w:tcBorders>
            <w:vAlign w:val="center"/>
          </w:tcPr>
          <w:p w14:paraId="20BB6281">
            <w:pPr>
              <w:rPr>
                <w:rFonts w:cs="Cambria"/>
              </w:rPr>
            </w:pPr>
            <w:r>
              <w:rPr>
                <w:rFonts w:hint="eastAsia" w:ascii="宋体" w:hAnsi="宋体"/>
                <w:sz w:val="15"/>
                <w:szCs w:val="15"/>
              </w:rPr>
              <w:t>批发零售金属材料、建筑材料、化工材料（不含化学危险品）日用百货，餐饮、住宿。</w:t>
            </w:r>
          </w:p>
        </w:tc>
        <w:tc>
          <w:tcPr>
            <w:tcW w:w="512" w:type="pct"/>
            <w:tcBorders>
              <w:top w:val="single" w:color="auto" w:sz="4" w:space="0"/>
              <w:left w:val="single" w:color="auto" w:sz="4" w:space="0"/>
              <w:bottom w:val="single" w:color="auto" w:sz="4" w:space="0"/>
              <w:right w:val="single" w:color="auto" w:sz="4" w:space="0"/>
            </w:tcBorders>
            <w:vAlign w:val="center"/>
          </w:tcPr>
          <w:p w14:paraId="4FBEC554">
            <w:pPr>
              <w:jc w:val="right"/>
              <w:rPr>
                <w:rFonts w:cs="Cambria"/>
              </w:rPr>
            </w:pPr>
            <w:r>
              <w:rPr>
                <w:sz w:val="15"/>
                <w:szCs w:val="15"/>
              </w:rPr>
              <w:t>49,390</w:t>
            </w:r>
          </w:p>
        </w:tc>
        <w:tc>
          <w:tcPr>
            <w:tcW w:w="824" w:type="pct"/>
            <w:tcBorders>
              <w:top w:val="single" w:color="auto" w:sz="4" w:space="0"/>
              <w:left w:val="single" w:color="auto" w:sz="4" w:space="0"/>
              <w:bottom w:val="single" w:color="auto" w:sz="4" w:space="0"/>
              <w:right w:val="single" w:color="auto" w:sz="4" w:space="0"/>
            </w:tcBorders>
            <w:vAlign w:val="center"/>
          </w:tcPr>
          <w:p w14:paraId="64A518E1">
            <w:pPr>
              <w:jc w:val="right"/>
              <w:rPr>
                <w:rFonts w:cs="Cambria"/>
              </w:rPr>
            </w:pPr>
            <w:r>
              <w:rPr>
                <w:rFonts w:hint="eastAsia"/>
                <w:sz w:val="15"/>
                <w:szCs w:val="15"/>
              </w:rPr>
              <w:t>57.25</w:t>
            </w:r>
          </w:p>
        </w:tc>
        <w:tc>
          <w:tcPr>
            <w:tcW w:w="888" w:type="pct"/>
            <w:tcBorders>
              <w:top w:val="single" w:color="auto" w:sz="4" w:space="0"/>
              <w:left w:val="single" w:color="auto" w:sz="4" w:space="0"/>
              <w:bottom w:val="single" w:color="auto" w:sz="4" w:space="0"/>
              <w:right w:val="single" w:color="auto" w:sz="4" w:space="0"/>
            </w:tcBorders>
            <w:vAlign w:val="center"/>
          </w:tcPr>
          <w:p w14:paraId="2CB86920">
            <w:pPr>
              <w:jc w:val="right"/>
              <w:rPr>
                <w:rFonts w:cs="Cambria"/>
              </w:rPr>
            </w:pPr>
            <w:r>
              <w:rPr>
                <w:rFonts w:hint="eastAsia"/>
                <w:sz w:val="15"/>
                <w:szCs w:val="15"/>
              </w:rPr>
              <w:t>57.25</w:t>
            </w:r>
          </w:p>
        </w:tc>
      </w:tr>
      <w:tr w14:paraId="1D3F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854" w:type="pct"/>
            <w:tcBorders>
              <w:top w:val="single" w:color="auto" w:sz="4" w:space="0"/>
              <w:left w:val="single" w:color="auto" w:sz="4" w:space="0"/>
              <w:bottom w:val="single" w:color="auto" w:sz="4" w:space="0"/>
              <w:right w:val="single" w:color="auto" w:sz="4" w:space="0"/>
            </w:tcBorders>
            <w:vAlign w:val="center"/>
          </w:tcPr>
          <w:p w14:paraId="2410BA0C">
            <w:pPr>
              <w:rPr>
                <w:rFonts w:cs="Cambria"/>
              </w:rPr>
            </w:pPr>
            <w:r>
              <w:rPr>
                <w:rFonts w:hint="eastAsia" w:ascii="宋体" w:hAnsi="宋体"/>
                <w:sz w:val="15"/>
                <w:szCs w:val="15"/>
              </w:rPr>
              <w:t>好当家集团有限公司</w:t>
            </w:r>
          </w:p>
        </w:tc>
        <w:tc>
          <w:tcPr>
            <w:tcW w:w="569" w:type="pct"/>
            <w:tcBorders>
              <w:top w:val="single" w:color="auto" w:sz="4" w:space="0"/>
              <w:left w:val="single" w:color="auto" w:sz="4" w:space="0"/>
              <w:bottom w:val="single" w:color="auto" w:sz="4" w:space="0"/>
              <w:right w:val="single" w:color="auto" w:sz="4" w:space="0"/>
            </w:tcBorders>
            <w:vAlign w:val="center"/>
          </w:tcPr>
          <w:p w14:paraId="30BE30DB">
            <w:pPr>
              <w:rPr>
                <w:rFonts w:cs="Cambria"/>
              </w:rPr>
            </w:pPr>
            <w:r>
              <w:rPr>
                <w:rFonts w:hint="eastAsia" w:ascii="宋体" w:hAnsi="宋体"/>
                <w:sz w:val="15"/>
                <w:szCs w:val="15"/>
              </w:rPr>
              <w:t>荣成市虎山镇</w:t>
            </w:r>
          </w:p>
        </w:tc>
        <w:tc>
          <w:tcPr>
            <w:tcW w:w="1352" w:type="pct"/>
            <w:tcBorders>
              <w:top w:val="single" w:color="auto" w:sz="4" w:space="0"/>
              <w:left w:val="single" w:color="auto" w:sz="4" w:space="0"/>
              <w:bottom w:val="single" w:color="auto" w:sz="4" w:space="0"/>
              <w:right w:val="single" w:color="auto" w:sz="4" w:space="0"/>
            </w:tcBorders>
            <w:vAlign w:val="center"/>
          </w:tcPr>
          <w:p w14:paraId="0B651AE0">
            <w:pPr>
              <w:rPr>
                <w:rFonts w:cs="Cambria"/>
              </w:rPr>
            </w:pPr>
            <w:r>
              <w:rPr>
                <w:rFonts w:hint="eastAsia" w:ascii="宋体" w:hAnsi="宋体"/>
                <w:sz w:val="15"/>
                <w:szCs w:val="15"/>
              </w:rPr>
              <w:t>速冻调制食品的加工与销售；零售煤炭，批发零售金属材料、五金交电化工（不含化学危险品）、百货；经营备案范围内的货物和技术的进出口业务；纸制品生产销售；普通货物仓储、塑料加工；水产品冷冻加工销售；零售石油制品（含铅汽油除外）；以下限分公司经营：污水处理；煤灰砖、混凝土砌块砖制造销售；港口货物装卸、驳运。</w:t>
            </w:r>
          </w:p>
        </w:tc>
        <w:tc>
          <w:tcPr>
            <w:tcW w:w="512" w:type="pct"/>
            <w:tcBorders>
              <w:top w:val="single" w:color="auto" w:sz="4" w:space="0"/>
              <w:left w:val="single" w:color="auto" w:sz="4" w:space="0"/>
              <w:bottom w:val="single" w:color="auto" w:sz="4" w:space="0"/>
              <w:right w:val="single" w:color="auto" w:sz="4" w:space="0"/>
            </w:tcBorders>
            <w:vAlign w:val="center"/>
          </w:tcPr>
          <w:p w14:paraId="40C4CAA2">
            <w:pPr>
              <w:jc w:val="right"/>
              <w:rPr>
                <w:rFonts w:cs="Cambria"/>
              </w:rPr>
            </w:pPr>
            <w:r>
              <w:rPr>
                <w:sz w:val="15"/>
                <w:szCs w:val="15"/>
              </w:rPr>
              <w:t>86,276</w:t>
            </w:r>
          </w:p>
        </w:tc>
        <w:tc>
          <w:tcPr>
            <w:tcW w:w="824" w:type="pct"/>
            <w:tcBorders>
              <w:top w:val="single" w:color="auto" w:sz="4" w:space="0"/>
              <w:left w:val="single" w:color="auto" w:sz="4" w:space="0"/>
              <w:bottom w:val="single" w:color="auto" w:sz="4" w:space="0"/>
              <w:right w:val="single" w:color="auto" w:sz="4" w:space="0"/>
            </w:tcBorders>
            <w:vAlign w:val="center"/>
          </w:tcPr>
          <w:p w14:paraId="589E78B9">
            <w:pPr>
              <w:jc w:val="right"/>
              <w:rPr>
                <w:rFonts w:cs="Cambria"/>
              </w:rPr>
            </w:pPr>
            <w:r>
              <w:rPr>
                <w:rFonts w:hint="eastAsia"/>
                <w:sz w:val="15"/>
                <w:szCs w:val="15"/>
              </w:rPr>
              <w:t>36.62</w:t>
            </w:r>
          </w:p>
        </w:tc>
        <w:tc>
          <w:tcPr>
            <w:tcW w:w="888" w:type="pct"/>
            <w:tcBorders>
              <w:top w:val="single" w:color="auto" w:sz="4" w:space="0"/>
              <w:left w:val="single" w:color="auto" w:sz="4" w:space="0"/>
              <w:bottom w:val="single" w:color="auto" w:sz="4" w:space="0"/>
              <w:right w:val="single" w:color="auto" w:sz="4" w:space="0"/>
            </w:tcBorders>
            <w:vAlign w:val="center"/>
          </w:tcPr>
          <w:p w14:paraId="528A432C">
            <w:pPr>
              <w:jc w:val="right"/>
              <w:rPr>
                <w:rFonts w:cs="Cambria"/>
              </w:rPr>
            </w:pPr>
            <w:r>
              <w:rPr>
                <w:rFonts w:hint="eastAsia"/>
                <w:sz w:val="15"/>
                <w:szCs w:val="15"/>
              </w:rPr>
              <w:t>36.62</w:t>
            </w:r>
          </w:p>
        </w:tc>
      </w:tr>
    </w:tbl>
    <w:p w14:paraId="349D6617">
      <w:pPr>
        <w:tabs>
          <w:tab w:val="left" w:pos="1134"/>
        </w:tabs>
        <w:spacing w:line="360" w:lineRule="auto"/>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本企业的母公司情况的说明</w:t>
      </w:r>
    </w:p>
    <w:sdt>
      <w:sdtPr>
        <w:rPr>
          <w:rFonts w:cs="Cambria"/>
          <w:color w:val="000000" w:themeColor="text1"/>
          <w14:textFill>
            <w14:solidFill>
              <w14:schemeClr w14:val="tx1"/>
            </w14:solidFill>
          </w14:textFill>
        </w:rPr>
        <w:alias w:val="本企业的母公司情况的说明"/>
        <w:tag w:val="_GBC_23f67537c1df4d9d9ede9fbc78ad06a4"/>
        <w:id w:val="-746652640"/>
        <w:placeholder>
          <w:docPart w:val="GBC22222222222222222222222222222"/>
        </w:placeholder>
      </w:sdtPr>
      <w:sdtEndPr>
        <w:rPr>
          <w:rFonts w:cs="Cambria"/>
          <w:color w:val="000000" w:themeColor="text1"/>
          <w14:textFill>
            <w14:solidFill>
              <w14:schemeClr w14:val="tx1"/>
            </w14:solidFill>
          </w14:textFill>
        </w:rPr>
      </w:sdtEndPr>
      <w:sdtContent>
        <w:p w14:paraId="15625421">
          <w:pPr>
            <w:tabs>
              <w:tab w:val="left" w:pos="1134"/>
            </w:tabs>
            <w:spacing w:line="360" w:lineRule="auto"/>
            <w:ind w:firstLine="420" w:firstLineChars="200"/>
            <w:rPr>
              <w:rFonts w:cs="Cambria"/>
              <w:color w:val="000000" w:themeColor="text1"/>
              <w14:textFill>
                <w14:solidFill>
                  <w14:schemeClr w14:val="tx1"/>
                </w14:solidFill>
              </w14:textFill>
            </w:rPr>
          </w:pPr>
          <w:sdt>
            <w:sdtPr>
              <w:rPr>
                <w:rFonts w:cs="Cambria"/>
                <w:color w:val="000000" w:themeColor="text1"/>
                <w14:textFill>
                  <w14:solidFill>
                    <w14:schemeClr w14:val="tx1"/>
                  </w14:solidFill>
                </w14:textFill>
              </w:rPr>
              <w:alias w:val="本企业的母公司情况的说明"/>
              <w:tag w:val="_GBC_23f67537c1df4d9d9ede9fbc78ad06a4"/>
              <w:id w:val="-1699151195"/>
            </w:sdtPr>
            <w:sdtEndPr>
              <w:rPr>
                <w:rFonts w:cs="Cambria"/>
                <w:color w:val="000000" w:themeColor="text1"/>
                <w14:textFill>
                  <w14:solidFill>
                    <w14:schemeClr w14:val="tx1"/>
                  </w14:solidFill>
                </w14:textFill>
              </w:rPr>
            </w:sdtEndPr>
            <w:sdtContent>
              <w:r>
                <w:rPr>
                  <w:rFonts w:hint="eastAsia" w:cs="Cambria"/>
                  <w:color w:val="000000" w:themeColor="text1"/>
                  <w14:textFill>
                    <w14:solidFill>
                      <w14:schemeClr w14:val="tx1"/>
                    </w14:solidFill>
                  </w14:textFill>
                </w:rPr>
                <w:t>本公司的控股股东为好当家集团有限公司</w:t>
              </w:r>
            </w:sdtContent>
          </w:sdt>
        </w:p>
      </w:sdtContent>
    </w:sdt>
    <w:p w14:paraId="78422C4F">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本企业最终控制方是</w:t>
      </w:r>
      <w:sdt>
        <w:sdtPr>
          <w:rPr>
            <w:rFonts w:hint="eastAsia"/>
            <w:color w:val="000000" w:themeColor="text1"/>
            <w14:textFill>
              <w14:solidFill>
                <w14:schemeClr w14:val="tx1"/>
              </w14:solidFill>
            </w14:textFill>
          </w:rPr>
          <w:alias w:val="本企业最终控制方"/>
          <w:tag w:val="_GBC_951a676520994ab7a3822c5f58c20b7d"/>
          <w:id w:val="-1080446503"/>
          <w:placeholder>
            <w:docPart w:val="GBC22222222222222222222222222222"/>
          </w:placeholder>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唐传勤</w:t>
          </w:r>
        </w:sdtContent>
      </w:sdt>
    </w:p>
    <w:p w14:paraId="1DAAC6FE">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本企业的母公司情况的其他说明"/>
        <w:tag w:val="_GBC_72b4ca7a02944263a74be4174baff4cf"/>
        <w:id w:val="1099760410"/>
        <w:placeholder>
          <w:docPart w:val="GBC22222222222222222222222222222"/>
        </w:placeholder>
      </w:sdtPr>
      <w:sdtEndPr>
        <w:rPr>
          <w:color w:val="000000" w:themeColor="text1"/>
          <w14:textFill>
            <w14:solidFill>
              <w14:schemeClr w14:val="tx1"/>
            </w14:solidFill>
          </w14:textFill>
        </w:rPr>
      </w:sdtEndPr>
      <w:sdtContent>
        <w:p w14:paraId="3BA0AE27">
          <w:pPr>
            <w:spacing w:line="360" w:lineRule="auto"/>
            <w:ind w:firstLine="420" w:firstLineChars="200"/>
            <w:rPr>
              <w:color w:val="000000" w:themeColor="text1"/>
              <w14:textFill>
                <w14:solidFill>
                  <w14:schemeClr w14:val="tx1"/>
                </w14:solidFill>
              </w14:textFill>
            </w:rPr>
          </w:pPr>
          <w:sdt>
            <w:sdtPr>
              <w:rPr>
                <w:color w:val="000000" w:themeColor="text1"/>
                <w14:textFill>
                  <w14:solidFill>
                    <w14:schemeClr w14:val="tx1"/>
                  </w14:solidFill>
                </w14:textFill>
              </w:rPr>
              <w:alias w:val="本企业的母公司情况的说明"/>
              <w:tag w:val="_GBC_23f67537c1df4d9d9ede9fbc78ad06a4"/>
              <w:id w:val="870107237"/>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唐传勤先生持有山东邱家实业有限公司73.25%的股权，山东邱家实业有限公司持有好当家集团有限公司57.25%的股权，好当家集团有限公司持有本公司36.62%的股权，因此本公司的最终实际控制人为唐传勤先生。</w:t>
              </w:r>
            </w:sdtContent>
          </w:sdt>
        </w:p>
      </w:sdtContent>
    </w:sdt>
    <w:p w14:paraId="1E45EAA2">
      <w:pPr>
        <w:rPr>
          <w:color w:val="000000" w:themeColor="text1"/>
          <w14:textFill>
            <w14:solidFill>
              <w14:schemeClr w14:val="tx1"/>
            </w14:solidFill>
          </w14:textFill>
        </w:rPr>
      </w:pPr>
    </w:p>
    <w:p w14:paraId="7B4701DE">
      <w:pPr>
        <w:pStyle w:val="4"/>
        <w:numPr>
          <w:ilvl w:val="0"/>
          <w:numId w:val="102"/>
        </w:numP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本企业的子公司情况</w:t>
      </w:r>
    </w:p>
    <w:p w14:paraId="6E1FAA9D">
      <w:pPr>
        <w:rPr>
          <w:color w:val="000000" w:themeColor="text1"/>
          <w14:textFill>
            <w14:solidFill>
              <w14:schemeClr w14:val="tx1"/>
            </w14:solidFill>
          </w14:textFill>
        </w:rPr>
      </w:pPr>
      <w:r>
        <w:rPr>
          <w:rFonts w:hint="eastAsia"/>
          <w:color w:val="000000" w:themeColor="text1"/>
          <w14:textFill>
            <w14:solidFill>
              <w14:schemeClr w14:val="tx1"/>
            </w14:solidFill>
          </w14:textFill>
        </w:rPr>
        <w:t>本企业子公司的情况详见附注</w:t>
      </w:r>
    </w:p>
    <w:sdt>
      <w:sdtPr>
        <w:rPr>
          <w:color w:val="000000" w:themeColor="text1"/>
          <w14:textFill>
            <w14:solidFill>
              <w14:schemeClr w14:val="tx1"/>
            </w14:solidFill>
          </w14:textFill>
        </w:rPr>
        <w:alias w:val="是否适用：本公司的子公司情况详见附注[双击切换]"/>
        <w:tag w:val="_GBC_a8d551b9f62149d3bf9322adae2c671f"/>
        <w:id w:val="1092587652"/>
        <w:placeholder>
          <w:docPart w:val="GBC22222222222222222222222222222"/>
        </w:placeholder>
      </w:sdtPr>
      <w:sdtEndPr>
        <w:rPr>
          <w:color w:val="000000" w:themeColor="text1"/>
          <w14:textFill>
            <w14:solidFill>
              <w14:schemeClr w14:val="tx1"/>
            </w14:solidFill>
          </w14:textFill>
        </w:rPr>
      </w:sdtEndPr>
      <w:sdtContent>
        <w:p w14:paraId="10FCF85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3CF3C74">
      <w:pPr>
        <w:tabs>
          <w:tab w:val="left" w:pos="1134"/>
        </w:tabs>
        <w:rPr>
          <w:rFonts w:cs="Cambria"/>
          <w:color w:val="000000" w:themeColor="text1"/>
          <w14:textFill>
            <w14:solidFill>
              <w14:schemeClr w14:val="tx1"/>
            </w14:solidFill>
          </w14:textFill>
        </w:rPr>
      </w:pPr>
    </w:p>
    <w:p w14:paraId="504EFFBD">
      <w:pPr>
        <w:pStyle w:val="4"/>
        <w:numPr>
          <w:ilvl w:val="0"/>
          <w:numId w:val="102"/>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本企业合营和联营企业情况</w:t>
      </w:r>
    </w:p>
    <w:p w14:paraId="01B5C816">
      <w:pPr>
        <w:rPr>
          <w:color w:val="000000" w:themeColor="text1"/>
          <w14:textFill>
            <w14:solidFill>
              <w14:schemeClr w14:val="tx1"/>
            </w14:solidFill>
          </w14:textFill>
        </w:rPr>
      </w:pPr>
      <w:r>
        <w:rPr>
          <w:rFonts w:hint="eastAsia"/>
          <w:color w:val="000000" w:themeColor="text1"/>
          <w14:textFill>
            <w14:solidFill>
              <w14:schemeClr w14:val="tx1"/>
            </w14:solidFill>
          </w14:textFill>
        </w:rPr>
        <w:t>本企业重要的合营或联营企业详见附注</w:t>
      </w:r>
    </w:p>
    <w:sdt>
      <w:sdtPr>
        <w:rPr>
          <w:color w:val="000000" w:themeColor="text1"/>
          <w14:textFill>
            <w14:solidFill>
              <w14:schemeClr w14:val="tx1"/>
            </w14:solidFill>
          </w14:textFill>
        </w:rPr>
        <w:alias w:val="是否适用：本企业重要的合营或联营企业详见附注[双击切换]"/>
        <w:tag w:val="_GBC_2a369d3377e94598b2a744dfe59973e2"/>
        <w:id w:val="1762325344"/>
        <w:placeholder>
          <w:docPart w:val="GBC22222222222222222222222222222"/>
        </w:placeholder>
      </w:sdtPr>
      <w:sdtEndPr>
        <w:rPr>
          <w:color w:val="000000" w:themeColor="text1"/>
          <w14:textFill>
            <w14:solidFill>
              <w14:schemeClr w14:val="tx1"/>
            </w14:solidFill>
          </w14:textFill>
        </w:rPr>
      </w:sdtEndPr>
      <w:sdtContent>
        <w:p w14:paraId="130B053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8D35C08">
      <w:pPr>
        <w:rPr>
          <w:color w:val="000000" w:themeColor="text1"/>
          <w14:textFill>
            <w14:solidFill>
              <w14:schemeClr w14:val="tx1"/>
            </w14:solidFill>
          </w14:textFill>
        </w:rPr>
      </w:pPr>
    </w:p>
    <w:p w14:paraId="4F7E64F7">
      <w:pPr>
        <w:rPr>
          <w:color w:val="000000" w:themeColor="text1"/>
          <w14:textFill>
            <w14:solidFill>
              <w14:schemeClr w14:val="tx1"/>
            </w14:solidFill>
          </w14:textFill>
        </w:rPr>
      </w:pPr>
      <w:r>
        <w:rPr>
          <w:rFonts w:hint="eastAsia"/>
          <w:color w:val="000000" w:themeColor="text1"/>
          <w14:textFill>
            <w14:solidFill>
              <w14:schemeClr w14:val="tx1"/>
            </w14:solidFill>
          </w14:textFill>
        </w:rPr>
        <w:t>本期与本公司发生关联方交易，或前期与本公司发生关联方交易形成余额的其他合营或联营企业情况如下</w:t>
      </w:r>
    </w:p>
    <w:sdt>
      <w:sdtPr>
        <w:rPr>
          <w:color w:val="000000" w:themeColor="text1"/>
          <w14:textFill>
            <w14:solidFill>
              <w14:schemeClr w14:val="tx1"/>
            </w14:solidFill>
          </w14:textFill>
        </w:rPr>
        <w:alias w:val="是否适用：本期与本公司发生关联方交易，或前期与本公司发生关联方交易形成余额的其他合营或联营企业情况如下[双击切换]"/>
        <w:tag w:val="_GBC_cab97913a7cc4573b25c34077eadbc4c"/>
        <w:id w:val="981191420"/>
        <w:placeholder>
          <w:docPart w:val="GBC22222222222222222222222222222"/>
        </w:placeholder>
      </w:sdtPr>
      <w:sdtEndPr>
        <w:rPr>
          <w:color w:val="000000" w:themeColor="text1"/>
          <w14:textFill>
            <w14:solidFill>
              <w14:schemeClr w14:val="tx1"/>
            </w14:solidFill>
          </w14:textFill>
        </w:rPr>
      </w:sdtEndPr>
      <w:sdtContent>
        <w:p w14:paraId="3EF42B33">
          <w:pPr>
            <w:rPr>
              <w:rFonts w:cs="Cambria"/>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D60B7D4">
      <w:pPr>
        <w:tabs>
          <w:tab w:val="left" w:pos="1134"/>
        </w:tabs>
        <w:rPr>
          <w:rFonts w:cs="Cambria"/>
          <w:color w:val="000000" w:themeColor="text1"/>
          <w14:textFill>
            <w14:solidFill>
              <w14:schemeClr w14:val="tx1"/>
            </w14:solidFill>
          </w14:textFill>
        </w:rPr>
      </w:pPr>
    </w:p>
    <w:p w14:paraId="72791C1A">
      <w:pPr>
        <w:tabs>
          <w:tab w:val="left" w:pos="1134"/>
        </w:tabs>
        <w:rPr>
          <w:rFonts w:cs="Cambria"/>
          <w:color w:val="000000" w:themeColor="text1"/>
          <w14:textFill>
            <w14:solidFill>
              <w14:schemeClr w14:val="tx1"/>
            </w14:solidFill>
          </w14:textFill>
        </w:rPr>
      </w:pPr>
    </w:p>
    <w:p w14:paraId="2B37F45A">
      <w:pPr>
        <w:pStyle w:val="4"/>
        <w:numPr>
          <w:ilvl w:val="0"/>
          <w:numId w:val="102"/>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其他关联方情况</w:t>
      </w:r>
    </w:p>
    <w:sdt>
      <w:sdtPr>
        <w:rPr>
          <w:color w:val="000000" w:themeColor="text1"/>
          <w14:textFill>
            <w14:solidFill>
              <w14:schemeClr w14:val="tx1"/>
            </w14:solidFill>
          </w14:textFill>
        </w:rPr>
        <w:alias w:val="是否适用：其他关联方情况[双击切换]"/>
        <w:tag w:val="_GBC_f9c029ef57734babb6375a74af1e3736"/>
        <w:id w:val="1899862089"/>
        <w:placeholder>
          <w:docPart w:val="GBC22222222222222222222222222222"/>
        </w:placeholder>
      </w:sdtPr>
      <w:sdtEndPr>
        <w:rPr>
          <w:color w:val="000000" w:themeColor="text1"/>
          <w14:textFill>
            <w14:solidFill>
              <w14:schemeClr w14:val="tx1"/>
            </w14:solidFill>
          </w14:textFill>
        </w:rPr>
      </w:sdtEndPr>
      <w:sdtContent>
        <w:p w14:paraId="1CA5F18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4292"/>
      </w:tblGrid>
      <w:tr w14:paraId="704B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sdt>
          <w:sdtPr>
            <w:tag w:val="_PLD_8fe00abbc9b249a98b2e3ac6b12f12db"/>
            <w:id w:val="-1710795832"/>
          </w:sdtPr>
          <w:sdtContent>
            <w:tc>
              <w:tcPr>
                <w:tcW w:w="2568" w:type="pct"/>
                <w:tcBorders>
                  <w:top w:val="single" w:color="auto" w:sz="4" w:space="0"/>
                  <w:left w:val="single" w:color="auto" w:sz="4" w:space="0"/>
                  <w:bottom w:val="single" w:color="auto" w:sz="4" w:space="0"/>
                  <w:right w:val="single" w:color="auto" w:sz="4" w:space="0"/>
                </w:tcBorders>
              </w:tcPr>
              <w:p w14:paraId="25303AF6">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其他关联方名称</w:t>
                </w:r>
              </w:p>
            </w:tc>
          </w:sdtContent>
        </w:sdt>
        <w:sdt>
          <w:sdtPr>
            <w:tag w:val="_PLD_c1304840da1e482f80286e0c7ca19002"/>
            <w:id w:val="1849373229"/>
          </w:sdtPr>
          <w:sdtContent>
            <w:tc>
              <w:tcPr>
                <w:tcW w:w="2432" w:type="pct"/>
                <w:tcBorders>
                  <w:top w:val="single" w:color="auto" w:sz="4" w:space="0"/>
                  <w:left w:val="single" w:color="auto" w:sz="4" w:space="0"/>
                  <w:bottom w:val="single" w:color="auto" w:sz="4" w:space="0"/>
                  <w:right w:val="single" w:color="auto" w:sz="4" w:space="0"/>
                </w:tcBorders>
              </w:tcPr>
              <w:p w14:paraId="4652C490">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其他关联方与本企业关系</w:t>
                </w:r>
              </w:p>
            </w:tc>
          </w:sdtContent>
        </w:sdt>
      </w:tr>
      <w:tr w14:paraId="770D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1DDE0345">
            <w:pPr>
              <w:rPr>
                <w:rFonts w:cs="Cambria"/>
              </w:rPr>
            </w:pPr>
            <w:r>
              <w:rPr>
                <w:rFonts w:hint="eastAsia" w:ascii="宋体" w:hAnsi="宋体"/>
                <w:bCs w:val="0"/>
                <w:sz w:val="18"/>
                <w:szCs w:val="18"/>
              </w:rPr>
              <w:t>田锦霞</w:t>
            </w:r>
          </w:p>
        </w:tc>
        <w:tc>
          <w:tcPr>
            <w:tcW w:w="2432" w:type="pct"/>
            <w:tcBorders>
              <w:top w:val="single" w:color="auto" w:sz="4" w:space="0"/>
              <w:left w:val="single" w:color="auto" w:sz="4" w:space="0"/>
              <w:bottom w:val="single" w:color="auto" w:sz="4" w:space="0"/>
              <w:right w:val="single" w:color="auto" w:sz="4" w:space="0"/>
            </w:tcBorders>
            <w:vAlign w:val="center"/>
          </w:tcPr>
          <w:p w14:paraId="69302523">
            <w:pPr>
              <w:rPr>
                <w:rFonts w:cs="Cambria"/>
                <w:color w:val="000000" w:themeColor="text1"/>
                <w14:textFill>
                  <w14:solidFill>
                    <w14:schemeClr w14:val="tx1"/>
                  </w14:solidFill>
                </w14:textFill>
              </w:rPr>
            </w:pPr>
            <w:r>
              <w:rPr>
                <w:rFonts w:hint="eastAsia" w:ascii="宋体" w:hAnsi="宋体"/>
                <w:bCs w:val="0"/>
                <w:sz w:val="18"/>
                <w:szCs w:val="18"/>
              </w:rPr>
              <w:t>实际控制人配偶</w:t>
            </w:r>
          </w:p>
        </w:tc>
      </w:tr>
      <w:tr w14:paraId="2375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5E81C445">
            <w:pPr>
              <w:rPr>
                <w:rFonts w:cs="Cambria"/>
              </w:rPr>
            </w:pPr>
            <w:r>
              <w:rPr>
                <w:rFonts w:hint="eastAsia" w:ascii="宋体" w:hAnsi="宋体"/>
                <w:sz w:val="18"/>
                <w:szCs w:val="18"/>
              </w:rPr>
              <w:t>荣成荣安建筑工程有限公司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33537325">
            <w:pPr>
              <w:rPr>
                <w:rFonts w:cs="Cambria"/>
                <w:color w:val="000000" w:themeColor="text1"/>
                <w14:textFill>
                  <w14:solidFill>
                    <w14:schemeClr w14:val="tx1"/>
                  </w14:solidFill>
                </w14:textFill>
              </w:rPr>
            </w:pPr>
            <w:r>
              <w:rPr>
                <w:rFonts w:hint="eastAsia" w:ascii="宋体" w:hAnsi="宋体"/>
                <w:sz w:val="18"/>
                <w:szCs w:val="18"/>
              </w:rPr>
              <w:t>同受唐传勤先生影响</w:t>
            </w:r>
          </w:p>
        </w:tc>
      </w:tr>
      <w:tr w14:paraId="7D5B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5C3657FE">
            <w:pPr>
              <w:rPr>
                <w:rFonts w:cs="Cambria"/>
              </w:rPr>
            </w:pPr>
            <w:r>
              <w:rPr>
                <w:rFonts w:hint="eastAsia" w:ascii="宋体" w:hAnsi="宋体"/>
                <w:sz w:val="18"/>
                <w:szCs w:val="18"/>
              </w:rPr>
              <w:t>荣成加荣食品有限公司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2BDAA0EA">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3E9E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4FDA85FB">
            <w:pPr>
              <w:rPr>
                <w:rFonts w:cs="Cambria"/>
              </w:rPr>
            </w:pPr>
            <w:r>
              <w:rPr>
                <w:rFonts w:hint="eastAsia" w:ascii="宋体" w:hAnsi="宋体"/>
                <w:sz w:val="18"/>
                <w:szCs w:val="18"/>
              </w:rPr>
              <w:t>荣成荣盛包装材料有限公司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0D52DAC2">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50C4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0A6B95E8">
            <w:pPr>
              <w:rPr>
                <w:rFonts w:cs="Cambria"/>
              </w:rPr>
            </w:pPr>
            <w:r>
              <w:rPr>
                <w:rFonts w:hint="eastAsia" w:ascii="宋体" w:hAnsi="宋体"/>
                <w:sz w:val="18"/>
                <w:szCs w:val="18"/>
              </w:rPr>
              <w:t>荣成荣昌纸制品有限公司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5C62AE43">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2A29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2EF18914">
            <w:pPr>
              <w:rPr>
                <w:rFonts w:cs="Cambria"/>
              </w:rPr>
            </w:pPr>
            <w:r>
              <w:rPr>
                <w:rFonts w:hint="eastAsia" w:ascii="宋体" w:hAnsi="宋体"/>
                <w:sz w:val="18"/>
                <w:szCs w:val="18"/>
              </w:rPr>
              <w:t>荣成邱家水产有限公司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03247F03">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21F2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69E571F2">
            <w:pPr>
              <w:rPr>
                <w:rFonts w:cs="Cambria"/>
              </w:rPr>
            </w:pPr>
            <w:r>
              <w:rPr>
                <w:rFonts w:hint="eastAsia" w:ascii="宋体" w:hAnsi="宋体"/>
                <w:sz w:val="18"/>
                <w:szCs w:val="18"/>
              </w:rPr>
              <w:t xml:space="preserve">威海好当家天海湾水城旅游服务有限公司 </w:t>
            </w:r>
          </w:p>
        </w:tc>
        <w:tc>
          <w:tcPr>
            <w:tcW w:w="2432" w:type="pct"/>
            <w:tcBorders>
              <w:top w:val="single" w:color="auto" w:sz="4" w:space="0"/>
              <w:left w:val="single" w:color="auto" w:sz="4" w:space="0"/>
              <w:bottom w:val="single" w:color="auto" w:sz="4" w:space="0"/>
              <w:right w:val="single" w:color="auto" w:sz="4" w:space="0"/>
            </w:tcBorders>
            <w:vAlign w:val="center"/>
          </w:tcPr>
          <w:p w14:paraId="22513F36">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0648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2F9D7B65">
            <w:pPr>
              <w:rPr>
                <w:rFonts w:cs="Cambria"/>
              </w:rPr>
            </w:pPr>
            <w:r>
              <w:rPr>
                <w:rFonts w:hint="eastAsia" w:ascii="宋体" w:hAnsi="宋体"/>
                <w:sz w:val="18"/>
                <w:szCs w:val="18"/>
              </w:rPr>
              <w:t>荣成源运水产有限公司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4793A5B0">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5297A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06FCA928">
            <w:pPr>
              <w:rPr>
                <w:rFonts w:cs="Cambria"/>
              </w:rPr>
            </w:pPr>
            <w:r>
              <w:rPr>
                <w:rFonts w:hint="eastAsia" w:ascii="宋体" w:hAnsi="宋体"/>
                <w:sz w:val="18"/>
                <w:szCs w:val="18"/>
              </w:rPr>
              <w:t>荣成荣研食品有限公司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25F2118A">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5C5C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16BCEA8B">
            <w:pPr>
              <w:rPr>
                <w:rFonts w:cs="Cambria"/>
              </w:rPr>
            </w:pPr>
            <w:r>
              <w:rPr>
                <w:rFonts w:hint="eastAsia" w:ascii="宋体" w:hAnsi="宋体"/>
                <w:sz w:val="18"/>
                <w:szCs w:val="18"/>
              </w:rPr>
              <w:t>荣成海盛纸业有限公司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687E9D14">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6C4A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7196A9F8">
            <w:pPr>
              <w:rPr>
                <w:rFonts w:cs="Cambria"/>
              </w:rPr>
            </w:pPr>
            <w:r>
              <w:rPr>
                <w:rFonts w:hint="eastAsia" w:ascii="宋体" w:hAnsi="宋体"/>
                <w:sz w:val="18"/>
                <w:szCs w:val="18"/>
              </w:rPr>
              <w:t>荣成好当家房地产开发有限公司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3C03791E">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3597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2C5F222A">
            <w:pPr>
              <w:rPr>
                <w:rFonts w:cs="Cambria"/>
              </w:rPr>
            </w:pPr>
            <w:r>
              <w:rPr>
                <w:rFonts w:hint="eastAsia" w:ascii="宋体" w:hAnsi="宋体"/>
                <w:sz w:val="18"/>
                <w:szCs w:val="18"/>
              </w:rPr>
              <w:t>荣成好和玻璃钢制品有限公司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58AE664B">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01246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5DC5D703">
            <w:pPr>
              <w:rPr>
                <w:rFonts w:cs="Cambria"/>
              </w:rPr>
            </w:pPr>
            <w:r>
              <w:rPr>
                <w:rFonts w:hint="eastAsia" w:ascii="宋体" w:hAnsi="宋体"/>
                <w:sz w:val="18"/>
                <w:szCs w:val="18"/>
              </w:rPr>
              <w:t>好当家集团（荣成）国际旅行社有限公司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09D6666F">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136A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324F10C5">
            <w:pPr>
              <w:rPr>
                <w:rFonts w:cs="Cambria"/>
              </w:rPr>
            </w:pPr>
            <w:r>
              <w:rPr>
                <w:rFonts w:hint="eastAsia" w:ascii="宋体" w:hAnsi="宋体"/>
                <w:sz w:val="18"/>
                <w:szCs w:val="18"/>
              </w:rPr>
              <w:t>好当家集团（荣成）海陆通集装箱运输有限公司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1E43358D">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70345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305C9C80">
            <w:pPr>
              <w:rPr>
                <w:rFonts w:cs="Cambria"/>
              </w:rPr>
            </w:pPr>
            <w:r>
              <w:rPr>
                <w:rFonts w:hint="eastAsia" w:ascii="宋体" w:hAnsi="宋体"/>
                <w:sz w:val="18"/>
                <w:szCs w:val="18"/>
              </w:rPr>
              <w:t>山东惠民好当家食品有限公司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6BECA2F4">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1FBC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57BA6008">
            <w:pPr>
              <w:rPr>
                <w:rFonts w:cs="Cambria"/>
              </w:rPr>
            </w:pPr>
            <w:r>
              <w:rPr>
                <w:rFonts w:hint="eastAsia" w:ascii="宋体" w:hAnsi="宋体"/>
                <w:sz w:val="18"/>
                <w:szCs w:val="18"/>
              </w:rPr>
              <w:t>好当家集团（威海）威盛包装印刷有限公司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2402EFF8">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37B8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6CB4C746">
            <w:pPr>
              <w:rPr>
                <w:rFonts w:cs="Cambria"/>
              </w:rPr>
            </w:pPr>
            <w:r>
              <w:rPr>
                <w:rFonts w:hint="eastAsia" w:ascii="宋体" w:hAnsi="宋体"/>
                <w:sz w:val="18"/>
                <w:szCs w:val="18"/>
              </w:rPr>
              <w:t>荣成禾茂海洋生物制品有限公司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6E4DBF7D">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6BCC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4F1E3C3D">
            <w:pPr>
              <w:rPr>
                <w:rFonts w:cs="Cambria"/>
              </w:rPr>
            </w:pPr>
            <w:r>
              <w:rPr>
                <w:rFonts w:hint="eastAsia" w:ascii="宋体" w:hAnsi="宋体"/>
                <w:sz w:val="18"/>
                <w:szCs w:val="18"/>
              </w:rPr>
              <w:t>荣成市好当家物业服务有限公司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55F9D0D1">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5963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5017392A">
            <w:pPr>
              <w:rPr>
                <w:rFonts w:cs="Cambria"/>
              </w:rPr>
            </w:pPr>
            <w:r>
              <w:rPr>
                <w:rFonts w:hint="eastAsia" w:ascii="宋体" w:hAnsi="宋体"/>
                <w:sz w:val="18"/>
                <w:szCs w:val="18"/>
              </w:rPr>
              <w:t>荣成兴盛房地产开发有限公司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25F8EB2F">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6C01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080D3490">
            <w:pPr>
              <w:rPr>
                <w:rFonts w:cs="Cambria"/>
              </w:rPr>
            </w:pPr>
            <w:r>
              <w:rPr>
                <w:rFonts w:hint="eastAsia" w:ascii="宋体" w:hAnsi="宋体"/>
                <w:sz w:val="18"/>
                <w:szCs w:val="18"/>
              </w:rPr>
              <w:t>荣成好当家天海湾休闲垂钓有限公司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7DA6330E">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009D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60386AC3">
            <w:pPr>
              <w:rPr>
                <w:rFonts w:cs="Cambria"/>
              </w:rPr>
            </w:pPr>
            <w:r>
              <w:rPr>
                <w:rFonts w:hint="eastAsia" w:ascii="宋体" w:hAnsi="宋体"/>
                <w:sz w:val="18"/>
                <w:szCs w:val="18"/>
              </w:rPr>
              <w:t>荣成市好当家典当有限公司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6F649460">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24EB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61CC5616">
            <w:pPr>
              <w:rPr>
                <w:rFonts w:cs="Cambria"/>
              </w:rPr>
            </w:pPr>
            <w:r>
              <w:rPr>
                <w:rFonts w:hint="eastAsia" w:ascii="宋体" w:hAnsi="宋体"/>
                <w:sz w:val="18"/>
                <w:szCs w:val="18"/>
              </w:rPr>
              <w:t>宜丰县物宝矿业有限公司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770F66E6">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2999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0172F650">
            <w:pPr>
              <w:rPr>
                <w:rFonts w:cs="Cambria"/>
              </w:rPr>
            </w:pPr>
            <w:r>
              <w:rPr>
                <w:rFonts w:hint="eastAsia" w:ascii="宋体" w:hAnsi="宋体"/>
                <w:sz w:val="18"/>
                <w:szCs w:val="18"/>
              </w:rPr>
              <w:t>宜丰县物华矿业有限公司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32600B2B">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770B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70EE62AB">
            <w:pPr>
              <w:rPr>
                <w:rFonts w:cs="Cambria"/>
              </w:rPr>
            </w:pPr>
            <w:r>
              <w:rPr>
                <w:rFonts w:hint="eastAsia" w:ascii="宋体" w:hAnsi="宋体"/>
                <w:sz w:val="18"/>
                <w:szCs w:val="18"/>
              </w:rPr>
              <w:t>荣成好当家工程建设有限公司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044C1D41">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501E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70752330">
            <w:pPr>
              <w:rPr>
                <w:rFonts w:cs="Cambria"/>
              </w:rPr>
            </w:pPr>
            <w:r>
              <w:rPr>
                <w:rFonts w:hint="eastAsia" w:ascii="宋体" w:hAnsi="宋体"/>
                <w:sz w:val="18"/>
                <w:szCs w:val="18"/>
              </w:rPr>
              <w:t>荣成好当家天海湾养老服务有限公司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58D3CAF8">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58C0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3300F715">
            <w:pPr>
              <w:rPr>
                <w:rFonts w:cs="Cambria"/>
              </w:rPr>
            </w:pPr>
            <w:r>
              <w:rPr>
                <w:rFonts w:hint="eastAsia" w:ascii="宋体" w:hAnsi="宋体"/>
                <w:sz w:val="18"/>
                <w:szCs w:val="18"/>
              </w:rPr>
              <w:t xml:space="preserve">威海好当家调味品有限公司 </w:t>
            </w:r>
          </w:p>
        </w:tc>
        <w:tc>
          <w:tcPr>
            <w:tcW w:w="2432" w:type="pct"/>
            <w:tcBorders>
              <w:top w:val="single" w:color="auto" w:sz="4" w:space="0"/>
              <w:left w:val="single" w:color="auto" w:sz="4" w:space="0"/>
              <w:bottom w:val="single" w:color="auto" w:sz="4" w:space="0"/>
              <w:right w:val="single" w:color="auto" w:sz="4" w:space="0"/>
            </w:tcBorders>
            <w:vAlign w:val="center"/>
          </w:tcPr>
          <w:p w14:paraId="4713AC28">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4587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0B6D8AE5">
            <w:pPr>
              <w:rPr>
                <w:rFonts w:cs="Cambria"/>
              </w:rPr>
            </w:pPr>
            <w:r>
              <w:rPr>
                <w:rFonts w:hint="eastAsia" w:ascii="宋体" w:hAnsi="宋体"/>
                <w:sz w:val="18"/>
                <w:szCs w:val="18"/>
              </w:rPr>
              <w:t>荣成市好当家海洋健康产业有限公司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047632CF">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48A0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224333AD">
            <w:pPr>
              <w:rPr>
                <w:rFonts w:cs="Cambria"/>
              </w:rPr>
            </w:pPr>
            <w:r>
              <w:rPr>
                <w:rFonts w:hint="eastAsia" w:ascii="宋体" w:hAnsi="宋体"/>
                <w:sz w:val="18"/>
                <w:szCs w:val="18"/>
              </w:rPr>
              <w:t>荣成好当家废旧物资回收有限公司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07224440">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6CDB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4D4C6897">
            <w:pPr>
              <w:rPr>
                <w:rFonts w:cs="Cambria"/>
              </w:rPr>
            </w:pPr>
            <w:r>
              <w:rPr>
                <w:rFonts w:hint="eastAsia" w:ascii="宋体" w:hAnsi="宋体"/>
                <w:sz w:val="18"/>
                <w:szCs w:val="18"/>
              </w:rPr>
              <w:t>好当家</w:t>
            </w:r>
            <w:r>
              <w:rPr>
                <w:rFonts w:hint="eastAsia"/>
                <w:sz w:val="18"/>
                <w:szCs w:val="18"/>
              </w:rPr>
              <w:t>(</w:t>
            </w:r>
            <w:r>
              <w:rPr>
                <w:rFonts w:hint="eastAsia" w:ascii="宋体" w:hAnsi="宋体"/>
                <w:sz w:val="18"/>
                <w:szCs w:val="18"/>
              </w:rPr>
              <w:t>乳山</w:t>
            </w:r>
            <w:r>
              <w:rPr>
                <w:rFonts w:hint="eastAsia"/>
                <w:sz w:val="18"/>
                <w:szCs w:val="18"/>
              </w:rPr>
              <w:t>)</w:t>
            </w:r>
            <w:r>
              <w:rPr>
                <w:rFonts w:hint="eastAsia" w:ascii="宋体" w:hAnsi="宋体"/>
                <w:sz w:val="18"/>
                <w:szCs w:val="18"/>
              </w:rPr>
              <w:t>万盛生物科技有限公司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07554240">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7EC7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0E9B1CA9">
            <w:pPr>
              <w:rPr>
                <w:rFonts w:cs="Cambria"/>
              </w:rPr>
            </w:pPr>
            <w:r>
              <w:rPr>
                <w:rFonts w:hint="eastAsia" w:ascii="宋体" w:hAnsi="宋体"/>
                <w:sz w:val="18"/>
                <w:szCs w:val="18"/>
              </w:rPr>
              <w:t>好当家东方水产食品有限公司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6FA74321">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3693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0E53E41B">
            <w:pPr>
              <w:rPr>
                <w:rFonts w:cs="Cambria"/>
              </w:rPr>
            </w:pPr>
            <w:r>
              <w:rPr>
                <w:rFonts w:hint="eastAsia" w:ascii="宋体" w:hAnsi="宋体"/>
                <w:sz w:val="18"/>
                <w:szCs w:val="18"/>
              </w:rPr>
              <w:t>好当家东方饲料有限公司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43628BA4">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2675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5B4D5705">
            <w:pPr>
              <w:rPr>
                <w:rFonts w:cs="Cambria"/>
              </w:rPr>
            </w:pPr>
            <w:r>
              <w:rPr>
                <w:rFonts w:hint="eastAsia" w:ascii="宋体" w:hAnsi="宋体"/>
                <w:sz w:val="18"/>
                <w:szCs w:val="18"/>
              </w:rPr>
              <w:t>好当家昌江水产开发有限公司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41103960">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1259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0B858807">
            <w:pPr>
              <w:rPr>
                <w:rFonts w:cs="Cambria"/>
              </w:rPr>
            </w:pPr>
            <w:r>
              <w:rPr>
                <w:rFonts w:hint="eastAsia" w:ascii="宋体" w:hAnsi="宋体"/>
                <w:sz w:val="18"/>
                <w:szCs w:val="18"/>
              </w:rPr>
              <w:t>东方市好当家高坡岭温泉山庄有限公司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1CC02506">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5960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0EFD19BD">
            <w:pPr>
              <w:rPr>
                <w:rFonts w:cs="Cambria"/>
              </w:rPr>
            </w:pPr>
            <w:r>
              <w:rPr>
                <w:rFonts w:hint="eastAsia" w:ascii="宋体" w:hAnsi="宋体"/>
                <w:sz w:val="18"/>
                <w:szCs w:val="18"/>
              </w:rPr>
              <w:t>成都好逸泰商贸有限公司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1ED12AB9">
            <w:pPr>
              <w:rPr>
                <w:rFonts w:cs="Cambria"/>
                <w:color w:val="000000" w:themeColor="text1"/>
                <w14:textFill>
                  <w14:solidFill>
                    <w14:schemeClr w14:val="tx1"/>
                  </w14:solidFill>
                </w14:textFill>
              </w:rPr>
            </w:pPr>
            <w:r>
              <w:rPr>
                <w:rFonts w:hint="eastAsia" w:ascii="宋体" w:hAnsi="宋体"/>
                <w:sz w:val="18"/>
                <w:szCs w:val="18"/>
              </w:rPr>
              <w:t>控股股东的合营企业</w:t>
            </w:r>
          </w:p>
        </w:tc>
      </w:tr>
      <w:tr w14:paraId="0F83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7D99D78A">
            <w:pPr>
              <w:rPr>
                <w:rFonts w:cs="Cambria"/>
              </w:rPr>
            </w:pPr>
            <w:r>
              <w:rPr>
                <w:rFonts w:hint="eastAsia" w:ascii="宋体" w:hAnsi="宋体"/>
                <w:sz w:val="18"/>
                <w:szCs w:val="18"/>
              </w:rPr>
              <w:t>山东唐嘉实业发展有限公司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11EEC18C">
            <w:pPr>
              <w:rPr>
                <w:rFonts w:cs="Cambria"/>
                <w:color w:val="000000" w:themeColor="text1"/>
                <w14:textFill>
                  <w14:solidFill>
                    <w14:schemeClr w14:val="tx1"/>
                  </w14:solidFill>
                </w14:textFill>
              </w:rPr>
            </w:pPr>
            <w:r>
              <w:rPr>
                <w:rFonts w:hint="eastAsia" w:ascii="宋体" w:hAnsi="宋体"/>
                <w:sz w:val="18"/>
                <w:szCs w:val="18"/>
              </w:rPr>
              <w:t>控股股东的合营企业</w:t>
            </w:r>
          </w:p>
        </w:tc>
      </w:tr>
      <w:tr w14:paraId="41C3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43C69B99">
            <w:pPr>
              <w:rPr>
                <w:rFonts w:cs="Cambria"/>
              </w:rPr>
            </w:pPr>
            <w:r>
              <w:rPr>
                <w:rFonts w:hint="eastAsia" w:ascii="宋体" w:hAnsi="宋体"/>
                <w:sz w:val="18"/>
                <w:szCs w:val="18"/>
              </w:rPr>
              <w:t>荣成市好当家小额贷款有限公司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354C0E08">
            <w:pPr>
              <w:rPr>
                <w:rFonts w:cs="Cambria"/>
                <w:color w:val="000000" w:themeColor="text1"/>
                <w14:textFill>
                  <w14:solidFill>
                    <w14:schemeClr w14:val="tx1"/>
                  </w14:solidFill>
                </w14:textFill>
              </w:rPr>
            </w:pPr>
            <w:r>
              <w:rPr>
                <w:rFonts w:hint="eastAsia" w:ascii="宋体" w:hAnsi="宋体"/>
                <w:sz w:val="18"/>
                <w:szCs w:val="18"/>
              </w:rPr>
              <w:t>控股股东的联营企业</w:t>
            </w:r>
          </w:p>
        </w:tc>
      </w:tr>
      <w:tr w14:paraId="17C1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6B86E1AC">
            <w:pPr>
              <w:rPr>
                <w:rFonts w:cs="Cambria"/>
              </w:rPr>
            </w:pPr>
            <w:r>
              <w:rPr>
                <w:rFonts w:hint="eastAsia" w:ascii="宋体" w:hAnsi="宋体"/>
                <w:sz w:val="18"/>
                <w:szCs w:val="18"/>
              </w:rPr>
              <w:t>荣成市荣航安装有限公司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308C771A">
            <w:pPr>
              <w:rPr>
                <w:rFonts w:cs="Cambria"/>
                <w:color w:val="000000" w:themeColor="text1"/>
                <w14:textFill>
                  <w14:solidFill>
                    <w14:schemeClr w14:val="tx1"/>
                  </w14:solidFill>
                </w14:textFill>
              </w:rPr>
            </w:pPr>
            <w:r>
              <w:rPr>
                <w:rFonts w:hint="eastAsia" w:ascii="宋体" w:hAnsi="宋体"/>
                <w:sz w:val="18"/>
                <w:szCs w:val="18"/>
              </w:rPr>
              <w:t>受同一公司控制</w:t>
            </w:r>
          </w:p>
        </w:tc>
      </w:tr>
      <w:tr w14:paraId="115E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8" w:type="pct"/>
            <w:tcBorders>
              <w:top w:val="single" w:color="auto" w:sz="4" w:space="0"/>
              <w:left w:val="single" w:color="auto" w:sz="4" w:space="0"/>
              <w:bottom w:val="single" w:color="auto" w:sz="4" w:space="0"/>
              <w:right w:val="single" w:color="auto" w:sz="4" w:space="0"/>
            </w:tcBorders>
            <w:vAlign w:val="center"/>
          </w:tcPr>
          <w:p w14:paraId="009AAABE">
            <w:pPr>
              <w:rPr>
                <w:rFonts w:cs="Cambria"/>
              </w:rPr>
            </w:pPr>
            <w:r>
              <w:rPr>
                <w:rFonts w:hint="eastAsia" w:ascii="宋体" w:hAnsi="宋体"/>
                <w:sz w:val="18"/>
                <w:szCs w:val="18"/>
              </w:rPr>
              <w:t>荣成好当家溴盐温泉度假有限公司</w:t>
            </w:r>
          </w:p>
        </w:tc>
        <w:tc>
          <w:tcPr>
            <w:tcW w:w="2432" w:type="pct"/>
            <w:tcBorders>
              <w:top w:val="single" w:color="auto" w:sz="4" w:space="0"/>
              <w:left w:val="single" w:color="auto" w:sz="4" w:space="0"/>
              <w:bottom w:val="single" w:color="auto" w:sz="4" w:space="0"/>
              <w:right w:val="single" w:color="auto" w:sz="4" w:space="0"/>
            </w:tcBorders>
            <w:vAlign w:val="center"/>
          </w:tcPr>
          <w:p w14:paraId="4894D938">
            <w:pPr>
              <w:rPr>
                <w:rFonts w:cs="Cambria"/>
                <w:color w:val="000000" w:themeColor="text1"/>
                <w14:textFill>
                  <w14:solidFill>
                    <w14:schemeClr w14:val="tx1"/>
                  </w14:solidFill>
                </w14:textFill>
              </w:rPr>
            </w:pPr>
            <w:r>
              <w:rPr>
                <w:rFonts w:hint="eastAsia" w:ascii="宋体" w:hAnsi="宋体"/>
                <w:sz w:val="18"/>
                <w:szCs w:val="18"/>
              </w:rPr>
              <w:t>受同一公司控制</w:t>
            </w:r>
          </w:p>
        </w:tc>
      </w:tr>
    </w:tbl>
    <w:p w14:paraId="307A0C17">
      <w:pPr>
        <w:tabs>
          <w:tab w:val="left" w:pos="1134"/>
        </w:tabs>
        <w:spacing w:line="360" w:lineRule="auto"/>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其他说明</w:t>
      </w:r>
    </w:p>
    <w:sdt>
      <w:sdtPr>
        <w:rPr>
          <w:rFonts w:cs="Cambria"/>
          <w:color w:val="000000" w:themeColor="text1"/>
          <w14:textFill>
            <w14:solidFill>
              <w14:schemeClr w14:val="tx1"/>
            </w14:solidFill>
          </w14:textFill>
        </w:rPr>
        <w:alias w:val="本企业的其他关联方情况的说明"/>
        <w:tag w:val="_GBC_214bcb1375e347c4be22006f5cc854a9"/>
        <w:id w:val="-1168165525"/>
        <w:placeholder>
          <w:docPart w:val="GBC22222222222222222222222222222"/>
        </w:placeholder>
      </w:sdtPr>
      <w:sdtEndPr>
        <w:rPr>
          <w:rFonts w:cs="Cambria"/>
          <w:color w:val="000000" w:themeColor="text1"/>
          <w14:textFill>
            <w14:solidFill>
              <w14:schemeClr w14:val="tx1"/>
            </w14:solidFill>
          </w14:textFill>
        </w:rPr>
      </w:sdtEndPr>
      <w:sdtContent>
        <w:p w14:paraId="774E167C">
          <w:pPr>
            <w:tabs>
              <w:tab w:val="left" w:pos="1134"/>
            </w:tabs>
            <w:spacing w:line="360" w:lineRule="auto"/>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无</w:t>
          </w:r>
        </w:p>
      </w:sdtContent>
    </w:sdt>
    <w:p w14:paraId="09C17E0C">
      <w:pPr>
        <w:pStyle w:val="4"/>
        <w:numPr>
          <w:ilvl w:val="0"/>
          <w:numId w:val="102"/>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关联交易情况</w:t>
      </w:r>
    </w:p>
    <w:p w14:paraId="5F0D5485">
      <w:pPr>
        <w:pStyle w:val="5"/>
        <w:numPr>
          <w:ilvl w:val="0"/>
          <w:numId w:val="103"/>
        </w:numPr>
        <w:tabs>
          <w:tab w:val="left" w:pos="616"/>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购销商品、提供和接受劳务的关联交易</w:t>
      </w:r>
    </w:p>
    <w:p w14:paraId="1D705B12">
      <w:pPr>
        <w:rPr>
          <w:color w:val="000000" w:themeColor="text1"/>
          <w14:textFill>
            <w14:solidFill>
              <w14:schemeClr w14:val="tx1"/>
            </w14:solidFill>
          </w14:textFill>
        </w:rPr>
      </w:pPr>
      <w:bookmarkStart w:id="399" w:name="_Hlk137124040"/>
      <w:r>
        <w:rPr>
          <w:rFonts w:hint="eastAsia"/>
          <w:color w:val="000000" w:themeColor="text1"/>
          <w14:textFill>
            <w14:solidFill>
              <w14:schemeClr w14:val="tx1"/>
            </w14:solidFill>
          </w14:textFill>
        </w:rPr>
        <w:t>采购商品/接受劳务情况表</w:t>
      </w:r>
    </w:p>
    <w:sdt>
      <w:sdtPr>
        <w:rPr>
          <w:color w:val="000000" w:themeColor="text1"/>
          <w14:textFill>
            <w14:solidFill>
              <w14:schemeClr w14:val="tx1"/>
            </w14:solidFill>
          </w14:textFill>
        </w:rPr>
        <w:alias w:val="是否适用：采购商品或接受劳务情况表[双击切换]"/>
        <w:tag w:val="_GBC_af7e43b831354837910c4edde708e04a"/>
        <w:id w:val="-1632470780"/>
        <w:placeholder>
          <w:docPart w:val="GBC22222222222222222222222222222"/>
        </w:placeholder>
      </w:sdtPr>
      <w:sdtEndPr>
        <w:rPr>
          <w:color w:val="000000" w:themeColor="text1"/>
          <w14:textFill>
            <w14:solidFill>
              <w14:schemeClr w14:val="tx1"/>
            </w14:solidFill>
          </w14:textFill>
        </w:rPr>
      </w:sdtEndPr>
      <w:sdtContent>
        <w:p w14:paraId="7A62727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DCE3086">
      <w:pPr>
        <w:jc w:val="right"/>
        <w:rPr>
          <w:rFonts w:cs="Cambria"/>
          <w:b/>
          <w:bCs w:val="0"/>
          <w:color w:val="000000" w:themeColor="text1"/>
          <w14:textFill>
            <w14:solidFill>
              <w14:schemeClr w14:val="tx1"/>
            </w14:solidFill>
          </w14:textFill>
        </w:rPr>
      </w:pPr>
      <w:r>
        <w:rPr>
          <w:rFonts w:hint="eastAsia" w:cs="Cambria"/>
          <w:color w:val="000000" w:themeColor="text1"/>
          <w14:textFill>
            <w14:solidFill>
              <w14:schemeClr w14:val="tx1"/>
            </w14:solidFill>
          </w14:textFill>
        </w:rPr>
        <w:t>单位：</w:t>
      </w:r>
      <w:sdt>
        <w:sdtPr>
          <w:rPr>
            <w:rFonts w:hint="eastAsia" w:cs="Cambria"/>
            <w:color w:val="000000" w:themeColor="text1"/>
            <w14:textFill>
              <w14:solidFill>
                <w14:schemeClr w14:val="tx1"/>
              </w14:solidFill>
            </w14:textFill>
          </w:rPr>
          <w:alias w:val="单位：采购商品接受劳务情况表"/>
          <w:tag w:val="_GBC_45ae86deace34388a904346eae355be1"/>
          <w:id w:val="-12747571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s="Cambria"/>
            <w:color w:val="000000" w:themeColor="text1"/>
            <w14:textFill>
              <w14:solidFill>
                <w14:schemeClr w14:val="tx1"/>
              </w14:solidFill>
            </w14:textFill>
          </w:rPr>
        </w:sdtEndPr>
        <w:sdtContent>
          <w:r>
            <w:rPr>
              <w:rFonts w:hint="eastAsia" w:cs="Cambria"/>
              <w:color w:val="000000" w:themeColor="text1"/>
              <w14:textFill>
                <w14:solidFill>
                  <w14:schemeClr w14:val="tx1"/>
                </w14:solidFill>
              </w14:textFill>
            </w:rPr>
            <w:t>元</w:t>
          </w:r>
        </w:sdtContent>
      </w:sdt>
      <w:r>
        <w:rPr>
          <w:rFonts w:hint="eastAsia" w:cs="Cambria"/>
          <w:color w:val="000000" w:themeColor="text1"/>
          <w14:textFill>
            <w14:solidFill>
              <w14:schemeClr w14:val="tx1"/>
            </w14:solidFill>
          </w14:textFill>
        </w:rPr>
        <w:t xml:space="preserve"> 币种：</w:t>
      </w:r>
      <w:sdt>
        <w:sdtPr>
          <w:rPr>
            <w:rFonts w:hint="eastAsia" w:cs="Cambria"/>
            <w:color w:val="000000" w:themeColor="text1"/>
            <w14:textFill>
              <w14:solidFill>
                <w14:schemeClr w14:val="tx1"/>
              </w14:solidFill>
            </w14:textFill>
          </w:rPr>
          <w:alias w:val="币种：采购商品接受劳务情况表"/>
          <w:tag w:val="_GBC_ac9ca64b68bd493da1d7e7c719a6104c"/>
          <w:id w:val="-159099464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s="Cambria"/>
            <w:color w:val="000000" w:themeColor="text1"/>
            <w14:textFill>
              <w14:solidFill>
                <w14:schemeClr w14:val="tx1"/>
              </w14:solidFill>
            </w14:textFill>
          </w:rPr>
        </w:sdtEndPr>
        <w:sdtContent>
          <w:r>
            <w:rPr>
              <w:rFonts w:hint="eastAsia" w:cs="Cambria"/>
              <w:color w:val="000000" w:themeColor="text1"/>
              <w14:textFill>
                <w14:solidFill>
                  <w14:schemeClr w14:val="tx1"/>
                </w14:solidFill>
              </w14:textFill>
            </w:rPr>
            <w:t>人民币</w:t>
          </w:r>
        </w:sdtContent>
      </w:sdt>
    </w:p>
    <w:tbl>
      <w:tblPr>
        <w:tblStyle w:val="37"/>
        <w:tblW w:w="5649" w:type="pct"/>
        <w:jc w:val="right"/>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533"/>
        <w:gridCol w:w="1787"/>
        <w:gridCol w:w="1424"/>
        <w:gridCol w:w="1521"/>
        <w:gridCol w:w="1278"/>
        <w:gridCol w:w="1425"/>
      </w:tblGrid>
      <w:tr w14:paraId="66BF36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5" w:hRule="atLeast"/>
          <w:jc w:val="right"/>
        </w:trPr>
        <w:sdt>
          <w:sdtPr>
            <w:tag w:val="_PLD_c09a7dc97d494a8fb07056392e54876a"/>
            <w:id w:val="-1053848783"/>
          </w:sdtPr>
          <w:sdtContent>
            <w:tc>
              <w:tcPr>
                <w:tcW w:w="1271" w:type="pct"/>
                <w:tcBorders>
                  <w:top w:val="single" w:color="auto" w:sz="4" w:space="0"/>
                  <w:left w:val="single" w:color="auto" w:sz="4" w:space="0"/>
                  <w:bottom w:val="single" w:color="auto" w:sz="4" w:space="0"/>
                  <w:right w:val="single" w:color="auto" w:sz="4" w:space="0"/>
                </w:tcBorders>
                <w:vAlign w:val="center"/>
              </w:tcPr>
              <w:p w14:paraId="5A2850BB">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关联方</w:t>
                </w:r>
              </w:p>
            </w:tc>
          </w:sdtContent>
        </w:sdt>
        <w:sdt>
          <w:sdtPr>
            <w:tag w:val="_PLD_6f5fdab53c694e56963e5e189cd0c28d"/>
            <w:id w:val="1015733949"/>
          </w:sdtPr>
          <w:sdtContent>
            <w:tc>
              <w:tcPr>
                <w:tcW w:w="897" w:type="pct"/>
                <w:tcBorders>
                  <w:top w:val="single" w:color="auto" w:sz="4" w:space="0"/>
                  <w:left w:val="single" w:color="auto" w:sz="4" w:space="0"/>
                  <w:bottom w:val="single" w:color="auto" w:sz="4" w:space="0"/>
                  <w:right w:val="single" w:color="auto" w:sz="4" w:space="0"/>
                </w:tcBorders>
                <w:vAlign w:val="center"/>
              </w:tcPr>
              <w:p w14:paraId="57ADFDC8">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关联交易内容</w:t>
                </w:r>
              </w:p>
            </w:tc>
          </w:sdtContent>
        </w:sdt>
        <w:sdt>
          <w:sdtPr>
            <w:tag w:val="_PLD_1237b998b2a64f30a674dff433b841b0"/>
            <w:id w:val="1666518010"/>
          </w:sdtPr>
          <w:sdtContent>
            <w:tc>
              <w:tcPr>
                <w:tcW w:w="714" w:type="pct"/>
                <w:tcBorders>
                  <w:top w:val="single" w:color="auto" w:sz="4" w:space="0"/>
                  <w:left w:val="single" w:color="auto" w:sz="4" w:space="0"/>
                  <w:right w:val="single" w:color="auto" w:sz="4" w:space="0"/>
                </w:tcBorders>
                <w:vAlign w:val="center"/>
              </w:tcPr>
              <w:p w14:paraId="48EDD86B">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本期发生额</w:t>
                </w:r>
              </w:p>
            </w:tc>
          </w:sdtContent>
        </w:sdt>
        <w:sdt>
          <w:sdtPr>
            <w:tag w:val="_PLD_b1a311757d3a457e811c8d8ffb0b6ac0"/>
            <w:id w:val="-1087301610"/>
          </w:sdtPr>
          <w:sdtContent>
            <w:tc>
              <w:tcPr>
                <w:tcW w:w="763" w:type="pct"/>
                <w:tcBorders>
                  <w:top w:val="single" w:color="auto" w:sz="4" w:space="0"/>
                  <w:left w:val="single" w:color="auto" w:sz="4" w:space="0"/>
                  <w:right w:val="single" w:color="auto" w:sz="4" w:space="0"/>
                </w:tcBorders>
                <w:vAlign w:val="center"/>
              </w:tcPr>
              <w:p w14:paraId="679456E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获批的交易额度（如适用）</w:t>
                </w:r>
              </w:p>
            </w:tc>
          </w:sdtContent>
        </w:sdt>
        <w:sdt>
          <w:sdtPr>
            <w:tag w:val="_PLD_c145e8a0e9404dc7b7dab215447b876b"/>
            <w:id w:val="1217861255"/>
          </w:sdtPr>
          <w:sdtEndPr>
            <w:rPr>
              <w:rFonts w:hint="eastAsia"/>
            </w:rPr>
          </w:sdtEndPr>
          <w:sdtContent>
            <w:tc>
              <w:tcPr>
                <w:tcW w:w="641" w:type="pct"/>
                <w:tcBorders>
                  <w:top w:val="single" w:color="auto" w:sz="4" w:space="0"/>
                  <w:left w:val="single" w:color="auto" w:sz="4" w:space="0"/>
                  <w:right w:val="single" w:color="auto" w:sz="4" w:space="0"/>
                </w:tcBorders>
                <w:vAlign w:val="center"/>
              </w:tcPr>
              <w:p w14:paraId="40D63063">
                <w:pPr>
                  <w:jc w:val="center"/>
                  <w:rPr>
                    <w:color w:val="000000" w:themeColor="text1"/>
                    <w14:textFill>
                      <w14:solidFill>
                        <w14:schemeClr w14:val="tx1"/>
                      </w14:solidFill>
                    </w14:textFill>
                  </w:rPr>
                </w:pPr>
                <w:r>
                  <w:rPr>
                    <w:color w:val="000000" w:themeColor="text1"/>
                    <w14:textFill>
                      <w14:solidFill>
                        <w14:schemeClr w14:val="tx1"/>
                      </w14:solidFill>
                    </w14:textFill>
                  </w:rPr>
                  <w:t>是否超过交易额度</w:t>
                </w:r>
                <w:r>
                  <w:rPr>
                    <w:rFonts w:hint="eastAsia"/>
                    <w:color w:val="000000" w:themeColor="text1"/>
                    <w14:textFill>
                      <w14:solidFill>
                        <w14:schemeClr w14:val="tx1"/>
                      </w14:solidFill>
                    </w14:textFill>
                  </w:rPr>
                  <w:t>（如适用）</w:t>
                </w:r>
              </w:p>
            </w:tc>
          </w:sdtContent>
        </w:sdt>
        <w:sdt>
          <w:sdtPr>
            <w:tag w:val="_PLD_f7d77ff6fdf642199e4c9fc12f00610d"/>
            <w:id w:val="-1949770006"/>
          </w:sdtPr>
          <w:sdtContent>
            <w:tc>
              <w:tcPr>
                <w:tcW w:w="714" w:type="pct"/>
                <w:tcBorders>
                  <w:top w:val="single" w:color="auto" w:sz="4" w:space="0"/>
                  <w:left w:val="single" w:color="auto" w:sz="4" w:space="0"/>
                  <w:right w:val="single" w:color="auto" w:sz="4" w:space="0"/>
                </w:tcBorders>
                <w:vAlign w:val="center"/>
              </w:tcPr>
              <w:p w14:paraId="740B0B58">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上期发生额</w:t>
                </w:r>
              </w:p>
            </w:tc>
          </w:sdtContent>
        </w:sdt>
      </w:tr>
      <w:tr w14:paraId="4C8146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right"/>
        </w:trPr>
        <w:tc>
          <w:tcPr>
            <w:tcW w:w="1271" w:type="pct"/>
            <w:tcBorders>
              <w:top w:val="single" w:color="auto" w:sz="4" w:space="0"/>
              <w:left w:val="single" w:color="auto" w:sz="4" w:space="0"/>
              <w:bottom w:val="single" w:color="auto" w:sz="4" w:space="0"/>
              <w:right w:val="single" w:color="auto" w:sz="4" w:space="0"/>
            </w:tcBorders>
            <w:vAlign w:val="center"/>
          </w:tcPr>
          <w:p w14:paraId="50A6AF8A">
            <w:bookmarkStart w:id="400" w:name="_Hlk40536931"/>
            <w:r>
              <w:rPr>
                <w:rFonts w:hint="eastAsia" w:ascii="宋体" w:hAnsi="宋体"/>
              </w:rPr>
              <w:t>荣成邱家水产有限公司</w:t>
            </w:r>
          </w:p>
        </w:tc>
        <w:tc>
          <w:tcPr>
            <w:tcW w:w="897" w:type="pct"/>
            <w:tcBorders>
              <w:top w:val="single" w:color="auto" w:sz="4" w:space="0"/>
              <w:left w:val="single" w:color="auto" w:sz="4" w:space="0"/>
              <w:bottom w:val="single" w:color="auto" w:sz="4" w:space="0"/>
              <w:right w:val="single" w:color="auto" w:sz="4" w:space="0"/>
            </w:tcBorders>
            <w:vAlign w:val="center"/>
          </w:tcPr>
          <w:p w14:paraId="25A92324">
            <w:r>
              <w:rPr>
                <w:rFonts w:hint="eastAsia" w:ascii="宋体" w:hAnsi="宋体"/>
              </w:rPr>
              <w:t>电、汽、造船及劳务</w:t>
            </w:r>
          </w:p>
        </w:tc>
        <w:tc>
          <w:tcPr>
            <w:tcW w:w="714" w:type="pct"/>
            <w:tcBorders>
              <w:top w:val="single" w:color="auto" w:sz="4" w:space="0"/>
              <w:left w:val="single" w:color="auto" w:sz="4" w:space="0"/>
              <w:bottom w:val="single" w:color="auto" w:sz="4" w:space="0"/>
              <w:right w:val="single" w:color="auto" w:sz="4" w:space="0"/>
            </w:tcBorders>
            <w:vAlign w:val="center"/>
          </w:tcPr>
          <w:p w14:paraId="64B5E608">
            <w:pPr>
              <w:jc w:val="right"/>
            </w:pPr>
            <w:r>
              <w:t>12,436,604.11</w:t>
            </w:r>
          </w:p>
        </w:tc>
        <w:tc>
          <w:tcPr>
            <w:tcW w:w="763" w:type="pct"/>
            <w:tcBorders>
              <w:top w:val="single" w:color="auto" w:sz="4" w:space="0"/>
              <w:left w:val="single" w:color="auto" w:sz="4" w:space="0"/>
              <w:bottom w:val="single" w:color="auto" w:sz="4" w:space="0"/>
              <w:right w:val="single" w:color="auto" w:sz="4" w:space="0"/>
            </w:tcBorders>
          </w:tcPr>
          <w:p w14:paraId="3146A576">
            <w:pPr>
              <w:jc w:val="right"/>
            </w:pPr>
          </w:p>
        </w:tc>
        <w:sdt>
          <w:sdtPr>
            <w:rPr>
              <w:color w:val="000000" w:themeColor="text1"/>
              <w14:textFill>
                <w14:solidFill>
                  <w14:schemeClr w14:val="tx1"/>
                </w14:solidFill>
              </w14:textFill>
            </w:rPr>
            <w:alias w:val="采购商品接受劳务情况明细-是否超过交易额度"/>
            <w:tag w:val="_GBC_8948407543bf4b9e8a27ff07478d8950"/>
            <w:id w:val="321783087"/>
            <w:showingPlcHdr/>
            <w:comboBox>
              <w:listItem w:displayText="是" w:value="是"/>
              <w:listItem w:displayText="否" w:value="否"/>
            </w:comboBox>
          </w:sdtPr>
          <w:sdtEndPr>
            <w:rPr>
              <w:color w:val="000000" w:themeColor="text1"/>
              <w14:textFill>
                <w14:solidFill>
                  <w14:schemeClr w14:val="tx1"/>
                </w14:solidFill>
              </w14:textFill>
            </w:rPr>
          </w:sdtEndPr>
          <w:sdtContent>
            <w:tc>
              <w:tcPr>
                <w:tcW w:w="641" w:type="pct"/>
                <w:tcBorders>
                  <w:top w:val="single" w:color="auto" w:sz="4" w:space="0"/>
                  <w:left w:val="single" w:color="auto" w:sz="4" w:space="0"/>
                  <w:bottom w:val="single" w:color="auto" w:sz="4" w:space="0"/>
                  <w:right w:val="single" w:color="auto" w:sz="4" w:space="0"/>
                </w:tcBorders>
              </w:tcPr>
              <w:p w14:paraId="7E46709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sdtContent>
        </w:sdt>
        <w:tc>
          <w:tcPr>
            <w:tcW w:w="714" w:type="pct"/>
            <w:tcBorders>
              <w:top w:val="single" w:color="auto" w:sz="4" w:space="0"/>
              <w:left w:val="single" w:color="auto" w:sz="4" w:space="0"/>
              <w:bottom w:val="single" w:color="auto" w:sz="4" w:space="0"/>
              <w:right w:val="single" w:color="auto" w:sz="4" w:space="0"/>
            </w:tcBorders>
            <w:vAlign w:val="center"/>
          </w:tcPr>
          <w:p w14:paraId="6F593633">
            <w:pPr>
              <w:jc w:val="right"/>
            </w:pPr>
            <w:r>
              <w:t>64,969,815.12</w:t>
            </w:r>
          </w:p>
        </w:tc>
      </w:tr>
      <w:tr w14:paraId="65A24E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right"/>
        </w:trPr>
        <w:tc>
          <w:tcPr>
            <w:tcW w:w="1271" w:type="pct"/>
            <w:tcBorders>
              <w:top w:val="single" w:color="auto" w:sz="4" w:space="0"/>
              <w:left w:val="single" w:color="auto" w:sz="4" w:space="0"/>
              <w:bottom w:val="single" w:color="auto" w:sz="4" w:space="0"/>
              <w:right w:val="single" w:color="auto" w:sz="4" w:space="0"/>
            </w:tcBorders>
            <w:vAlign w:val="center"/>
          </w:tcPr>
          <w:p w14:paraId="72A0F754">
            <w:pPr>
              <w:rPr>
                <w:rFonts w:hint="eastAsia" w:ascii="宋体" w:hAnsi="宋体"/>
              </w:rPr>
            </w:pPr>
            <w:r>
              <w:rPr>
                <w:rFonts w:hint="eastAsia" w:ascii="宋体" w:hAnsi="宋体"/>
              </w:rPr>
              <w:t>山东邱家实业有限公司</w:t>
            </w:r>
          </w:p>
        </w:tc>
        <w:tc>
          <w:tcPr>
            <w:tcW w:w="897" w:type="pct"/>
            <w:tcBorders>
              <w:top w:val="single" w:color="auto" w:sz="4" w:space="0"/>
              <w:left w:val="single" w:color="auto" w:sz="4" w:space="0"/>
              <w:bottom w:val="single" w:color="auto" w:sz="4" w:space="0"/>
              <w:right w:val="single" w:color="auto" w:sz="4" w:space="0"/>
            </w:tcBorders>
            <w:vAlign w:val="center"/>
          </w:tcPr>
          <w:p w14:paraId="243D358C">
            <w:pPr>
              <w:rPr>
                <w:rFonts w:hint="eastAsia" w:ascii="宋体" w:hAnsi="宋体"/>
              </w:rPr>
            </w:pPr>
            <w:r>
              <w:rPr>
                <w:rFonts w:hint="eastAsia" w:ascii="宋体" w:hAnsi="宋体"/>
              </w:rPr>
              <w:t>房产</w:t>
            </w:r>
          </w:p>
        </w:tc>
        <w:tc>
          <w:tcPr>
            <w:tcW w:w="714" w:type="pct"/>
            <w:tcBorders>
              <w:top w:val="single" w:color="auto" w:sz="4" w:space="0"/>
              <w:left w:val="single" w:color="auto" w:sz="4" w:space="0"/>
              <w:bottom w:val="single" w:color="auto" w:sz="4" w:space="0"/>
              <w:right w:val="single" w:color="auto" w:sz="4" w:space="0"/>
            </w:tcBorders>
            <w:vAlign w:val="center"/>
          </w:tcPr>
          <w:p w14:paraId="5B3C0237">
            <w:pPr>
              <w:jc w:val="right"/>
            </w:pPr>
            <w:r>
              <w:t>1,775,600.00</w:t>
            </w:r>
          </w:p>
        </w:tc>
        <w:tc>
          <w:tcPr>
            <w:tcW w:w="763" w:type="pct"/>
            <w:tcBorders>
              <w:top w:val="single" w:color="auto" w:sz="4" w:space="0"/>
              <w:left w:val="single" w:color="auto" w:sz="4" w:space="0"/>
              <w:bottom w:val="single" w:color="auto" w:sz="4" w:space="0"/>
              <w:right w:val="single" w:color="auto" w:sz="4" w:space="0"/>
            </w:tcBorders>
          </w:tcPr>
          <w:p w14:paraId="282DE753">
            <w:pPr>
              <w:jc w:val="right"/>
            </w:pPr>
          </w:p>
        </w:tc>
        <w:tc>
          <w:tcPr>
            <w:tcW w:w="641" w:type="pct"/>
            <w:tcBorders>
              <w:top w:val="single" w:color="auto" w:sz="4" w:space="0"/>
              <w:left w:val="single" w:color="auto" w:sz="4" w:space="0"/>
              <w:bottom w:val="single" w:color="auto" w:sz="4" w:space="0"/>
              <w:right w:val="single" w:color="auto" w:sz="4" w:space="0"/>
            </w:tcBorders>
          </w:tcPr>
          <w:p w14:paraId="041031D9">
            <w:pPr>
              <w:jc w:val="center"/>
              <w:rPr>
                <w:color w:val="000000" w:themeColor="text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7C550B60">
            <w:pPr>
              <w:jc w:val="right"/>
            </w:pPr>
          </w:p>
        </w:tc>
      </w:tr>
      <w:tr w14:paraId="6F7632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right"/>
        </w:trPr>
        <w:tc>
          <w:tcPr>
            <w:tcW w:w="1271" w:type="pct"/>
            <w:tcBorders>
              <w:top w:val="single" w:color="auto" w:sz="4" w:space="0"/>
              <w:left w:val="single" w:color="auto" w:sz="4" w:space="0"/>
              <w:bottom w:val="single" w:color="auto" w:sz="4" w:space="0"/>
              <w:right w:val="single" w:color="auto" w:sz="4" w:space="0"/>
            </w:tcBorders>
            <w:vAlign w:val="center"/>
          </w:tcPr>
          <w:p w14:paraId="28F90DE5">
            <w:r>
              <w:rPr>
                <w:rFonts w:hint="eastAsia" w:ascii="宋体" w:hAnsi="宋体"/>
              </w:rPr>
              <w:t>荣成加荣食品有限公司</w:t>
            </w:r>
          </w:p>
        </w:tc>
        <w:tc>
          <w:tcPr>
            <w:tcW w:w="897" w:type="pct"/>
            <w:tcBorders>
              <w:top w:val="single" w:color="auto" w:sz="4" w:space="0"/>
              <w:left w:val="single" w:color="auto" w:sz="4" w:space="0"/>
              <w:bottom w:val="single" w:color="auto" w:sz="4" w:space="0"/>
              <w:right w:val="single" w:color="auto" w:sz="4" w:space="0"/>
            </w:tcBorders>
            <w:vAlign w:val="center"/>
          </w:tcPr>
          <w:p w14:paraId="7596E201">
            <w:r>
              <w:rPr>
                <w:rFonts w:hint="eastAsia" w:ascii="宋体" w:hAnsi="宋体"/>
              </w:rPr>
              <w:t>面包粉、鱿鱼、劳务费</w:t>
            </w:r>
          </w:p>
        </w:tc>
        <w:tc>
          <w:tcPr>
            <w:tcW w:w="714" w:type="pct"/>
            <w:tcBorders>
              <w:top w:val="single" w:color="auto" w:sz="4" w:space="0"/>
              <w:left w:val="single" w:color="auto" w:sz="4" w:space="0"/>
              <w:bottom w:val="single" w:color="auto" w:sz="4" w:space="0"/>
              <w:right w:val="single" w:color="auto" w:sz="4" w:space="0"/>
            </w:tcBorders>
            <w:vAlign w:val="center"/>
          </w:tcPr>
          <w:p w14:paraId="38693C12">
            <w:pPr>
              <w:jc w:val="right"/>
            </w:pPr>
            <w:r>
              <w:t>4,768,172.92</w:t>
            </w:r>
          </w:p>
        </w:tc>
        <w:tc>
          <w:tcPr>
            <w:tcW w:w="763" w:type="pct"/>
            <w:tcBorders>
              <w:top w:val="single" w:color="auto" w:sz="4" w:space="0"/>
              <w:left w:val="single" w:color="auto" w:sz="4" w:space="0"/>
              <w:bottom w:val="single" w:color="auto" w:sz="4" w:space="0"/>
              <w:right w:val="single" w:color="auto" w:sz="4" w:space="0"/>
            </w:tcBorders>
          </w:tcPr>
          <w:p w14:paraId="3832542F">
            <w:pPr>
              <w:jc w:val="right"/>
            </w:pPr>
          </w:p>
        </w:tc>
        <w:tc>
          <w:tcPr>
            <w:tcW w:w="641" w:type="pct"/>
            <w:tcBorders>
              <w:top w:val="single" w:color="auto" w:sz="4" w:space="0"/>
              <w:left w:val="single" w:color="auto" w:sz="4" w:space="0"/>
              <w:bottom w:val="single" w:color="auto" w:sz="4" w:space="0"/>
              <w:right w:val="single" w:color="auto" w:sz="4" w:space="0"/>
            </w:tcBorders>
          </w:tcPr>
          <w:p w14:paraId="7DD45A26">
            <w:pPr>
              <w:jc w:val="center"/>
              <w:rPr>
                <w:color w:val="000000" w:themeColor="text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56936428">
            <w:pPr>
              <w:jc w:val="right"/>
            </w:pPr>
            <w:r>
              <w:t>3,701,599.35</w:t>
            </w:r>
          </w:p>
        </w:tc>
      </w:tr>
      <w:tr w14:paraId="35312A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right"/>
        </w:trPr>
        <w:tc>
          <w:tcPr>
            <w:tcW w:w="1271" w:type="pct"/>
            <w:tcBorders>
              <w:top w:val="single" w:color="auto" w:sz="4" w:space="0"/>
              <w:left w:val="single" w:color="auto" w:sz="4" w:space="0"/>
              <w:bottom w:val="single" w:color="auto" w:sz="4" w:space="0"/>
              <w:right w:val="single" w:color="auto" w:sz="4" w:space="0"/>
            </w:tcBorders>
            <w:vAlign w:val="center"/>
          </w:tcPr>
          <w:p w14:paraId="6FAE3095">
            <w:r>
              <w:rPr>
                <w:rFonts w:hint="eastAsia" w:ascii="宋体" w:hAnsi="宋体"/>
              </w:rPr>
              <w:t>荣成荣盛包装材料有限公司</w:t>
            </w:r>
          </w:p>
        </w:tc>
        <w:tc>
          <w:tcPr>
            <w:tcW w:w="897" w:type="pct"/>
            <w:tcBorders>
              <w:top w:val="single" w:color="auto" w:sz="4" w:space="0"/>
              <w:left w:val="single" w:color="auto" w:sz="4" w:space="0"/>
              <w:bottom w:val="single" w:color="auto" w:sz="4" w:space="0"/>
              <w:right w:val="single" w:color="auto" w:sz="4" w:space="0"/>
            </w:tcBorders>
            <w:vAlign w:val="center"/>
          </w:tcPr>
          <w:p w14:paraId="088AAB29">
            <w:r>
              <w:rPr>
                <w:rFonts w:hint="eastAsia" w:ascii="宋体" w:hAnsi="宋体"/>
              </w:rPr>
              <w:t>包装物</w:t>
            </w:r>
          </w:p>
        </w:tc>
        <w:tc>
          <w:tcPr>
            <w:tcW w:w="714" w:type="pct"/>
            <w:tcBorders>
              <w:top w:val="single" w:color="auto" w:sz="4" w:space="0"/>
              <w:left w:val="single" w:color="auto" w:sz="4" w:space="0"/>
              <w:bottom w:val="single" w:color="auto" w:sz="4" w:space="0"/>
              <w:right w:val="single" w:color="auto" w:sz="4" w:space="0"/>
            </w:tcBorders>
            <w:vAlign w:val="center"/>
          </w:tcPr>
          <w:p w14:paraId="4AD4EE14">
            <w:pPr>
              <w:jc w:val="right"/>
            </w:pPr>
            <w:r>
              <w:t>2,458,560.28</w:t>
            </w:r>
          </w:p>
        </w:tc>
        <w:tc>
          <w:tcPr>
            <w:tcW w:w="763" w:type="pct"/>
            <w:tcBorders>
              <w:top w:val="single" w:color="auto" w:sz="4" w:space="0"/>
              <w:left w:val="single" w:color="auto" w:sz="4" w:space="0"/>
              <w:bottom w:val="single" w:color="auto" w:sz="4" w:space="0"/>
              <w:right w:val="single" w:color="auto" w:sz="4" w:space="0"/>
            </w:tcBorders>
          </w:tcPr>
          <w:p w14:paraId="65BE5938">
            <w:pPr>
              <w:jc w:val="right"/>
            </w:pPr>
          </w:p>
        </w:tc>
        <w:tc>
          <w:tcPr>
            <w:tcW w:w="641" w:type="pct"/>
            <w:tcBorders>
              <w:top w:val="single" w:color="auto" w:sz="4" w:space="0"/>
              <w:left w:val="single" w:color="auto" w:sz="4" w:space="0"/>
              <w:bottom w:val="single" w:color="auto" w:sz="4" w:space="0"/>
              <w:right w:val="single" w:color="auto" w:sz="4" w:space="0"/>
            </w:tcBorders>
          </w:tcPr>
          <w:p w14:paraId="52719F05">
            <w:pPr>
              <w:jc w:val="center"/>
              <w:rPr>
                <w:color w:val="000000" w:themeColor="text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6BEE6F4F">
            <w:pPr>
              <w:jc w:val="right"/>
            </w:pPr>
            <w:r>
              <w:t>4,806,294.38</w:t>
            </w:r>
          </w:p>
        </w:tc>
      </w:tr>
      <w:tr w14:paraId="3EF921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right"/>
        </w:trPr>
        <w:tc>
          <w:tcPr>
            <w:tcW w:w="1271" w:type="pct"/>
            <w:tcBorders>
              <w:top w:val="single" w:color="auto" w:sz="4" w:space="0"/>
              <w:left w:val="single" w:color="auto" w:sz="4" w:space="0"/>
              <w:bottom w:val="single" w:color="auto" w:sz="4" w:space="0"/>
              <w:right w:val="single" w:color="auto" w:sz="4" w:space="0"/>
            </w:tcBorders>
            <w:vAlign w:val="center"/>
          </w:tcPr>
          <w:p w14:paraId="7727D49A">
            <w:r>
              <w:rPr>
                <w:rFonts w:hint="eastAsia" w:ascii="宋体" w:hAnsi="宋体"/>
              </w:rPr>
              <w:t>好当家集团有限公司</w:t>
            </w:r>
          </w:p>
        </w:tc>
        <w:tc>
          <w:tcPr>
            <w:tcW w:w="897" w:type="pct"/>
            <w:tcBorders>
              <w:top w:val="single" w:color="auto" w:sz="4" w:space="0"/>
              <w:left w:val="single" w:color="auto" w:sz="4" w:space="0"/>
              <w:bottom w:val="single" w:color="auto" w:sz="4" w:space="0"/>
              <w:right w:val="single" w:color="auto" w:sz="4" w:space="0"/>
            </w:tcBorders>
            <w:vAlign w:val="center"/>
          </w:tcPr>
          <w:p w14:paraId="4E14154D">
            <w:r>
              <w:rPr>
                <w:rFonts w:hint="eastAsia" w:ascii="宋体" w:hAnsi="宋体"/>
              </w:rPr>
              <w:t>车辆费、污水处理费、礼品费、鱿鱼、鲍鱼、无盐味精、酒、劳务、土荒等</w:t>
            </w:r>
          </w:p>
        </w:tc>
        <w:tc>
          <w:tcPr>
            <w:tcW w:w="714" w:type="pct"/>
            <w:tcBorders>
              <w:top w:val="single" w:color="auto" w:sz="4" w:space="0"/>
              <w:left w:val="single" w:color="auto" w:sz="4" w:space="0"/>
              <w:bottom w:val="single" w:color="auto" w:sz="4" w:space="0"/>
              <w:right w:val="single" w:color="auto" w:sz="4" w:space="0"/>
            </w:tcBorders>
            <w:vAlign w:val="center"/>
          </w:tcPr>
          <w:p w14:paraId="73820077">
            <w:pPr>
              <w:jc w:val="right"/>
            </w:pPr>
            <w:r>
              <w:t>1,767,813.68</w:t>
            </w:r>
          </w:p>
        </w:tc>
        <w:tc>
          <w:tcPr>
            <w:tcW w:w="763" w:type="pct"/>
            <w:tcBorders>
              <w:top w:val="single" w:color="auto" w:sz="4" w:space="0"/>
              <w:left w:val="single" w:color="auto" w:sz="4" w:space="0"/>
              <w:bottom w:val="single" w:color="auto" w:sz="4" w:space="0"/>
              <w:right w:val="single" w:color="auto" w:sz="4" w:space="0"/>
            </w:tcBorders>
          </w:tcPr>
          <w:p w14:paraId="5D58B8BC">
            <w:pPr>
              <w:jc w:val="right"/>
            </w:pPr>
          </w:p>
        </w:tc>
        <w:tc>
          <w:tcPr>
            <w:tcW w:w="641" w:type="pct"/>
            <w:tcBorders>
              <w:top w:val="single" w:color="auto" w:sz="4" w:space="0"/>
              <w:left w:val="single" w:color="auto" w:sz="4" w:space="0"/>
              <w:bottom w:val="single" w:color="auto" w:sz="4" w:space="0"/>
              <w:right w:val="single" w:color="auto" w:sz="4" w:space="0"/>
            </w:tcBorders>
          </w:tcPr>
          <w:p w14:paraId="2FB3E687">
            <w:pPr>
              <w:jc w:val="center"/>
              <w:rPr>
                <w:color w:val="000000" w:themeColor="text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239FA7E7">
            <w:pPr>
              <w:jc w:val="right"/>
            </w:pPr>
            <w:r>
              <w:t>2,160,002.69</w:t>
            </w:r>
          </w:p>
        </w:tc>
      </w:tr>
      <w:tr w14:paraId="78CEB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right"/>
        </w:trPr>
        <w:tc>
          <w:tcPr>
            <w:tcW w:w="1271" w:type="pct"/>
            <w:tcBorders>
              <w:top w:val="single" w:color="auto" w:sz="4" w:space="0"/>
              <w:left w:val="single" w:color="auto" w:sz="4" w:space="0"/>
              <w:bottom w:val="single" w:color="auto" w:sz="4" w:space="0"/>
              <w:right w:val="single" w:color="auto" w:sz="4" w:space="0"/>
            </w:tcBorders>
            <w:vAlign w:val="center"/>
          </w:tcPr>
          <w:p w14:paraId="2EBCDF17">
            <w:r>
              <w:rPr>
                <w:rFonts w:hint="eastAsia" w:ascii="宋体" w:hAnsi="宋体"/>
              </w:rPr>
              <w:t>荣成荣安建筑工程有限公司</w:t>
            </w:r>
          </w:p>
        </w:tc>
        <w:tc>
          <w:tcPr>
            <w:tcW w:w="897" w:type="pct"/>
            <w:tcBorders>
              <w:top w:val="single" w:color="auto" w:sz="4" w:space="0"/>
              <w:left w:val="single" w:color="auto" w:sz="4" w:space="0"/>
              <w:bottom w:val="single" w:color="auto" w:sz="4" w:space="0"/>
              <w:right w:val="single" w:color="auto" w:sz="4" w:space="0"/>
            </w:tcBorders>
            <w:vAlign w:val="center"/>
          </w:tcPr>
          <w:p w14:paraId="1EC750D8">
            <w:r>
              <w:rPr>
                <w:rFonts w:hint="eastAsia" w:ascii="宋体" w:hAnsi="宋体"/>
              </w:rPr>
              <w:t>工程款、修理费</w:t>
            </w:r>
          </w:p>
        </w:tc>
        <w:tc>
          <w:tcPr>
            <w:tcW w:w="714" w:type="pct"/>
            <w:tcBorders>
              <w:top w:val="single" w:color="auto" w:sz="4" w:space="0"/>
              <w:left w:val="single" w:color="auto" w:sz="4" w:space="0"/>
              <w:bottom w:val="single" w:color="auto" w:sz="4" w:space="0"/>
              <w:right w:val="single" w:color="auto" w:sz="4" w:space="0"/>
            </w:tcBorders>
            <w:vAlign w:val="center"/>
          </w:tcPr>
          <w:p w14:paraId="5F753FFD">
            <w:pPr>
              <w:jc w:val="right"/>
            </w:pPr>
            <w:r>
              <w:t>5,000.00</w:t>
            </w:r>
          </w:p>
        </w:tc>
        <w:tc>
          <w:tcPr>
            <w:tcW w:w="763" w:type="pct"/>
            <w:tcBorders>
              <w:top w:val="single" w:color="auto" w:sz="4" w:space="0"/>
              <w:left w:val="single" w:color="auto" w:sz="4" w:space="0"/>
              <w:bottom w:val="single" w:color="auto" w:sz="4" w:space="0"/>
              <w:right w:val="single" w:color="auto" w:sz="4" w:space="0"/>
            </w:tcBorders>
          </w:tcPr>
          <w:p w14:paraId="3024BEBA">
            <w:pPr>
              <w:jc w:val="right"/>
            </w:pPr>
          </w:p>
        </w:tc>
        <w:tc>
          <w:tcPr>
            <w:tcW w:w="641" w:type="pct"/>
            <w:tcBorders>
              <w:top w:val="single" w:color="auto" w:sz="4" w:space="0"/>
              <w:left w:val="single" w:color="auto" w:sz="4" w:space="0"/>
              <w:bottom w:val="single" w:color="auto" w:sz="4" w:space="0"/>
              <w:right w:val="single" w:color="auto" w:sz="4" w:space="0"/>
            </w:tcBorders>
          </w:tcPr>
          <w:p w14:paraId="0CB5BC0B">
            <w:pPr>
              <w:jc w:val="center"/>
              <w:rPr>
                <w:color w:val="000000" w:themeColor="text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32FB96A3">
            <w:pPr>
              <w:jc w:val="right"/>
            </w:pPr>
            <w:r>
              <w:t>21,564,295.03</w:t>
            </w:r>
          </w:p>
        </w:tc>
      </w:tr>
      <w:tr w14:paraId="3CAE4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right"/>
        </w:trPr>
        <w:tc>
          <w:tcPr>
            <w:tcW w:w="1271" w:type="pct"/>
            <w:tcBorders>
              <w:top w:val="single" w:color="auto" w:sz="4" w:space="0"/>
              <w:left w:val="single" w:color="auto" w:sz="4" w:space="0"/>
              <w:bottom w:val="single" w:color="auto" w:sz="4" w:space="0"/>
              <w:right w:val="single" w:color="auto" w:sz="4" w:space="0"/>
            </w:tcBorders>
            <w:vAlign w:val="center"/>
          </w:tcPr>
          <w:p w14:paraId="108F8CF6">
            <w:r>
              <w:rPr>
                <w:rFonts w:hint="eastAsia" w:ascii="宋体" w:hAnsi="宋体"/>
              </w:rPr>
              <w:t>威海好当家天海湾水城旅游服务有限公司</w:t>
            </w:r>
          </w:p>
        </w:tc>
        <w:tc>
          <w:tcPr>
            <w:tcW w:w="897" w:type="pct"/>
            <w:tcBorders>
              <w:top w:val="single" w:color="auto" w:sz="4" w:space="0"/>
              <w:left w:val="single" w:color="auto" w:sz="4" w:space="0"/>
              <w:bottom w:val="single" w:color="auto" w:sz="4" w:space="0"/>
              <w:right w:val="single" w:color="auto" w:sz="4" w:space="0"/>
            </w:tcBorders>
            <w:vAlign w:val="center"/>
          </w:tcPr>
          <w:p w14:paraId="6E1F7CE0">
            <w:r>
              <w:rPr>
                <w:rFonts w:hint="eastAsia" w:ascii="宋体" w:hAnsi="宋体"/>
              </w:rPr>
              <w:t>月饼、餐费、劳务费</w:t>
            </w:r>
          </w:p>
        </w:tc>
        <w:tc>
          <w:tcPr>
            <w:tcW w:w="714" w:type="pct"/>
            <w:tcBorders>
              <w:top w:val="single" w:color="auto" w:sz="4" w:space="0"/>
              <w:left w:val="single" w:color="auto" w:sz="4" w:space="0"/>
              <w:bottom w:val="single" w:color="auto" w:sz="4" w:space="0"/>
              <w:right w:val="single" w:color="auto" w:sz="4" w:space="0"/>
            </w:tcBorders>
            <w:vAlign w:val="center"/>
          </w:tcPr>
          <w:p w14:paraId="49069077">
            <w:pPr>
              <w:jc w:val="right"/>
            </w:pPr>
            <w:r>
              <w:t>306,132.74</w:t>
            </w:r>
          </w:p>
        </w:tc>
        <w:tc>
          <w:tcPr>
            <w:tcW w:w="763" w:type="pct"/>
            <w:tcBorders>
              <w:top w:val="single" w:color="auto" w:sz="4" w:space="0"/>
              <w:left w:val="single" w:color="auto" w:sz="4" w:space="0"/>
              <w:bottom w:val="single" w:color="auto" w:sz="4" w:space="0"/>
              <w:right w:val="single" w:color="auto" w:sz="4" w:space="0"/>
            </w:tcBorders>
          </w:tcPr>
          <w:p w14:paraId="1BE0FF12">
            <w:pPr>
              <w:jc w:val="right"/>
            </w:pPr>
          </w:p>
        </w:tc>
        <w:tc>
          <w:tcPr>
            <w:tcW w:w="641" w:type="pct"/>
            <w:tcBorders>
              <w:top w:val="single" w:color="auto" w:sz="4" w:space="0"/>
              <w:left w:val="single" w:color="auto" w:sz="4" w:space="0"/>
              <w:bottom w:val="single" w:color="auto" w:sz="4" w:space="0"/>
              <w:right w:val="single" w:color="auto" w:sz="4" w:space="0"/>
            </w:tcBorders>
          </w:tcPr>
          <w:p w14:paraId="21A62737">
            <w:pPr>
              <w:jc w:val="center"/>
              <w:rPr>
                <w:color w:val="000000" w:themeColor="text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7E3B1C01">
            <w:pPr>
              <w:jc w:val="right"/>
            </w:pPr>
            <w:r>
              <w:t>321,479.85</w:t>
            </w:r>
          </w:p>
        </w:tc>
      </w:tr>
      <w:tr w14:paraId="2CB497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right"/>
        </w:trPr>
        <w:tc>
          <w:tcPr>
            <w:tcW w:w="1271" w:type="pct"/>
            <w:tcBorders>
              <w:top w:val="single" w:color="auto" w:sz="4" w:space="0"/>
              <w:left w:val="single" w:color="auto" w:sz="4" w:space="0"/>
              <w:bottom w:val="single" w:color="auto" w:sz="4" w:space="0"/>
              <w:right w:val="single" w:color="auto" w:sz="4" w:space="0"/>
            </w:tcBorders>
            <w:vAlign w:val="center"/>
          </w:tcPr>
          <w:p w14:paraId="554A732F">
            <w:r>
              <w:rPr>
                <w:rFonts w:hint="eastAsia" w:ascii="宋体" w:hAnsi="宋体"/>
              </w:rPr>
              <w:t>荣成好和玻璃钢制品有限公司</w:t>
            </w:r>
          </w:p>
        </w:tc>
        <w:tc>
          <w:tcPr>
            <w:tcW w:w="897" w:type="pct"/>
            <w:tcBorders>
              <w:top w:val="single" w:color="auto" w:sz="4" w:space="0"/>
              <w:left w:val="single" w:color="auto" w:sz="4" w:space="0"/>
              <w:bottom w:val="single" w:color="auto" w:sz="4" w:space="0"/>
              <w:right w:val="single" w:color="auto" w:sz="4" w:space="0"/>
            </w:tcBorders>
            <w:vAlign w:val="center"/>
          </w:tcPr>
          <w:p w14:paraId="2431A2ED">
            <w:r>
              <w:rPr>
                <w:rFonts w:hint="eastAsia" w:ascii="宋体" w:hAnsi="宋体"/>
              </w:rPr>
              <w:t>塑料制品</w:t>
            </w:r>
          </w:p>
        </w:tc>
        <w:tc>
          <w:tcPr>
            <w:tcW w:w="714" w:type="pct"/>
            <w:tcBorders>
              <w:top w:val="single" w:color="auto" w:sz="4" w:space="0"/>
              <w:left w:val="single" w:color="auto" w:sz="4" w:space="0"/>
              <w:bottom w:val="single" w:color="auto" w:sz="4" w:space="0"/>
              <w:right w:val="single" w:color="auto" w:sz="4" w:space="0"/>
            </w:tcBorders>
            <w:vAlign w:val="center"/>
          </w:tcPr>
          <w:p w14:paraId="1F441133">
            <w:pPr>
              <w:jc w:val="right"/>
            </w:pPr>
          </w:p>
        </w:tc>
        <w:tc>
          <w:tcPr>
            <w:tcW w:w="763" w:type="pct"/>
            <w:tcBorders>
              <w:top w:val="single" w:color="auto" w:sz="4" w:space="0"/>
              <w:left w:val="single" w:color="auto" w:sz="4" w:space="0"/>
              <w:bottom w:val="single" w:color="auto" w:sz="4" w:space="0"/>
              <w:right w:val="single" w:color="auto" w:sz="4" w:space="0"/>
            </w:tcBorders>
          </w:tcPr>
          <w:p w14:paraId="1154A6B9">
            <w:pPr>
              <w:jc w:val="right"/>
            </w:pPr>
          </w:p>
        </w:tc>
        <w:tc>
          <w:tcPr>
            <w:tcW w:w="641" w:type="pct"/>
            <w:tcBorders>
              <w:top w:val="single" w:color="auto" w:sz="4" w:space="0"/>
              <w:left w:val="single" w:color="auto" w:sz="4" w:space="0"/>
              <w:bottom w:val="single" w:color="auto" w:sz="4" w:space="0"/>
              <w:right w:val="single" w:color="auto" w:sz="4" w:space="0"/>
            </w:tcBorders>
          </w:tcPr>
          <w:p w14:paraId="778CCED6">
            <w:pPr>
              <w:jc w:val="center"/>
              <w:rPr>
                <w:color w:val="000000" w:themeColor="text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6FE7DA74">
            <w:pPr>
              <w:jc w:val="right"/>
            </w:pPr>
            <w:r>
              <w:t>11,797.00</w:t>
            </w:r>
          </w:p>
        </w:tc>
      </w:tr>
      <w:tr w14:paraId="4678A3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right"/>
        </w:trPr>
        <w:tc>
          <w:tcPr>
            <w:tcW w:w="1271" w:type="pct"/>
            <w:tcBorders>
              <w:top w:val="single" w:color="auto" w:sz="4" w:space="0"/>
              <w:left w:val="single" w:color="auto" w:sz="4" w:space="0"/>
              <w:bottom w:val="single" w:color="auto" w:sz="4" w:space="0"/>
              <w:right w:val="single" w:color="auto" w:sz="4" w:space="0"/>
            </w:tcBorders>
            <w:vAlign w:val="center"/>
          </w:tcPr>
          <w:p w14:paraId="115C2F6F">
            <w:r>
              <w:rPr>
                <w:rFonts w:hint="eastAsia" w:ascii="宋体" w:hAnsi="宋体"/>
              </w:rPr>
              <w:t>荣成荣研食品有限公司</w:t>
            </w:r>
          </w:p>
        </w:tc>
        <w:tc>
          <w:tcPr>
            <w:tcW w:w="897" w:type="pct"/>
            <w:tcBorders>
              <w:top w:val="single" w:color="auto" w:sz="4" w:space="0"/>
              <w:left w:val="single" w:color="auto" w:sz="4" w:space="0"/>
              <w:bottom w:val="single" w:color="auto" w:sz="4" w:space="0"/>
              <w:right w:val="single" w:color="auto" w:sz="4" w:space="0"/>
            </w:tcBorders>
            <w:vAlign w:val="center"/>
          </w:tcPr>
          <w:p w14:paraId="18946641">
            <w:r>
              <w:rPr>
                <w:rFonts w:hint="eastAsia" w:ascii="宋体" w:hAnsi="宋体"/>
              </w:rPr>
              <w:t>鱿鱼、劳务费、材料款</w:t>
            </w:r>
          </w:p>
        </w:tc>
        <w:tc>
          <w:tcPr>
            <w:tcW w:w="714" w:type="pct"/>
            <w:tcBorders>
              <w:top w:val="single" w:color="auto" w:sz="4" w:space="0"/>
              <w:left w:val="single" w:color="auto" w:sz="4" w:space="0"/>
              <w:bottom w:val="single" w:color="auto" w:sz="4" w:space="0"/>
              <w:right w:val="single" w:color="auto" w:sz="4" w:space="0"/>
            </w:tcBorders>
            <w:vAlign w:val="center"/>
          </w:tcPr>
          <w:p w14:paraId="1023968B">
            <w:pPr>
              <w:jc w:val="right"/>
            </w:pPr>
            <w:r>
              <w:t>108,215.49</w:t>
            </w:r>
          </w:p>
        </w:tc>
        <w:tc>
          <w:tcPr>
            <w:tcW w:w="763" w:type="pct"/>
            <w:tcBorders>
              <w:top w:val="single" w:color="auto" w:sz="4" w:space="0"/>
              <w:left w:val="single" w:color="auto" w:sz="4" w:space="0"/>
              <w:bottom w:val="single" w:color="auto" w:sz="4" w:space="0"/>
              <w:right w:val="single" w:color="auto" w:sz="4" w:space="0"/>
            </w:tcBorders>
          </w:tcPr>
          <w:p w14:paraId="40531E8C">
            <w:pPr>
              <w:jc w:val="right"/>
            </w:pPr>
          </w:p>
        </w:tc>
        <w:tc>
          <w:tcPr>
            <w:tcW w:w="641" w:type="pct"/>
            <w:tcBorders>
              <w:top w:val="single" w:color="auto" w:sz="4" w:space="0"/>
              <w:left w:val="single" w:color="auto" w:sz="4" w:space="0"/>
              <w:bottom w:val="single" w:color="auto" w:sz="4" w:space="0"/>
              <w:right w:val="single" w:color="auto" w:sz="4" w:space="0"/>
            </w:tcBorders>
          </w:tcPr>
          <w:p w14:paraId="4FC7C8B6">
            <w:pPr>
              <w:jc w:val="center"/>
              <w:rPr>
                <w:color w:val="000000" w:themeColor="text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3E6BBE84">
            <w:pPr>
              <w:jc w:val="right"/>
            </w:pPr>
            <w:r>
              <w:t>390,647.66</w:t>
            </w:r>
          </w:p>
        </w:tc>
      </w:tr>
      <w:tr w14:paraId="241B3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right"/>
        </w:trPr>
        <w:tc>
          <w:tcPr>
            <w:tcW w:w="1271" w:type="pct"/>
            <w:tcBorders>
              <w:top w:val="single" w:color="auto" w:sz="4" w:space="0"/>
              <w:left w:val="single" w:color="auto" w:sz="4" w:space="0"/>
              <w:bottom w:val="single" w:color="auto" w:sz="4" w:space="0"/>
              <w:right w:val="single" w:color="auto" w:sz="4" w:space="0"/>
            </w:tcBorders>
            <w:vAlign w:val="center"/>
          </w:tcPr>
          <w:p w14:paraId="0465B2B8">
            <w:r>
              <w:rPr>
                <w:rFonts w:hint="eastAsia" w:ascii="宋体" w:hAnsi="宋体"/>
              </w:rPr>
              <w:t>山东惠民好当家食品有限公司</w:t>
            </w:r>
          </w:p>
        </w:tc>
        <w:tc>
          <w:tcPr>
            <w:tcW w:w="897" w:type="pct"/>
            <w:tcBorders>
              <w:top w:val="single" w:color="auto" w:sz="4" w:space="0"/>
              <w:left w:val="single" w:color="auto" w:sz="4" w:space="0"/>
              <w:bottom w:val="single" w:color="auto" w:sz="4" w:space="0"/>
              <w:right w:val="single" w:color="auto" w:sz="4" w:space="0"/>
            </w:tcBorders>
            <w:vAlign w:val="center"/>
          </w:tcPr>
          <w:p w14:paraId="4C85DE69">
            <w:r>
              <w:rPr>
                <w:rFonts w:hint="eastAsia" w:ascii="宋体" w:hAnsi="宋体"/>
              </w:rPr>
              <w:t>蔬菜</w:t>
            </w:r>
          </w:p>
        </w:tc>
        <w:tc>
          <w:tcPr>
            <w:tcW w:w="714" w:type="pct"/>
            <w:tcBorders>
              <w:top w:val="single" w:color="auto" w:sz="4" w:space="0"/>
              <w:left w:val="single" w:color="auto" w:sz="4" w:space="0"/>
              <w:bottom w:val="single" w:color="auto" w:sz="4" w:space="0"/>
              <w:right w:val="single" w:color="auto" w:sz="4" w:space="0"/>
            </w:tcBorders>
            <w:vAlign w:val="center"/>
          </w:tcPr>
          <w:p w14:paraId="46B24A5F">
            <w:pPr>
              <w:jc w:val="right"/>
            </w:pPr>
            <w:r>
              <w:t>619,655.64</w:t>
            </w:r>
          </w:p>
        </w:tc>
        <w:tc>
          <w:tcPr>
            <w:tcW w:w="763" w:type="pct"/>
            <w:tcBorders>
              <w:top w:val="single" w:color="auto" w:sz="4" w:space="0"/>
              <w:left w:val="single" w:color="auto" w:sz="4" w:space="0"/>
              <w:bottom w:val="single" w:color="auto" w:sz="4" w:space="0"/>
              <w:right w:val="single" w:color="auto" w:sz="4" w:space="0"/>
            </w:tcBorders>
          </w:tcPr>
          <w:p w14:paraId="40DBEB63">
            <w:pPr>
              <w:jc w:val="right"/>
            </w:pPr>
          </w:p>
        </w:tc>
        <w:tc>
          <w:tcPr>
            <w:tcW w:w="641" w:type="pct"/>
            <w:tcBorders>
              <w:top w:val="single" w:color="auto" w:sz="4" w:space="0"/>
              <w:left w:val="single" w:color="auto" w:sz="4" w:space="0"/>
              <w:bottom w:val="single" w:color="auto" w:sz="4" w:space="0"/>
              <w:right w:val="single" w:color="auto" w:sz="4" w:space="0"/>
            </w:tcBorders>
          </w:tcPr>
          <w:p w14:paraId="4FE21CBD">
            <w:pPr>
              <w:jc w:val="center"/>
              <w:rPr>
                <w:color w:val="000000" w:themeColor="text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30756E74">
            <w:pPr>
              <w:jc w:val="right"/>
            </w:pPr>
            <w:r>
              <w:t>329,065.19</w:t>
            </w:r>
          </w:p>
        </w:tc>
      </w:tr>
      <w:tr w14:paraId="2B526D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right"/>
        </w:trPr>
        <w:tc>
          <w:tcPr>
            <w:tcW w:w="1271" w:type="pct"/>
            <w:tcBorders>
              <w:top w:val="single" w:color="auto" w:sz="4" w:space="0"/>
              <w:left w:val="single" w:color="auto" w:sz="4" w:space="0"/>
              <w:bottom w:val="single" w:color="auto" w:sz="4" w:space="0"/>
              <w:right w:val="single" w:color="auto" w:sz="4" w:space="0"/>
            </w:tcBorders>
            <w:vAlign w:val="center"/>
          </w:tcPr>
          <w:p w14:paraId="04872DB2">
            <w:r>
              <w:rPr>
                <w:rFonts w:hint="eastAsia" w:ascii="宋体" w:hAnsi="宋体"/>
              </w:rPr>
              <w:t>威海好当家调味品有限公司</w:t>
            </w:r>
          </w:p>
        </w:tc>
        <w:tc>
          <w:tcPr>
            <w:tcW w:w="897" w:type="pct"/>
            <w:tcBorders>
              <w:top w:val="single" w:color="auto" w:sz="4" w:space="0"/>
              <w:left w:val="single" w:color="auto" w:sz="4" w:space="0"/>
              <w:bottom w:val="single" w:color="auto" w:sz="4" w:space="0"/>
              <w:right w:val="single" w:color="auto" w:sz="4" w:space="0"/>
            </w:tcBorders>
            <w:vAlign w:val="center"/>
          </w:tcPr>
          <w:p w14:paraId="50F0CA86">
            <w:r>
              <w:rPr>
                <w:rFonts w:hint="eastAsia" w:ascii="宋体" w:hAnsi="宋体"/>
              </w:rPr>
              <w:t>酱油</w:t>
            </w:r>
          </w:p>
        </w:tc>
        <w:tc>
          <w:tcPr>
            <w:tcW w:w="714" w:type="pct"/>
            <w:tcBorders>
              <w:top w:val="single" w:color="auto" w:sz="4" w:space="0"/>
              <w:left w:val="single" w:color="auto" w:sz="4" w:space="0"/>
              <w:bottom w:val="single" w:color="auto" w:sz="4" w:space="0"/>
              <w:right w:val="single" w:color="auto" w:sz="4" w:space="0"/>
            </w:tcBorders>
            <w:vAlign w:val="center"/>
          </w:tcPr>
          <w:p w14:paraId="40964DBF">
            <w:pPr>
              <w:jc w:val="right"/>
            </w:pPr>
            <w:r>
              <w:t>148,003.49</w:t>
            </w:r>
          </w:p>
        </w:tc>
        <w:tc>
          <w:tcPr>
            <w:tcW w:w="763" w:type="pct"/>
            <w:tcBorders>
              <w:top w:val="single" w:color="auto" w:sz="4" w:space="0"/>
              <w:left w:val="single" w:color="auto" w:sz="4" w:space="0"/>
              <w:bottom w:val="single" w:color="auto" w:sz="4" w:space="0"/>
              <w:right w:val="single" w:color="auto" w:sz="4" w:space="0"/>
            </w:tcBorders>
          </w:tcPr>
          <w:p w14:paraId="613174C6">
            <w:pPr>
              <w:jc w:val="right"/>
            </w:pPr>
          </w:p>
        </w:tc>
        <w:tc>
          <w:tcPr>
            <w:tcW w:w="641" w:type="pct"/>
            <w:tcBorders>
              <w:top w:val="single" w:color="auto" w:sz="4" w:space="0"/>
              <w:left w:val="single" w:color="auto" w:sz="4" w:space="0"/>
              <w:bottom w:val="single" w:color="auto" w:sz="4" w:space="0"/>
              <w:right w:val="single" w:color="auto" w:sz="4" w:space="0"/>
            </w:tcBorders>
          </w:tcPr>
          <w:p w14:paraId="4159A858">
            <w:pPr>
              <w:jc w:val="center"/>
              <w:rPr>
                <w:color w:val="000000" w:themeColor="text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279C1EB2">
            <w:pPr>
              <w:jc w:val="right"/>
            </w:pPr>
            <w:r>
              <w:t>163,486.03</w:t>
            </w:r>
          </w:p>
        </w:tc>
      </w:tr>
      <w:tr w14:paraId="36C946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right"/>
        </w:trPr>
        <w:tc>
          <w:tcPr>
            <w:tcW w:w="1271" w:type="pct"/>
            <w:tcBorders>
              <w:top w:val="single" w:color="auto" w:sz="4" w:space="0"/>
              <w:left w:val="single" w:color="auto" w:sz="4" w:space="0"/>
              <w:bottom w:val="single" w:color="auto" w:sz="4" w:space="0"/>
              <w:right w:val="single" w:color="auto" w:sz="4" w:space="0"/>
            </w:tcBorders>
            <w:vAlign w:val="center"/>
          </w:tcPr>
          <w:p w14:paraId="51943A6D">
            <w:r>
              <w:rPr>
                <w:rFonts w:hint="eastAsia" w:ascii="宋体" w:hAnsi="宋体"/>
              </w:rPr>
              <w:t>荣成好当家工程建设有限公司</w:t>
            </w:r>
          </w:p>
        </w:tc>
        <w:tc>
          <w:tcPr>
            <w:tcW w:w="897" w:type="pct"/>
            <w:tcBorders>
              <w:top w:val="single" w:color="auto" w:sz="4" w:space="0"/>
              <w:left w:val="single" w:color="auto" w:sz="4" w:space="0"/>
              <w:bottom w:val="single" w:color="auto" w:sz="4" w:space="0"/>
              <w:right w:val="single" w:color="auto" w:sz="4" w:space="0"/>
            </w:tcBorders>
            <w:vAlign w:val="center"/>
          </w:tcPr>
          <w:p w14:paraId="3E9256CB">
            <w:r>
              <w:rPr>
                <w:rFonts w:hint="eastAsia" w:ascii="宋体" w:hAnsi="宋体"/>
              </w:rPr>
              <w:t>劳务费、工程款</w:t>
            </w:r>
          </w:p>
        </w:tc>
        <w:tc>
          <w:tcPr>
            <w:tcW w:w="714" w:type="pct"/>
            <w:tcBorders>
              <w:top w:val="single" w:color="auto" w:sz="4" w:space="0"/>
              <w:left w:val="single" w:color="auto" w:sz="4" w:space="0"/>
              <w:bottom w:val="single" w:color="auto" w:sz="4" w:space="0"/>
              <w:right w:val="single" w:color="auto" w:sz="4" w:space="0"/>
            </w:tcBorders>
            <w:vAlign w:val="center"/>
          </w:tcPr>
          <w:p w14:paraId="0F187281">
            <w:pPr>
              <w:jc w:val="right"/>
            </w:pPr>
            <w:r>
              <w:t>439,047.19</w:t>
            </w:r>
          </w:p>
        </w:tc>
        <w:tc>
          <w:tcPr>
            <w:tcW w:w="763" w:type="pct"/>
            <w:tcBorders>
              <w:top w:val="single" w:color="auto" w:sz="4" w:space="0"/>
              <w:left w:val="single" w:color="auto" w:sz="4" w:space="0"/>
              <w:bottom w:val="single" w:color="auto" w:sz="4" w:space="0"/>
              <w:right w:val="single" w:color="auto" w:sz="4" w:space="0"/>
            </w:tcBorders>
          </w:tcPr>
          <w:p w14:paraId="37ED80A7">
            <w:pPr>
              <w:jc w:val="right"/>
            </w:pPr>
          </w:p>
        </w:tc>
        <w:tc>
          <w:tcPr>
            <w:tcW w:w="641" w:type="pct"/>
            <w:tcBorders>
              <w:top w:val="single" w:color="auto" w:sz="4" w:space="0"/>
              <w:left w:val="single" w:color="auto" w:sz="4" w:space="0"/>
              <w:bottom w:val="single" w:color="auto" w:sz="4" w:space="0"/>
              <w:right w:val="single" w:color="auto" w:sz="4" w:space="0"/>
            </w:tcBorders>
          </w:tcPr>
          <w:p w14:paraId="2D6D4C94">
            <w:pPr>
              <w:jc w:val="center"/>
              <w:rPr>
                <w:color w:val="000000" w:themeColor="text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551F8F4C">
            <w:pPr>
              <w:jc w:val="right"/>
            </w:pPr>
            <w:r>
              <w:t>4,783,328.00</w:t>
            </w:r>
          </w:p>
        </w:tc>
      </w:tr>
      <w:tr w14:paraId="05313B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right"/>
        </w:trPr>
        <w:tc>
          <w:tcPr>
            <w:tcW w:w="1271" w:type="pct"/>
            <w:tcBorders>
              <w:top w:val="single" w:color="auto" w:sz="4" w:space="0"/>
              <w:left w:val="single" w:color="auto" w:sz="4" w:space="0"/>
              <w:bottom w:val="single" w:color="auto" w:sz="4" w:space="0"/>
              <w:right w:val="single" w:color="auto" w:sz="4" w:space="0"/>
            </w:tcBorders>
            <w:vAlign w:val="center"/>
          </w:tcPr>
          <w:p w14:paraId="04CAC36B">
            <w:pPr>
              <w:rPr>
                <w:rFonts w:hint="eastAsia" w:ascii="宋体" w:hAnsi="宋体"/>
              </w:rPr>
            </w:pPr>
            <w:r>
              <w:rPr>
                <w:rFonts w:hint="eastAsia" w:ascii="宋体" w:hAnsi="宋体"/>
              </w:rPr>
              <w:t>荣成市荣航安装有限公司</w:t>
            </w:r>
          </w:p>
        </w:tc>
        <w:tc>
          <w:tcPr>
            <w:tcW w:w="897" w:type="pct"/>
            <w:tcBorders>
              <w:top w:val="single" w:color="auto" w:sz="4" w:space="0"/>
              <w:left w:val="single" w:color="auto" w:sz="4" w:space="0"/>
              <w:bottom w:val="single" w:color="auto" w:sz="4" w:space="0"/>
              <w:right w:val="single" w:color="auto" w:sz="4" w:space="0"/>
            </w:tcBorders>
            <w:vAlign w:val="center"/>
          </w:tcPr>
          <w:p w14:paraId="71B7A374">
            <w:pPr>
              <w:rPr>
                <w:rFonts w:hint="eastAsia" w:ascii="宋体" w:hAnsi="宋体"/>
              </w:rPr>
            </w:pPr>
            <w:r>
              <w:rPr>
                <w:rFonts w:hint="eastAsia" w:ascii="宋体" w:hAnsi="宋体"/>
              </w:rPr>
              <w:t>修理及安装费</w:t>
            </w:r>
          </w:p>
        </w:tc>
        <w:tc>
          <w:tcPr>
            <w:tcW w:w="714" w:type="pct"/>
            <w:tcBorders>
              <w:top w:val="single" w:color="auto" w:sz="4" w:space="0"/>
              <w:left w:val="single" w:color="auto" w:sz="4" w:space="0"/>
              <w:bottom w:val="single" w:color="auto" w:sz="4" w:space="0"/>
              <w:right w:val="single" w:color="auto" w:sz="4" w:space="0"/>
            </w:tcBorders>
            <w:vAlign w:val="center"/>
          </w:tcPr>
          <w:p w14:paraId="2D069333">
            <w:pPr>
              <w:jc w:val="right"/>
            </w:pPr>
            <w:r>
              <w:t>1,362,334.40</w:t>
            </w:r>
          </w:p>
        </w:tc>
        <w:tc>
          <w:tcPr>
            <w:tcW w:w="763" w:type="pct"/>
            <w:tcBorders>
              <w:top w:val="single" w:color="auto" w:sz="4" w:space="0"/>
              <w:left w:val="single" w:color="auto" w:sz="4" w:space="0"/>
              <w:bottom w:val="single" w:color="auto" w:sz="4" w:space="0"/>
              <w:right w:val="single" w:color="auto" w:sz="4" w:space="0"/>
            </w:tcBorders>
          </w:tcPr>
          <w:p w14:paraId="7049E151">
            <w:pPr>
              <w:jc w:val="right"/>
            </w:pPr>
          </w:p>
        </w:tc>
        <w:tc>
          <w:tcPr>
            <w:tcW w:w="641" w:type="pct"/>
            <w:tcBorders>
              <w:top w:val="single" w:color="auto" w:sz="4" w:space="0"/>
              <w:left w:val="single" w:color="auto" w:sz="4" w:space="0"/>
              <w:bottom w:val="single" w:color="auto" w:sz="4" w:space="0"/>
              <w:right w:val="single" w:color="auto" w:sz="4" w:space="0"/>
            </w:tcBorders>
          </w:tcPr>
          <w:p w14:paraId="5D55DFCD">
            <w:pPr>
              <w:jc w:val="center"/>
              <w:rPr>
                <w:color w:val="000000" w:themeColor="text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4277B395">
            <w:pPr>
              <w:jc w:val="right"/>
            </w:pPr>
          </w:p>
        </w:tc>
      </w:tr>
      <w:tr w14:paraId="1A0DB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right"/>
        </w:trPr>
        <w:tc>
          <w:tcPr>
            <w:tcW w:w="1271" w:type="pct"/>
            <w:tcBorders>
              <w:top w:val="single" w:color="auto" w:sz="4" w:space="0"/>
              <w:left w:val="single" w:color="auto" w:sz="4" w:space="0"/>
              <w:bottom w:val="single" w:color="auto" w:sz="4" w:space="0"/>
              <w:right w:val="single" w:color="auto" w:sz="4" w:space="0"/>
            </w:tcBorders>
            <w:vAlign w:val="center"/>
          </w:tcPr>
          <w:p w14:paraId="2CA5D210">
            <w:pPr>
              <w:rPr>
                <w:rFonts w:hint="eastAsia" w:ascii="宋体" w:hAnsi="宋体"/>
              </w:rPr>
            </w:pPr>
            <w:r>
              <w:rPr>
                <w:rFonts w:hint="eastAsia" w:ascii="宋体" w:hAnsi="宋体"/>
              </w:rPr>
              <w:t>荣成市好当家船舶制造有限公司</w:t>
            </w:r>
          </w:p>
        </w:tc>
        <w:tc>
          <w:tcPr>
            <w:tcW w:w="897" w:type="pct"/>
            <w:tcBorders>
              <w:top w:val="single" w:color="auto" w:sz="4" w:space="0"/>
              <w:left w:val="single" w:color="auto" w:sz="4" w:space="0"/>
              <w:bottom w:val="single" w:color="auto" w:sz="4" w:space="0"/>
              <w:right w:val="single" w:color="auto" w:sz="4" w:space="0"/>
            </w:tcBorders>
            <w:vAlign w:val="center"/>
          </w:tcPr>
          <w:p w14:paraId="70786CCD">
            <w:pPr>
              <w:rPr>
                <w:rFonts w:hint="eastAsia" w:ascii="宋体" w:hAnsi="宋体"/>
              </w:rPr>
            </w:pPr>
            <w:r>
              <w:rPr>
                <w:rFonts w:hint="eastAsia" w:ascii="宋体" w:hAnsi="宋体"/>
              </w:rPr>
              <w:t>船舶修理费</w:t>
            </w:r>
          </w:p>
        </w:tc>
        <w:tc>
          <w:tcPr>
            <w:tcW w:w="714" w:type="pct"/>
            <w:tcBorders>
              <w:top w:val="single" w:color="auto" w:sz="4" w:space="0"/>
              <w:left w:val="single" w:color="auto" w:sz="4" w:space="0"/>
              <w:bottom w:val="single" w:color="auto" w:sz="4" w:space="0"/>
              <w:right w:val="single" w:color="auto" w:sz="4" w:space="0"/>
            </w:tcBorders>
            <w:vAlign w:val="center"/>
          </w:tcPr>
          <w:p w14:paraId="56F2EF21">
            <w:pPr>
              <w:jc w:val="right"/>
            </w:pPr>
            <w:r>
              <w:rPr>
                <w:rFonts w:hint="eastAsia"/>
              </w:rPr>
              <w:t>42000.00</w:t>
            </w:r>
          </w:p>
        </w:tc>
        <w:tc>
          <w:tcPr>
            <w:tcW w:w="763" w:type="pct"/>
            <w:tcBorders>
              <w:top w:val="single" w:color="auto" w:sz="4" w:space="0"/>
              <w:left w:val="single" w:color="auto" w:sz="4" w:space="0"/>
              <w:bottom w:val="single" w:color="auto" w:sz="4" w:space="0"/>
              <w:right w:val="single" w:color="auto" w:sz="4" w:space="0"/>
            </w:tcBorders>
          </w:tcPr>
          <w:p w14:paraId="40CCAC2A">
            <w:pPr>
              <w:jc w:val="right"/>
            </w:pPr>
          </w:p>
        </w:tc>
        <w:tc>
          <w:tcPr>
            <w:tcW w:w="641" w:type="pct"/>
            <w:tcBorders>
              <w:top w:val="single" w:color="auto" w:sz="4" w:space="0"/>
              <w:left w:val="single" w:color="auto" w:sz="4" w:space="0"/>
              <w:bottom w:val="single" w:color="auto" w:sz="4" w:space="0"/>
              <w:right w:val="single" w:color="auto" w:sz="4" w:space="0"/>
            </w:tcBorders>
          </w:tcPr>
          <w:p w14:paraId="06F5A5AC">
            <w:pPr>
              <w:jc w:val="center"/>
              <w:rPr>
                <w:color w:val="000000" w:themeColor="text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18E165DE">
            <w:pPr>
              <w:jc w:val="right"/>
            </w:pPr>
          </w:p>
        </w:tc>
      </w:tr>
    </w:tbl>
    <w:p w14:paraId="56C21E9E">
      <w:pPr>
        <w:rPr>
          <w:color w:val="000000" w:themeColor="text1"/>
          <w14:textFill>
            <w14:solidFill>
              <w14:schemeClr w14:val="tx1"/>
            </w14:solidFill>
          </w14:textFill>
        </w:rPr>
      </w:pPr>
    </w:p>
    <w:bookmarkEnd w:id="399"/>
    <w:bookmarkEnd w:id="400"/>
    <w:p w14:paraId="701D7181">
      <w:pPr>
        <w:ind w:right="-775" w:rightChars="-369"/>
        <w:rPr>
          <w:color w:val="000000" w:themeColor="text1"/>
          <w14:textFill>
            <w14:solidFill>
              <w14:schemeClr w14:val="tx1"/>
            </w14:solidFill>
          </w14:textFill>
        </w:rPr>
      </w:pPr>
      <w:r>
        <w:rPr>
          <w:rFonts w:hint="eastAsia"/>
          <w:color w:val="000000" w:themeColor="text1"/>
          <w14:textFill>
            <w14:solidFill>
              <w14:schemeClr w14:val="tx1"/>
            </w14:solidFill>
          </w14:textFill>
        </w:rPr>
        <w:t>出售商品/提供劳务情况表</w:t>
      </w:r>
    </w:p>
    <w:sdt>
      <w:sdtPr>
        <w:rPr>
          <w:color w:val="000000" w:themeColor="text1"/>
          <w14:textFill>
            <w14:solidFill>
              <w14:schemeClr w14:val="tx1"/>
            </w14:solidFill>
          </w14:textFill>
        </w:rPr>
        <w:alias w:val="是否适用：出售商品或提供劳务情况表[双击切换]"/>
        <w:tag w:val="_GBC_18ae630e2f3641959d3a9fc1a3f3ccf3"/>
        <w:id w:val="-658767299"/>
        <w:placeholder>
          <w:docPart w:val="GBC22222222222222222222222222222"/>
        </w:placeholder>
      </w:sdtPr>
      <w:sdtEndPr>
        <w:rPr>
          <w:color w:val="000000" w:themeColor="text1"/>
          <w14:textFill>
            <w14:solidFill>
              <w14:schemeClr w14:val="tx1"/>
            </w14:solidFill>
          </w14:textFill>
        </w:rPr>
      </w:sdtEndPr>
      <w:sdtContent>
        <w:p w14:paraId="34986776">
          <w:pPr>
            <w:ind w:right="-775" w:rightChars="-369"/>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5C5EE9C">
      <w:pPr>
        <w:tabs>
          <w:tab w:val="left" w:pos="3870"/>
        </w:tabs>
        <w:jc w:val="right"/>
        <w:rPr>
          <w:rFonts w:cs="Cambria"/>
          <w:color w:val="000000" w:themeColor="text1"/>
          <w14:textFill>
            <w14:solidFill>
              <w14:schemeClr w14:val="tx1"/>
            </w14:solidFill>
          </w14:textFill>
        </w:rPr>
      </w:pPr>
      <w:r>
        <w:rPr>
          <w:color w:val="000000" w:themeColor="text1"/>
          <w14:textFill>
            <w14:solidFill>
              <w14:schemeClr w14:val="tx1"/>
            </w14:solidFill>
          </w14:textFill>
        </w:rPr>
        <w:t>单位</w:t>
      </w:r>
      <w:r>
        <w:rPr>
          <w:rFonts w:hint="eastAsia"/>
          <w:color w:val="000000" w:themeColor="text1"/>
          <w14:textFill>
            <w14:solidFill>
              <w14:schemeClr w14:val="tx1"/>
            </w14:solidFill>
          </w14:textFill>
        </w:rPr>
        <w:t>：</w:t>
      </w:r>
      <w:sdt>
        <w:sdtPr>
          <w:rPr>
            <w:color w:val="000000" w:themeColor="text1"/>
            <w14:textFill>
              <w14:solidFill>
                <w14:schemeClr w14:val="tx1"/>
              </w14:solidFill>
            </w14:textFill>
          </w:rPr>
          <w:alias w:val="单位：出售商品提供劳务情况表"/>
          <w:tag w:val="_GBC_d53494f853ed4767a511f9c2c780c566"/>
          <w:id w:val="4892156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元</w:t>
          </w:r>
        </w:sdtContent>
      </w:sdt>
      <w:r>
        <w:rPr>
          <w:color w:val="000000" w:themeColor="text1"/>
          <w14:textFill>
            <w14:solidFill>
              <w14:schemeClr w14:val="tx1"/>
            </w14:solidFill>
          </w14:textFill>
        </w:rPr>
        <w:t xml:space="preserve"> 币种：</w:t>
      </w:r>
      <w:sdt>
        <w:sdtPr>
          <w:rPr>
            <w:color w:val="000000" w:themeColor="text1"/>
            <w14:textFill>
              <w14:solidFill>
                <w14:schemeClr w14:val="tx1"/>
              </w14:solidFill>
            </w14:textFill>
          </w:rPr>
          <w:alias w:val="币种：出售商品提供劳务情况表"/>
          <w:tag w:val="_GBC_d298f57687684d2eafef1d8c13d51722"/>
          <w:id w:val="18630126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人民币</w:t>
          </w:r>
        </w:sdtContent>
      </w:sdt>
    </w:p>
    <w:tbl>
      <w:tblPr>
        <w:tblStyle w:val="37"/>
        <w:tblW w:w="5405" w:type="pct"/>
        <w:tblInd w:w="-71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30" w:type="dxa"/>
          <w:bottom w:w="0" w:type="dxa"/>
          <w:right w:w="30" w:type="dxa"/>
        </w:tblCellMar>
      </w:tblPr>
      <w:tblGrid>
        <w:gridCol w:w="3109"/>
        <w:gridCol w:w="3695"/>
        <w:gridCol w:w="1419"/>
        <w:gridCol w:w="1315"/>
      </w:tblGrid>
      <w:tr w14:paraId="0373B9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Height w:val="273" w:hRule="atLeast"/>
        </w:trPr>
        <w:sdt>
          <w:sdtPr>
            <w:tag w:val="_PLD_70510986aab647e99b00ba57c32e64cd"/>
            <w:id w:val="-937132307"/>
          </w:sdtPr>
          <w:sdtContent>
            <w:tc>
              <w:tcPr>
                <w:tcW w:w="1630" w:type="pct"/>
                <w:tcBorders>
                  <w:top w:val="single" w:color="auto" w:sz="4" w:space="0"/>
                  <w:left w:val="single" w:color="auto" w:sz="4" w:space="0"/>
                  <w:bottom w:val="single" w:color="auto" w:sz="4" w:space="0"/>
                  <w:right w:val="single" w:color="auto" w:sz="4" w:space="0"/>
                </w:tcBorders>
                <w:vAlign w:val="center"/>
              </w:tcPr>
              <w:p w14:paraId="255FC139">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关联方</w:t>
                </w:r>
              </w:p>
            </w:tc>
          </w:sdtContent>
        </w:sdt>
        <w:sdt>
          <w:sdtPr>
            <w:tag w:val="_PLD_66da90262f3d401c8151235b4c6f5e93"/>
            <w:id w:val="-1336604704"/>
          </w:sdtPr>
          <w:sdtContent>
            <w:tc>
              <w:tcPr>
                <w:tcW w:w="1937" w:type="pct"/>
                <w:tcBorders>
                  <w:top w:val="single" w:color="auto" w:sz="4" w:space="0"/>
                  <w:left w:val="single" w:color="auto" w:sz="4" w:space="0"/>
                  <w:bottom w:val="single" w:color="auto" w:sz="4" w:space="0"/>
                  <w:right w:val="single" w:color="auto" w:sz="4" w:space="0"/>
                </w:tcBorders>
                <w:vAlign w:val="center"/>
              </w:tcPr>
              <w:p w14:paraId="6584666C">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关联交易内容</w:t>
                </w:r>
              </w:p>
            </w:tc>
          </w:sdtContent>
        </w:sdt>
        <w:sdt>
          <w:sdtPr>
            <w:tag w:val="_PLD_09c424bd80324eb49dafea569ce1931b"/>
            <w:id w:val="2062753204"/>
          </w:sdtPr>
          <w:sdtContent>
            <w:tc>
              <w:tcPr>
                <w:tcW w:w="744" w:type="pct"/>
                <w:tcBorders>
                  <w:top w:val="single" w:color="auto" w:sz="4" w:space="0"/>
                  <w:left w:val="single" w:color="auto" w:sz="4" w:space="0"/>
                  <w:right w:val="single" w:color="auto" w:sz="4" w:space="0"/>
                </w:tcBorders>
                <w:vAlign w:val="center"/>
              </w:tcPr>
              <w:p w14:paraId="235A1859">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本期发生额</w:t>
                </w:r>
              </w:p>
            </w:tc>
          </w:sdtContent>
        </w:sdt>
        <w:sdt>
          <w:sdtPr>
            <w:tag w:val="_PLD_fd0f9e0691744db49d5ceaf95d42197c"/>
            <w:id w:val="-637422834"/>
          </w:sdtPr>
          <w:sdtContent>
            <w:tc>
              <w:tcPr>
                <w:tcW w:w="689" w:type="pct"/>
                <w:tcBorders>
                  <w:top w:val="single" w:color="auto" w:sz="4" w:space="0"/>
                  <w:left w:val="single" w:color="auto" w:sz="4" w:space="0"/>
                  <w:right w:val="single" w:color="auto" w:sz="4" w:space="0"/>
                </w:tcBorders>
                <w:vAlign w:val="center"/>
              </w:tcPr>
              <w:p w14:paraId="5264E360">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上期发生额</w:t>
                </w:r>
              </w:p>
            </w:tc>
          </w:sdtContent>
        </w:sdt>
      </w:tr>
      <w:tr w14:paraId="76DEF3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727B5FD1">
            <w:r>
              <w:rPr>
                <w:rFonts w:hint="eastAsia" w:ascii="宋体" w:hAnsi="宋体"/>
              </w:rPr>
              <w:t>好当家集团有限公司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0217CB64">
            <w:r>
              <w:rPr>
                <w:rFonts w:hint="eastAsia" w:ascii="宋体" w:hAnsi="宋体"/>
              </w:rPr>
              <w:t>火腿、色拉油、大豆油、保健品、鱼碎肉、海产品、香油、鸡蛋、检测费</w:t>
            </w:r>
          </w:p>
        </w:tc>
        <w:tc>
          <w:tcPr>
            <w:tcW w:w="744" w:type="pct"/>
            <w:tcBorders>
              <w:top w:val="single" w:color="auto" w:sz="4" w:space="0"/>
              <w:left w:val="single" w:color="auto" w:sz="4" w:space="0"/>
              <w:bottom w:val="single" w:color="auto" w:sz="4" w:space="0"/>
              <w:right w:val="single" w:color="auto" w:sz="4" w:space="0"/>
            </w:tcBorders>
            <w:vAlign w:val="center"/>
          </w:tcPr>
          <w:p w14:paraId="65E2758C">
            <w:pPr>
              <w:jc w:val="right"/>
            </w:pPr>
            <w:r>
              <w:t>2,440,811.02</w:t>
            </w:r>
          </w:p>
        </w:tc>
        <w:tc>
          <w:tcPr>
            <w:tcW w:w="689" w:type="pct"/>
            <w:tcBorders>
              <w:top w:val="single" w:color="auto" w:sz="4" w:space="0"/>
              <w:left w:val="single" w:color="auto" w:sz="4" w:space="0"/>
              <w:bottom w:val="single" w:color="auto" w:sz="4" w:space="0"/>
              <w:right w:val="single" w:color="auto" w:sz="4" w:space="0"/>
            </w:tcBorders>
            <w:vAlign w:val="center"/>
          </w:tcPr>
          <w:p w14:paraId="3BC45ADF">
            <w:pPr>
              <w:jc w:val="right"/>
            </w:pPr>
            <w:r>
              <w:t>776,964.55</w:t>
            </w:r>
          </w:p>
        </w:tc>
      </w:tr>
      <w:tr w14:paraId="321257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0B4CFF8B">
            <w:pPr>
              <w:rPr>
                <w:rFonts w:hint="eastAsia" w:ascii="宋体" w:hAnsi="宋体"/>
              </w:rPr>
            </w:pPr>
            <w:r>
              <w:rPr>
                <w:rFonts w:hint="eastAsia" w:ascii="宋体" w:hAnsi="宋体"/>
              </w:rPr>
              <w:t>山东邱家实业有限公司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23F41E3C">
            <w:pPr>
              <w:rPr>
                <w:rFonts w:hint="eastAsia" w:ascii="宋体" w:hAnsi="宋体"/>
              </w:rPr>
            </w:pPr>
            <w:r>
              <w:rPr>
                <w:rFonts w:hint="eastAsia" w:ascii="宋体" w:hAnsi="宋体"/>
              </w:rPr>
              <w:t>厂房租金</w:t>
            </w:r>
          </w:p>
        </w:tc>
        <w:tc>
          <w:tcPr>
            <w:tcW w:w="744" w:type="pct"/>
            <w:tcBorders>
              <w:top w:val="single" w:color="auto" w:sz="4" w:space="0"/>
              <w:left w:val="single" w:color="auto" w:sz="4" w:space="0"/>
              <w:bottom w:val="single" w:color="auto" w:sz="4" w:space="0"/>
              <w:right w:val="single" w:color="auto" w:sz="4" w:space="0"/>
            </w:tcBorders>
            <w:vAlign w:val="center"/>
          </w:tcPr>
          <w:p w14:paraId="6738BA1D">
            <w:pPr>
              <w:jc w:val="right"/>
            </w:pPr>
            <w:r>
              <w:t>779,816.51</w:t>
            </w:r>
          </w:p>
        </w:tc>
        <w:tc>
          <w:tcPr>
            <w:tcW w:w="689" w:type="pct"/>
            <w:tcBorders>
              <w:top w:val="single" w:color="auto" w:sz="4" w:space="0"/>
              <w:left w:val="single" w:color="auto" w:sz="4" w:space="0"/>
              <w:bottom w:val="single" w:color="auto" w:sz="4" w:space="0"/>
              <w:right w:val="single" w:color="auto" w:sz="4" w:space="0"/>
            </w:tcBorders>
            <w:vAlign w:val="center"/>
          </w:tcPr>
          <w:p w14:paraId="0648CDF8">
            <w:pPr>
              <w:jc w:val="right"/>
            </w:pPr>
          </w:p>
        </w:tc>
      </w:tr>
      <w:tr w14:paraId="49E96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5A15E9E2">
            <w:r>
              <w:rPr>
                <w:rFonts w:hint="eastAsia" w:ascii="宋体" w:hAnsi="宋体"/>
              </w:rPr>
              <w:t>荣成荣研食品有限公司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15BA62F0">
            <w:r>
              <w:rPr>
                <w:rFonts w:hint="eastAsia" w:ascii="宋体" w:hAnsi="宋体"/>
              </w:rPr>
              <w:t>海藻糖、检测费、鸡蛋、大豆油</w:t>
            </w:r>
          </w:p>
        </w:tc>
        <w:tc>
          <w:tcPr>
            <w:tcW w:w="744" w:type="pct"/>
            <w:tcBorders>
              <w:top w:val="single" w:color="auto" w:sz="4" w:space="0"/>
              <w:left w:val="single" w:color="auto" w:sz="4" w:space="0"/>
              <w:bottom w:val="single" w:color="auto" w:sz="4" w:space="0"/>
              <w:right w:val="single" w:color="auto" w:sz="4" w:space="0"/>
            </w:tcBorders>
            <w:vAlign w:val="center"/>
          </w:tcPr>
          <w:p w14:paraId="2A7250E1">
            <w:pPr>
              <w:jc w:val="right"/>
            </w:pPr>
            <w:r>
              <w:t>73,700.00</w:t>
            </w:r>
          </w:p>
        </w:tc>
        <w:tc>
          <w:tcPr>
            <w:tcW w:w="689" w:type="pct"/>
            <w:tcBorders>
              <w:top w:val="single" w:color="auto" w:sz="4" w:space="0"/>
              <w:left w:val="single" w:color="auto" w:sz="4" w:space="0"/>
              <w:bottom w:val="single" w:color="auto" w:sz="4" w:space="0"/>
              <w:right w:val="single" w:color="auto" w:sz="4" w:space="0"/>
            </w:tcBorders>
            <w:vAlign w:val="center"/>
          </w:tcPr>
          <w:p w14:paraId="7E958A59">
            <w:pPr>
              <w:jc w:val="right"/>
            </w:pPr>
            <w:r>
              <w:t>45,700.00</w:t>
            </w:r>
          </w:p>
        </w:tc>
      </w:tr>
      <w:tr w14:paraId="1D7EBA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778290A9">
            <w:r>
              <w:rPr>
                <w:rFonts w:hint="eastAsia" w:ascii="宋体" w:hAnsi="宋体"/>
              </w:rPr>
              <w:t>荣成加荣食品有限公司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66F4AD7C">
            <w:r>
              <w:rPr>
                <w:rFonts w:hint="eastAsia" w:ascii="宋体" w:hAnsi="宋体"/>
              </w:rPr>
              <w:t>鱿鱼、肉丸、酱油、设备、检测费、鸡蛋、大豆油、海鲜排、色拉油、海产品</w:t>
            </w:r>
          </w:p>
        </w:tc>
        <w:tc>
          <w:tcPr>
            <w:tcW w:w="744" w:type="pct"/>
            <w:tcBorders>
              <w:top w:val="single" w:color="auto" w:sz="4" w:space="0"/>
              <w:left w:val="single" w:color="auto" w:sz="4" w:space="0"/>
              <w:bottom w:val="single" w:color="auto" w:sz="4" w:space="0"/>
              <w:right w:val="single" w:color="auto" w:sz="4" w:space="0"/>
            </w:tcBorders>
            <w:vAlign w:val="center"/>
          </w:tcPr>
          <w:p w14:paraId="53B06542">
            <w:pPr>
              <w:jc w:val="right"/>
            </w:pPr>
            <w:r>
              <w:t>380,650.43</w:t>
            </w:r>
          </w:p>
        </w:tc>
        <w:tc>
          <w:tcPr>
            <w:tcW w:w="689" w:type="pct"/>
            <w:tcBorders>
              <w:top w:val="single" w:color="auto" w:sz="4" w:space="0"/>
              <w:left w:val="single" w:color="auto" w:sz="4" w:space="0"/>
              <w:bottom w:val="single" w:color="auto" w:sz="4" w:space="0"/>
              <w:right w:val="single" w:color="auto" w:sz="4" w:space="0"/>
            </w:tcBorders>
            <w:vAlign w:val="center"/>
          </w:tcPr>
          <w:p w14:paraId="31296E71">
            <w:pPr>
              <w:jc w:val="right"/>
            </w:pPr>
            <w:r>
              <w:t>884,275.39</w:t>
            </w:r>
          </w:p>
        </w:tc>
      </w:tr>
      <w:tr w14:paraId="6C288D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4F306E57">
            <w:r>
              <w:rPr>
                <w:rFonts w:hint="eastAsia" w:ascii="宋体" w:hAnsi="宋体"/>
              </w:rPr>
              <w:t>威海好当家天海湾水城旅游服务有限公司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1005D46D">
            <w:r>
              <w:rPr>
                <w:rFonts w:hint="eastAsia" w:ascii="宋体" w:hAnsi="宋体"/>
              </w:rPr>
              <w:t>火腿、鸡蛋、大豆油、色拉油、保健品</w:t>
            </w:r>
          </w:p>
        </w:tc>
        <w:tc>
          <w:tcPr>
            <w:tcW w:w="744" w:type="pct"/>
            <w:tcBorders>
              <w:top w:val="single" w:color="auto" w:sz="4" w:space="0"/>
              <w:left w:val="single" w:color="auto" w:sz="4" w:space="0"/>
              <w:bottom w:val="single" w:color="auto" w:sz="4" w:space="0"/>
              <w:right w:val="single" w:color="auto" w:sz="4" w:space="0"/>
            </w:tcBorders>
            <w:vAlign w:val="center"/>
          </w:tcPr>
          <w:p w14:paraId="4AB324C0">
            <w:pPr>
              <w:jc w:val="right"/>
            </w:pPr>
            <w:r>
              <w:t>188,705.04</w:t>
            </w:r>
          </w:p>
        </w:tc>
        <w:tc>
          <w:tcPr>
            <w:tcW w:w="689" w:type="pct"/>
            <w:tcBorders>
              <w:top w:val="single" w:color="auto" w:sz="4" w:space="0"/>
              <w:left w:val="single" w:color="auto" w:sz="4" w:space="0"/>
              <w:bottom w:val="single" w:color="auto" w:sz="4" w:space="0"/>
              <w:right w:val="single" w:color="auto" w:sz="4" w:space="0"/>
            </w:tcBorders>
            <w:vAlign w:val="center"/>
          </w:tcPr>
          <w:p w14:paraId="5595BAB5">
            <w:pPr>
              <w:jc w:val="right"/>
            </w:pPr>
            <w:r>
              <w:t>231,526.73</w:t>
            </w:r>
          </w:p>
        </w:tc>
      </w:tr>
      <w:tr w14:paraId="65B9CF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4147D3D9">
            <w:r>
              <w:rPr>
                <w:rFonts w:hint="eastAsia" w:ascii="宋体" w:hAnsi="宋体"/>
              </w:rPr>
              <w:t>荣成海盛纸业有限公司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7B96F6AF">
            <w:r>
              <w:rPr>
                <w:rFonts w:hint="eastAsia" w:ascii="宋体" w:hAnsi="宋体"/>
              </w:rPr>
              <w:t>废纸壳、检测费、鸡蛋、大豆油、色拉油、保健品</w:t>
            </w:r>
          </w:p>
        </w:tc>
        <w:tc>
          <w:tcPr>
            <w:tcW w:w="744" w:type="pct"/>
            <w:tcBorders>
              <w:top w:val="single" w:color="auto" w:sz="4" w:space="0"/>
              <w:left w:val="single" w:color="auto" w:sz="4" w:space="0"/>
              <w:bottom w:val="single" w:color="auto" w:sz="4" w:space="0"/>
              <w:right w:val="single" w:color="auto" w:sz="4" w:space="0"/>
            </w:tcBorders>
            <w:vAlign w:val="center"/>
          </w:tcPr>
          <w:p w14:paraId="69828305">
            <w:pPr>
              <w:jc w:val="right"/>
            </w:pPr>
            <w:r>
              <w:t>144,422.19</w:t>
            </w:r>
          </w:p>
        </w:tc>
        <w:tc>
          <w:tcPr>
            <w:tcW w:w="689" w:type="pct"/>
            <w:tcBorders>
              <w:top w:val="single" w:color="auto" w:sz="4" w:space="0"/>
              <w:left w:val="single" w:color="auto" w:sz="4" w:space="0"/>
              <w:bottom w:val="single" w:color="auto" w:sz="4" w:space="0"/>
              <w:right w:val="single" w:color="auto" w:sz="4" w:space="0"/>
            </w:tcBorders>
            <w:vAlign w:val="center"/>
          </w:tcPr>
          <w:p w14:paraId="4EE942F0">
            <w:pPr>
              <w:jc w:val="right"/>
            </w:pPr>
            <w:r>
              <w:t>42,606.74</w:t>
            </w:r>
          </w:p>
        </w:tc>
      </w:tr>
      <w:tr w14:paraId="6DDF96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0CDB39A8">
            <w:r>
              <w:rPr>
                <w:rFonts w:hint="eastAsia" w:ascii="宋体" w:hAnsi="宋体"/>
              </w:rPr>
              <w:t>荣成邱家水产有限公司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513FA132">
            <w:r>
              <w:rPr>
                <w:rFonts w:hint="eastAsia" w:ascii="宋体" w:hAnsi="宋体"/>
              </w:rPr>
              <w:t>大豆油、五花肉、鸡蛋、保健品、海产品、被褥</w:t>
            </w:r>
          </w:p>
        </w:tc>
        <w:tc>
          <w:tcPr>
            <w:tcW w:w="744" w:type="pct"/>
            <w:tcBorders>
              <w:top w:val="single" w:color="auto" w:sz="4" w:space="0"/>
              <w:left w:val="single" w:color="auto" w:sz="4" w:space="0"/>
              <w:bottom w:val="single" w:color="auto" w:sz="4" w:space="0"/>
              <w:right w:val="single" w:color="auto" w:sz="4" w:space="0"/>
            </w:tcBorders>
            <w:vAlign w:val="center"/>
          </w:tcPr>
          <w:p w14:paraId="1117D9BA">
            <w:pPr>
              <w:jc w:val="right"/>
            </w:pPr>
            <w:r>
              <w:t>11,247.94</w:t>
            </w:r>
          </w:p>
        </w:tc>
        <w:tc>
          <w:tcPr>
            <w:tcW w:w="689" w:type="pct"/>
            <w:tcBorders>
              <w:top w:val="single" w:color="auto" w:sz="4" w:space="0"/>
              <w:left w:val="single" w:color="auto" w:sz="4" w:space="0"/>
              <w:bottom w:val="single" w:color="auto" w:sz="4" w:space="0"/>
              <w:right w:val="single" w:color="auto" w:sz="4" w:space="0"/>
            </w:tcBorders>
            <w:vAlign w:val="center"/>
          </w:tcPr>
          <w:p w14:paraId="5B0870E3">
            <w:pPr>
              <w:jc w:val="right"/>
            </w:pPr>
            <w:r>
              <w:t>31,492.00</w:t>
            </w:r>
          </w:p>
        </w:tc>
      </w:tr>
      <w:tr w14:paraId="18E289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4A0D43D4">
            <w:r>
              <w:rPr>
                <w:rFonts w:hint="eastAsia" w:ascii="宋体" w:hAnsi="宋体"/>
              </w:rPr>
              <w:t>山东惠民好当家食品有限公司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79EFED29">
            <w:r>
              <w:rPr>
                <w:rFonts w:hint="eastAsia" w:ascii="宋体" w:hAnsi="宋体"/>
              </w:rPr>
              <w:t>粘粉调理品</w:t>
            </w:r>
          </w:p>
        </w:tc>
        <w:tc>
          <w:tcPr>
            <w:tcW w:w="744" w:type="pct"/>
            <w:tcBorders>
              <w:top w:val="single" w:color="auto" w:sz="4" w:space="0"/>
              <w:left w:val="single" w:color="auto" w:sz="4" w:space="0"/>
              <w:bottom w:val="single" w:color="auto" w:sz="4" w:space="0"/>
              <w:right w:val="single" w:color="auto" w:sz="4" w:space="0"/>
            </w:tcBorders>
            <w:vAlign w:val="center"/>
          </w:tcPr>
          <w:p w14:paraId="046A333C">
            <w:pPr>
              <w:jc w:val="right"/>
            </w:pPr>
            <w:r>
              <w:t>3,338.28</w:t>
            </w:r>
          </w:p>
        </w:tc>
        <w:tc>
          <w:tcPr>
            <w:tcW w:w="689" w:type="pct"/>
            <w:tcBorders>
              <w:top w:val="single" w:color="auto" w:sz="4" w:space="0"/>
              <w:left w:val="single" w:color="auto" w:sz="4" w:space="0"/>
              <w:bottom w:val="single" w:color="auto" w:sz="4" w:space="0"/>
              <w:right w:val="single" w:color="auto" w:sz="4" w:space="0"/>
            </w:tcBorders>
            <w:vAlign w:val="center"/>
          </w:tcPr>
          <w:p w14:paraId="793C49A7">
            <w:pPr>
              <w:jc w:val="right"/>
            </w:pPr>
            <w:r>
              <w:rPr>
                <w:rFonts w:hint="eastAsia" w:cs="Times New Roman"/>
              </w:rPr>
              <w:t>59.63</w:t>
            </w:r>
          </w:p>
        </w:tc>
      </w:tr>
      <w:tr w14:paraId="0D93BD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081D4B3C">
            <w:r>
              <w:rPr>
                <w:rFonts w:hint="eastAsia" w:ascii="宋体" w:hAnsi="宋体"/>
              </w:rPr>
              <w:t>荣成源运水产有限公司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66DBFC42">
            <w:r>
              <w:rPr>
                <w:rFonts w:hint="eastAsia" w:ascii="宋体" w:hAnsi="宋体"/>
              </w:rPr>
              <w:t>火腿、检测费、鸡蛋、大豆油、色拉油、香肠、保健品</w:t>
            </w:r>
          </w:p>
        </w:tc>
        <w:tc>
          <w:tcPr>
            <w:tcW w:w="744" w:type="pct"/>
            <w:tcBorders>
              <w:top w:val="single" w:color="auto" w:sz="4" w:space="0"/>
              <w:left w:val="single" w:color="auto" w:sz="4" w:space="0"/>
              <w:bottom w:val="single" w:color="auto" w:sz="4" w:space="0"/>
              <w:right w:val="single" w:color="auto" w:sz="4" w:space="0"/>
            </w:tcBorders>
            <w:vAlign w:val="center"/>
          </w:tcPr>
          <w:p w14:paraId="20696A69">
            <w:pPr>
              <w:jc w:val="right"/>
            </w:pPr>
            <w:r>
              <w:rPr>
                <w:rFonts w:hint="eastAsia"/>
              </w:rPr>
              <w:t>119.27</w:t>
            </w:r>
          </w:p>
        </w:tc>
        <w:tc>
          <w:tcPr>
            <w:tcW w:w="689" w:type="pct"/>
            <w:tcBorders>
              <w:top w:val="single" w:color="auto" w:sz="4" w:space="0"/>
              <w:left w:val="single" w:color="auto" w:sz="4" w:space="0"/>
              <w:bottom w:val="single" w:color="auto" w:sz="4" w:space="0"/>
              <w:right w:val="single" w:color="auto" w:sz="4" w:space="0"/>
            </w:tcBorders>
            <w:vAlign w:val="center"/>
          </w:tcPr>
          <w:p w14:paraId="07241058">
            <w:pPr>
              <w:jc w:val="right"/>
            </w:pPr>
            <w:r>
              <w:t>2,884.62</w:t>
            </w:r>
          </w:p>
        </w:tc>
      </w:tr>
      <w:tr w14:paraId="108728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0B84A1BF">
            <w:r>
              <w:rPr>
                <w:rFonts w:hint="eastAsia" w:ascii="宋体" w:hAnsi="宋体"/>
              </w:rPr>
              <w:t>荣成兴盛房地产开发有限公司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7A3DD7CD">
            <w:r>
              <w:rPr>
                <w:rFonts w:hint="eastAsia" w:ascii="宋体" w:hAnsi="宋体"/>
              </w:rPr>
              <w:t>火腿、保健品</w:t>
            </w:r>
          </w:p>
        </w:tc>
        <w:tc>
          <w:tcPr>
            <w:tcW w:w="744" w:type="pct"/>
            <w:tcBorders>
              <w:top w:val="single" w:color="auto" w:sz="4" w:space="0"/>
              <w:left w:val="single" w:color="auto" w:sz="4" w:space="0"/>
              <w:bottom w:val="single" w:color="auto" w:sz="4" w:space="0"/>
              <w:right w:val="single" w:color="auto" w:sz="4" w:space="0"/>
            </w:tcBorders>
            <w:vAlign w:val="center"/>
          </w:tcPr>
          <w:p w14:paraId="318CD540">
            <w:pPr>
              <w:jc w:val="right"/>
            </w:pPr>
            <w:r>
              <w:rPr>
                <w:rFonts w:hint="eastAsia"/>
              </w:rPr>
              <w:t>119.27</w:t>
            </w:r>
          </w:p>
        </w:tc>
        <w:tc>
          <w:tcPr>
            <w:tcW w:w="689" w:type="pct"/>
            <w:tcBorders>
              <w:top w:val="single" w:color="auto" w:sz="4" w:space="0"/>
              <w:left w:val="single" w:color="auto" w:sz="4" w:space="0"/>
              <w:bottom w:val="single" w:color="auto" w:sz="4" w:space="0"/>
              <w:right w:val="single" w:color="auto" w:sz="4" w:space="0"/>
            </w:tcBorders>
            <w:vAlign w:val="center"/>
          </w:tcPr>
          <w:p w14:paraId="02DDC2CF">
            <w:pPr>
              <w:jc w:val="right"/>
            </w:pPr>
            <w:r>
              <w:t>13,876.25</w:t>
            </w:r>
          </w:p>
        </w:tc>
      </w:tr>
      <w:tr w14:paraId="21EC8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08FF3561">
            <w:r>
              <w:rPr>
                <w:rFonts w:hint="eastAsia" w:ascii="宋体" w:hAnsi="宋体"/>
              </w:rPr>
              <w:t>荣成好当家房地产开发有限公司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41AF8A9A">
            <w:r>
              <w:rPr>
                <w:rFonts w:hint="eastAsia" w:ascii="宋体" w:hAnsi="宋体"/>
              </w:rPr>
              <w:t>保健品</w:t>
            </w:r>
          </w:p>
        </w:tc>
        <w:tc>
          <w:tcPr>
            <w:tcW w:w="744" w:type="pct"/>
            <w:tcBorders>
              <w:top w:val="single" w:color="auto" w:sz="4" w:space="0"/>
              <w:left w:val="single" w:color="auto" w:sz="4" w:space="0"/>
              <w:bottom w:val="single" w:color="auto" w:sz="4" w:space="0"/>
              <w:right w:val="single" w:color="auto" w:sz="4" w:space="0"/>
            </w:tcBorders>
            <w:vAlign w:val="center"/>
          </w:tcPr>
          <w:p w14:paraId="066510E9">
            <w:pPr>
              <w:jc w:val="right"/>
            </w:pPr>
            <w:r>
              <w:t>1,752.22</w:t>
            </w:r>
          </w:p>
        </w:tc>
        <w:tc>
          <w:tcPr>
            <w:tcW w:w="689" w:type="pct"/>
            <w:tcBorders>
              <w:top w:val="single" w:color="auto" w:sz="4" w:space="0"/>
              <w:left w:val="single" w:color="auto" w:sz="4" w:space="0"/>
              <w:bottom w:val="single" w:color="auto" w:sz="4" w:space="0"/>
              <w:right w:val="single" w:color="auto" w:sz="4" w:space="0"/>
            </w:tcBorders>
            <w:vAlign w:val="center"/>
          </w:tcPr>
          <w:p w14:paraId="6E4681C0">
            <w:pPr>
              <w:jc w:val="right"/>
            </w:pPr>
            <w:r>
              <w:rPr>
                <w:rFonts w:hint="eastAsia" w:cs="Times New Roman"/>
              </w:rPr>
              <w:t>432.74</w:t>
            </w:r>
          </w:p>
        </w:tc>
      </w:tr>
      <w:tr w14:paraId="50BE67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62BD563D">
            <w:r>
              <w:rPr>
                <w:rFonts w:hint="eastAsia" w:ascii="宋体" w:hAnsi="宋体"/>
              </w:rPr>
              <w:t>荣成荣盛包装材料有限公司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14A25601">
            <w:r>
              <w:rPr>
                <w:rFonts w:hint="eastAsia" w:ascii="宋体" w:hAnsi="宋体"/>
              </w:rPr>
              <w:t>检测费、保健品</w:t>
            </w:r>
          </w:p>
        </w:tc>
        <w:tc>
          <w:tcPr>
            <w:tcW w:w="744" w:type="pct"/>
            <w:tcBorders>
              <w:top w:val="single" w:color="auto" w:sz="4" w:space="0"/>
              <w:left w:val="single" w:color="auto" w:sz="4" w:space="0"/>
              <w:bottom w:val="single" w:color="auto" w:sz="4" w:space="0"/>
              <w:right w:val="single" w:color="auto" w:sz="4" w:space="0"/>
            </w:tcBorders>
            <w:vAlign w:val="center"/>
          </w:tcPr>
          <w:p w14:paraId="32CA1C43">
            <w:pPr>
              <w:jc w:val="right"/>
            </w:pPr>
            <w:r>
              <w:t>28,876.15</w:t>
            </w:r>
          </w:p>
        </w:tc>
        <w:tc>
          <w:tcPr>
            <w:tcW w:w="689" w:type="pct"/>
            <w:tcBorders>
              <w:top w:val="single" w:color="auto" w:sz="4" w:space="0"/>
              <w:left w:val="single" w:color="auto" w:sz="4" w:space="0"/>
              <w:bottom w:val="single" w:color="auto" w:sz="4" w:space="0"/>
              <w:right w:val="single" w:color="auto" w:sz="4" w:space="0"/>
            </w:tcBorders>
            <w:vAlign w:val="center"/>
          </w:tcPr>
          <w:p w14:paraId="0EAAFD27">
            <w:pPr>
              <w:jc w:val="right"/>
            </w:pPr>
            <w:r>
              <w:t>62,139.90</w:t>
            </w:r>
          </w:p>
        </w:tc>
      </w:tr>
      <w:tr w14:paraId="0993FB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4673A72F">
            <w:r>
              <w:rPr>
                <w:rFonts w:hint="eastAsia" w:ascii="宋体" w:hAnsi="宋体"/>
              </w:rPr>
              <w:t>宜丰县物宝矿业有限公司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5DE19BE6">
            <w:r>
              <w:rPr>
                <w:rFonts w:hint="eastAsia" w:ascii="宋体" w:hAnsi="宋体"/>
              </w:rPr>
              <w:t>海产品</w:t>
            </w:r>
          </w:p>
        </w:tc>
        <w:tc>
          <w:tcPr>
            <w:tcW w:w="744" w:type="pct"/>
            <w:tcBorders>
              <w:top w:val="single" w:color="auto" w:sz="4" w:space="0"/>
              <w:left w:val="single" w:color="auto" w:sz="4" w:space="0"/>
              <w:bottom w:val="single" w:color="auto" w:sz="4" w:space="0"/>
              <w:right w:val="single" w:color="auto" w:sz="4" w:space="0"/>
            </w:tcBorders>
            <w:vAlign w:val="center"/>
          </w:tcPr>
          <w:p w14:paraId="3326C0FD">
            <w:pPr>
              <w:jc w:val="right"/>
            </w:pPr>
            <w:r>
              <w:rPr>
                <w:rFonts w:hint="eastAsia"/>
              </w:rPr>
              <w:t>119.27</w:t>
            </w:r>
          </w:p>
        </w:tc>
        <w:tc>
          <w:tcPr>
            <w:tcW w:w="689" w:type="pct"/>
            <w:tcBorders>
              <w:top w:val="single" w:color="auto" w:sz="4" w:space="0"/>
              <w:left w:val="single" w:color="auto" w:sz="4" w:space="0"/>
              <w:bottom w:val="single" w:color="auto" w:sz="4" w:space="0"/>
              <w:right w:val="single" w:color="auto" w:sz="4" w:space="0"/>
            </w:tcBorders>
            <w:vAlign w:val="center"/>
          </w:tcPr>
          <w:p w14:paraId="70C67C1B">
            <w:pPr>
              <w:jc w:val="right"/>
            </w:pPr>
          </w:p>
        </w:tc>
      </w:tr>
      <w:tr w14:paraId="660303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21075F2B">
            <w:r>
              <w:rPr>
                <w:rFonts w:hint="eastAsia" w:ascii="宋体" w:hAnsi="宋体"/>
              </w:rPr>
              <w:t>宜丰县物华矿业有限公司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32DAC266">
            <w:r>
              <w:rPr>
                <w:rFonts w:hint="eastAsia" w:ascii="宋体" w:hAnsi="宋体"/>
              </w:rPr>
              <w:t>海产品</w:t>
            </w:r>
          </w:p>
        </w:tc>
        <w:tc>
          <w:tcPr>
            <w:tcW w:w="744" w:type="pct"/>
            <w:tcBorders>
              <w:top w:val="single" w:color="auto" w:sz="4" w:space="0"/>
              <w:left w:val="single" w:color="auto" w:sz="4" w:space="0"/>
              <w:bottom w:val="single" w:color="auto" w:sz="4" w:space="0"/>
              <w:right w:val="single" w:color="auto" w:sz="4" w:space="0"/>
            </w:tcBorders>
            <w:vAlign w:val="center"/>
          </w:tcPr>
          <w:p w14:paraId="0D608B5D">
            <w:pPr>
              <w:jc w:val="right"/>
            </w:pPr>
          </w:p>
        </w:tc>
        <w:tc>
          <w:tcPr>
            <w:tcW w:w="689" w:type="pct"/>
            <w:tcBorders>
              <w:top w:val="single" w:color="auto" w:sz="4" w:space="0"/>
              <w:left w:val="single" w:color="auto" w:sz="4" w:space="0"/>
              <w:bottom w:val="single" w:color="auto" w:sz="4" w:space="0"/>
              <w:right w:val="single" w:color="auto" w:sz="4" w:space="0"/>
            </w:tcBorders>
            <w:vAlign w:val="center"/>
          </w:tcPr>
          <w:p w14:paraId="4BCF2D20">
            <w:pPr>
              <w:jc w:val="right"/>
            </w:pPr>
            <w:r>
              <w:rPr>
                <w:rFonts w:hint="eastAsia" w:cs="Times New Roman"/>
              </w:rPr>
              <w:t>238.53</w:t>
            </w:r>
          </w:p>
        </w:tc>
      </w:tr>
      <w:tr w14:paraId="1EA7A1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47100C43">
            <w:r>
              <w:rPr>
                <w:rFonts w:hint="eastAsia"/>
              </w:rPr>
              <w:t>荣成市荣航安装有限公司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4DB34A72">
            <w:r>
              <w:rPr>
                <w:rFonts w:hint="eastAsia" w:ascii="宋体" w:hAnsi="宋体"/>
              </w:rPr>
              <w:t>海产品</w:t>
            </w:r>
          </w:p>
        </w:tc>
        <w:tc>
          <w:tcPr>
            <w:tcW w:w="744" w:type="pct"/>
            <w:tcBorders>
              <w:top w:val="single" w:color="auto" w:sz="4" w:space="0"/>
              <w:left w:val="single" w:color="auto" w:sz="4" w:space="0"/>
              <w:bottom w:val="single" w:color="auto" w:sz="4" w:space="0"/>
              <w:right w:val="single" w:color="auto" w:sz="4" w:space="0"/>
            </w:tcBorders>
            <w:vAlign w:val="center"/>
          </w:tcPr>
          <w:p w14:paraId="723BD020">
            <w:pPr>
              <w:jc w:val="right"/>
            </w:pPr>
            <w:r>
              <w:t>2,007.90</w:t>
            </w:r>
          </w:p>
        </w:tc>
        <w:tc>
          <w:tcPr>
            <w:tcW w:w="689" w:type="pct"/>
            <w:tcBorders>
              <w:top w:val="single" w:color="auto" w:sz="4" w:space="0"/>
              <w:left w:val="single" w:color="auto" w:sz="4" w:space="0"/>
              <w:bottom w:val="single" w:color="auto" w:sz="4" w:space="0"/>
              <w:right w:val="single" w:color="auto" w:sz="4" w:space="0"/>
            </w:tcBorders>
            <w:vAlign w:val="center"/>
          </w:tcPr>
          <w:p w14:paraId="7BAC5E39">
            <w:pPr>
              <w:jc w:val="right"/>
            </w:pPr>
          </w:p>
        </w:tc>
      </w:tr>
      <w:tr w14:paraId="21B76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6E91E9E8">
            <w:r>
              <w:rPr>
                <w:rFonts w:hint="eastAsia" w:ascii="宋体" w:hAnsi="宋体"/>
              </w:rPr>
              <w:t>荣成市好当家物业服务有限公司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6EC75BD8">
            <w:r>
              <w:rPr>
                <w:rFonts w:hint="eastAsia" w:ascii="宋体" w:hAnsi="宋体"/>
              </w:rPr>
              <w:t>海产品</w:t>
            </w:r>
          </w:p>
        </w:tc>
        <w:tc>
          <w:tcPr>
            <w:tcW w:w="744" w:type="pct"/>
            <w:tcBorders>
              <w:top w:val="single" w:color="auto" w:sz="4" w:space="0"/>
              <w:left w:val="single" w:color="auto" w:sz="4" w:space="0"/>
              <w:bottom w:val="single" w:color="auto" w:sz="4" w:space="0"/>
              <w:right w:val="single" w:color="auto" w:sz="4" w:space="0"/>
            </w:tcBorders>
            <w:vAlign w:val="center"/>
          </w:tcPr>
          <w:p w14:paraId="711B6354">
            <w:pPr>
              <w:jc w:val="right"/>
            </w:pPr>
            <w:r>
              <w:rPr>
                <w:rFonts w:hint="eastAsia"/>
              </w:rPr>
              <w:t>59.63</w:t>
            </w:r>
          </w:p>
        </w:tc>
        <w:tc>
          <w:tcPr>
            <w:tcW w:w="689" w:type="pct"/>
            <w:tcBorders>
              <w:top w:val="single" w:color="auto" w:sz="4" w:space="0"/>
              <w:left w:val="single" w:color="auto" w:sz="4" w:space="0"/>
              <w:bottom w:val="single" w:color="auto" w:sz="4" w:space="0"/>
              <w:right w:val="single" w:color="auto" w:sz="4" w:space="0"/>
            </w:tcBorders>
            <w:vAlign w:val="center"/>
          </w:tcPr>
          <w:p w14:paraId="42BE8314">
            <w:pPr>
              <w:jc w:val="right"/>
            </w:pPr>
            <w:r>
              <w:rPr>
                <w:rFonts w:hint="eastAsia" w:cs="Times New Roman"/>
              </w:rPr>
              <w:t>351.84</w:t>
            </w:r>
          </w:p>
        </w:tc>
      </w:tr>
      <w:tr w14:paraId="6579FF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1EBB9E98">
            <w:r>
              <w:rPr>
                <w:rFonts w:hint="eastAsia" w:ascii="宋体" w:hAnsi="宋体"/>
              </w:rPr>
              <w:t>荣成好当家工程建设有限公司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1EBFE0C6">
            <w:r>
              <w:rPr>
                <w:rFonts w:hint="eastAsia" w:ascii="宋体" w:hAnsi="宋体"/>
              </w:rPr>
              <w:t>鸡蛋、大豆油、色拉油、保健品</w:t>
            </w:r>
          </w:p>
        </w:tc>
        <w:tc>
          <w:tcPr>
            <w:tcW w:w="744" w:type="pct"/>
            <w:tcBorders>
              <w:top w:val="single" w:color="auto" w:sz="4" w:space="0"/>
              <w:left w:val="single" w:color="auto" w:sz="4" w:space="0"/>
              <w:bottom w:val="single" w:color="auto" w:sz="4" w:space="0"/>
              <w:right w:val="single" w:color="auto" w:sz="4" w:space="0"/>
            </w:tcBorders>
            <w:vAlign w:val="center"/>
          </w:tcPr>
          <w:p w14:paraId="421EBE35">
            <w:pPr>
              <w:jc w:val="right"/>
            </w:pPr>
            <w:r>
              <w:t>24,090.14</w:t>
            </w:r>
          </w:p>
        </w:tc>
        <w:tc>
          <w:tcPr>
            <w:tcW w:w="689" w:type="pct"/>
            <w:tcBorders>
              <w:top w:val="single" w:color="auto" w:sz="4" w:space="0"/>
              <w:left w:val="single" w:color="auto" w:sz="4" w:space="0"/>
              <w:bottom w:val="single" w:color="auto" w:sz="4" w:space="0"/>
              <w:right w:val="single" w:color="auto" w:sz="4" w:space="0"/>
            </w:tcBorders>
            <w:vAlign w:val="center"/>
          </w:tcPr>
          <w:p w14:paraId="3073CC86">
            <w:pPr>
              <w:jc w:val="right"/>
            </w:pPr>
            <w:r>
              <w:t>44,797.12</w:t>
            </w:r>
          </w:p>
        </w:tc>
      </w:tr>
      <w:tr w14:paraId="172F4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cantSplit/>
        </w:trPr>
        <w:tc>
          <w:tcPr>
            <w:tcW w:w="1630" w:type="pct"/>
            <w:tcBorders>
              <w:top w:val="single" w:color="auto" w:sz="4" w:space="0"/>
              <w:left w:val="single" w:color="auto" w:sz="4" w:space="0"/>
              <w:bottom w:val="single" w:color="auto" w:sz="4" w:space="0"/>
              <w:right w:val="single" w:color="auto" w:sz="4" w:space="0"/>
            </w:tcBorders>
            <w:vAlign w:val="center"/>
          </w:tcPr>
          <w:p w14:paraId="25902162">
            <w:r>
              <w:rPr>
                <w:rFonts w:hint="eastAsia" w:ascii="宋体" w:hAnsi="宋体"/>
              </w:rPr>
              <w:t>荣成禾茂海洋生物制品有限公司</w:t>
            </w:r>
          </w:p>
        </w:tc>
        <w:tc>
          <w:tcPr>
            <w:tcW w:w="1937" w:type="pct"/>
            <w:tcBorders>
              <w:top w:val="single" w:color="auto" w:sz="4" w:space="0"/>
              <w:left w:val="single" w:color="auto" w:sz="4" w:space="0"/>
              <w:bottom w:val="single" w:color="auto" w:sz="4" w:space="0"/>
              <w:right w:val="single" w:color="auto" w:sz="4" w:space="0"/>
            </w:tcBorders>
            <w:vAlign w:val="center"/>
          </w:tcPr>
          <w:p w14:paraId="255D6E51">
            <w:r>
              <w:rPr>
                <w:rFonts w:hint="eastAsia" w:ascii="宋体" w:hAnsi="宋体"/>
              </w:rPr>
              <w:t>海产品</w:t>
            </w:r>
          </w:p>
        </w:tc>
        <w:tc>
          <w:tcPr>
            <w:tcW w:w="744" w:type="pct"/>
            <w:tcBorders>
              <w:top w:val="single" w:color="auto" w:sz="4" w:space="0"/>
              <w:left w:val="single" w:color="auto" w:sz="4" w:space="0"/>
              <w:bottom w:val="single" w:color="auto" w:sz="4" w:space="0"/>
              <w:right w:val="single" w:color="auto" w:sz="4" w:space="0"/>
            </w:tcBorders>
          </w:tcPr>
          <w:p w14:paraId="0C5DD85E">
            <w:pPr>
              <w:jc w:val="right"/>
            </w:pPr>
          </w:p>
        </w:tc>
        <w:tc>
          <w:tcPr>
            <w:tcW w:w="689" w:type="pct"/>
            <w:tcBorders>
              <w:top w:val="single" w:color="auto" w:sz="4" w:space="0"/>
              <w:left w:val="single" w:color="auto" w:sz="4" w:space="0"/>
              <w:bottom w:val="single" w:color="auto" w:sz="4" w:space="0"/>
              <w:right w:val="single" w:color="auto" w:sz="4" w:space="0"/>
            </w:tcBorders>
            <w:vAlign w:val="center"/>
          </w:tcPr>
          <w:p w14:paraId="074257CF">
            <w:pPr>
              <w:jc w:val="right"/>
            </w:pPr>
            <w:r>
              <w:rPr>
                <w:rFonts w:hint="eastAsia" w:cs="Times New Roman"/>
              </w:rPr>
              <w:t>119.27</w:t>
            </w:r>
          </w:p>
        </w:tc>
      </w:tr>
    </w:tbl>
    <w:p w14:paraId="55630F22">
      <w:pPr>
        <w:rPr>
          <w:color w:val="000000" w:themeColor="text1"/>
          <w14:textFill>
            <w14:solidFill>
              <w14:schemeClr w14:val="tx1"/>
            </w14:solidFill>
          </w14:textFill>
        </w:rPr>
      </w:pPr>
    </w:p>
    <w:p w14:paraId="544868B6">
      <w:pP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购销商品、提供和接受劳务的关联交易说明</w:t>
      </w:r>
    </w:p>
    <w:sdt>
      <w:sdtPr>
        <w:rPr>
          <w:rFonts w:cs="Cambria"/>
          <w:color w:val="000000" w:themeColor="text1"/>
          <w14:textFill>
            <w14:solidFill>
              <w14:schemeClr w14:val="tx1"/>
            </w14:solidFill>
          </w14:textFill>
        </w:rPr>
        <w:alias w:val="是否适用：购销商品、提供和接受劳务的关联交易说明[双击切换]"/>
        <w:tag w:val="_GBC_9ec9e1b38e7f48d89bb7f6441bed1bd1"/>
        <w:id w:val="1938715872"/>
        <w:placeholder>
          <w:docPart w:val="GBC22222222222222222222222222222"/>
        </w:placeholder>
      </w:sdtPr>
      <w:sdtEndPr>
        <w:rPr>
          <w:rFonts w:cs="Cambria"/>
          <w:color w:val="000000" w:themeColor="text1"/>
          <w14:textFill>
            <w14:solidFill>
              <w14:schemeClr w14:val="tx1"/>
            </w14:solidFill>
          </w14:textFill>
        </w:rPr>
      </w:sdtEndPr>
      <w:sdtContent>
        <w:p w14:paraId="28DD9E36">
          <w:pPr>
            <w:rPr>
              <w:rFonts w:cs="Cambria"/>
              <w:color w:val="000000" w:themeColor="text1"/>
              <w14:textFill>
                <w14:solidFill>
                  <w14:schemeClr w14:val="tx1"/>
                </w14:solidFill>
              </w14:textFill>
            </w:rPr>
          </w:pPr>
          <w:r>
            <w:rPr>
              <w:rFonts w:ascii="宋体" w:hAnsi="宋体" w:cs="Cambria"/>
              <w:color w:val="000000" w:themeColor="text1"/>
              <w14:textFill>
                <w14:solidFill>
                  <w14:schemeClr w14:val="tx1"/>
                </w14:solidFill>
              </w14:textFill>
            </w:rPr>
            <w:fldChar w:fldCharType="begin"/>
          </w:r>
          <w:r>
            <w:rPr>
              <w:rFonts w:hint="eastAsia" w:ascii="宋体" w:hAnsi="宋体" w:cs="Cambria"/>
              <w:color w:val="000000" w:themeColor="text1"/>
              <w14:textFill>
                <w14:solidFill>
                  <w14:schemeClr w14:val="tx1"/>
                </w14:solidFill>
              </w14:textFill>
            </w:rPr>
            <w:instrText xml:space="preserve"> MACROBUTTON  SnrToggleCheckbox □适用 </w:instrText>
          </w:r>
          <w:r>
            <w:rPr>
              <w:rFonts w:ascii="宋体" w:hAnsi="宋体" w:cs="Cambria"/>
              <w:color w:val="000000" w:themeColor="text1"/>
              <w14:textFill>
                <w14:solidFill>
                  <w14:schemeClr w14:val="tx1"/>
                </w14:solidFill>
              </w14:textFill>
            </w:rPr>
            <w:fldChar w:fldCharType="end"/>
          </w:r>
          <w:r>
            <w:rPr>
              <w:rFonts w:ascii="宋体" w:hAnsi="宋体" w:cs="Cambria"/>
              <w:color w:val="000000" w:themeColor="text1"/>
              <w14:textFill>
                <w14:solidFill>
                  <w14:schemeClr w14:val="tx1"/>
                </w14:solidFill>
              </w14:textFill>
            </w:rPr>
            <w:fldChar w:fldCharType="begin"/>
          </w:r>
          <w:r>
            <w:rPr>
              <w:rFonts w:hint="eastAsia" w:ascii="宋体" w:hAnsi="宋体" w:cs="Cambria"/>
              <w:color w:val="000000" w:themeColor="text1"/>
              <w14:textFill>
                <w14:solidFill>
                  <w14:schemeClr w14:val="tx1"/>
                </w14:solidFill>
              </w14:textFill>
            </w:rPr>
            <w:instrText xml:space="preserve"> MACROBUTTON  SnrToggleCheckbox √不适用 </w:instrText>
          </w:r>
          <w:r>
            <w:rPr>
              <w:rFonts w:ascii="宋体" w:hAnsi="宋体" w:cs="Cambria"/>
              <w:color w:val="000000" w:themeColor="text1"/>
              <w14:textFill>
                <w14:solidFill>
                  <w14:schemeClr w14:val="tx1"/>
                </w14:solidFill>
              </w14:textFill>
            </w:rPr>
            <w:fldChar w:fldCharType="end"/>
          </w:r>
        </w:p>
      </w:sdtContent>
    </w:sdt>
    <w:p w14:paraId="590B3716">
      <w:pPr>
        <w:rPr>
          <w:rFonts w:cs="Cambria"/>
          <w:color w:val="000000" w:themeColor="text1"/>
          <w14:textFill>
            <w14:solidFill>
              <w14:schemeClr w14:val="tx1"/>
            </w14:solidFill>
          </w14:textFill>
        </w:rPr>
      </w:pPr>
    </w:p>
    <w:p w14:paraId="1E4D2D0C">
      <w:pPr>
        <w:pStyle w:val="5"/>
        <w:numPr>
          <w:ilvl w:val="0"/>
          <w:numId w:val="103"/>
        </w:numPr>
        <w:tabs>
          <w:tab w:val="left" w:pos="616"/>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关联受托管理/承包及委托管理/出包情况</w:t>
      </w:r>
    </w:p>
    <w:p w14:paraId="11C5E7F9">
      <w:pPr>
        <w:rPr>
          <w:color w:val="000000" w:themeColor="text1"/>
          <w14:textFill>
            <w14:solidFill>
              <w14:schemeClr w14:val="tx1"/>
            </w14:solidFill>
          </w14:textFill>
        </w:rPr>
      </w:pPr>
      <w:r>
        <w:rPr>
          <w:rFonts w:hint="eastAsia"/>
          <w:color w:val="000000" w:themeColor="text1"/>
          <w14:textFill>
            <w14:solidFill>
              <w14:schemeClr w14:val="tx1"/>
            </w14:solidFill>
          </w14:textFill>
        </w:rPr>
        <w:t>本公司受托管理/承包情况表：</w:t>
      </w:r>
    </w:p>
    <w:sdt>
      <w:sdtPr>
        <w:rPr>
          <w:rFonts w:cs="Cambria"/>
          <w:color w:val="000000" w:themeColor="text1"/>
          <w14:textFill>
            <w14:solidFill>
              <w14:schemeClr w14:val="tx1"/>
            </w14:solidFill>
          </w14:textFill>
        </w:rPr>
        <w:alias w:val="是否适用：本公司受托管理或承包情况表[双击切换]"/>
        <w:tag w:val="_GBC_3810b3cad54c4b2f9754e7d6be3e9480"/>
        <w:id w:val="1178381765"/>
        <w:placeholder>
          <w:docPart w:val="GBC22222222222222222222222222222"/>
        </w:placeholder>
      </w:sdtPr>
      <w:sdtEndPr>
        <w:rPr>
          <w:rFonts w:cs="Cambria"/>
          <w:color w:val="000000" w:themeColor="text1"/>
          <w14:textFill>
            <w14:solidFill>
              <w14:schemeClr w14:val="tx1"/>
            </w14:solidFill>
          </w14:textFill>
        </w:rPr>
      </w:sdtEndPr>
      <w:sdtContent>
        <w:p w14:paraId="0F900DAC">
          <w:pPr>
            <w:rPr>
              <w:rFonts w:cs="Cambria"/>
              <w:color w:val="000000" w:themeColor="text1"/>
              <w14:textFill>
                <w14:solidFill>
                  <w14:schemeClr w14:val="tx1"/>
                </w14:solidFill>
              </w14:textFill>
            </w:rPr>
          </w:pPr>
          <w:r>
            <w:rPr>
              <w:rFonts w:ascii="宋体" w:hAnsi="宋体" w:cs="Cambria"/>
              <w:color w:val="000000" w:themeColor="text1"/>
              <w14:textFill>
                <w14:solidFill>
                  <w14:schemeClr w14:val="tx1"/>
                </w14:solidFill>
              </w14:textFill>
            </w:rPr>
            <w:fldChar w:fldCharType="begin"/>
          </w:r>
          <w:r>
            <w:rPr>
              <w:rFonts w:hint="eastAsia" w:ascii="宋体" w:hAnsi="宋体" w:cs="Cambria"/>
              <w:color w:val="000000" w:themeColor="text1"/>
              <w14:textFill>
                <w14:solidFill>
                  <w14:schemeClr w14:val="tx1"/>
                </w14:solidFill>
              </w14:textFill>
            </w:rPr>
            <w:instrText xml:space="preserve"> MACROBUTTON  SnrToggleCheckbox □适用 </w:instrText>
          </w:r>
          <w:r>
            <w:rPr>
              <w:rFonts w:ascii="宋体" w:hAnsi="宋体" w:cs="Cambria"/>
              <w:color w:val="000000" w:themeColor="text1"/>
              <w14:textFill>
                <w14:solidFill>
                  <w14:schemeClr w14:val="tx1"/>
                </w14:solidFill>
              </w14:textFill>
            </w:rPr>
            <w:fldChar w:fldCharType="end"/>
          </w:r>
          <w:r>
            <w:rPr>
              <w:rFonts w:ascii="宋体" w:hAnsi="宋体" w:cs="Cambria"/>
              <w:color w:val="000000" w:themeColor="text1"/>
              <w14:textFill>
                <w14:solidFill>
                  <w14:schemeClr w14:val="tx1"/>
                </w14:solidFill>
              </w14:textFill>
            </w:rPr>
            <w:fldChar w:fldCharType="begin"/>
          </w:r>
          <w:r>
            <w:rPr>
              <w:rFonts w:hint="eastAsia" w:ascii="宋体" w:hAnsi="宋体" w:cs="Cambria"/>
              <w:color w:val="000000" w:themeColor="text1"/>
              <w14:textFill>
                <w14:solidFill>
                  <w14:schemeClr w14:val="tx1"/>
                </w14:solidFill>
              </w14:textFill>
            </w:rPr>
            <w:instrText xml:space="preserve"> MACROBUTTON  SnrToggleCheckbox √不适用 </w:instrText>
          </w:r>
          <w:r>
            <w:rPr>
              <w:rFonts w:ascii="宋体" w:hAnsi="宋体" w:cs="Cambria"/>
              <w:color w:val="000000" w:themeColor="text1"/>
              <w14:textFill>
                <w14:solidFill>
                  <w14:schemeClr w14:val="tx1"/>
                </w14:solidFill>
              </w14:textFill>
            </w:rPr>
            <w:fldChar w:fldCharType="end"/>
          </w:r>
        </w:p>
      </w:sdtContent>
    </w:sdt>
    <w:p w14:paraId="3AC240E7">
      <w:pPr>
        <w:rPr>
          <w:rFonts w:cs="Cambria"/>
          <w:color w:val="000000" w:themeColor="text1"/>
          <w14:textFill>
            <w14:solidFill>
              <w14:schemeClr w14:val="tx1"/>
            </w14:solidFill>
          </w14:textFill>
        </w:rPr>
      </w:pPr>
    </w:p>
    <w:p w14:paraId="246935CF">
      <w:pP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关联托管/承包情况说明</w:t>
      </w:r>
    </w:p>
    <w:sdt>
      <w:sdtPr>
        <w:rPr>
          <w:rFonts w:cs="Cambria"/>
          <w:color w:val="000000" w:themeColor="text1"/>
          <w14:textFill>
            <w14:solidFill>
              <w14:schemeClr w14:val="tx1"/>
            </w14:solidFill>
          </w14:textFill>
        </w:rPr>
        <w:alias w:val="是否适用：关联托管或承包情况说明[双击切换]"/>
        <w:tag w:val="_GBC_42ec6e3170b04610899c528ce7bda003"/>
        <w:id w:val="-1195386263"/>
        <w:placeholder>
          <w:docPart w:val="GBC22222222222222222222222222222"/>
        </w:placeholder>
      </w:sdtPr>
      <w:sdtEndPr>
        <w:rPr>
          <w:rFonts w:cs="Cambria"/>
          <w:color w:val="000000" w:themeColor="text1"/>
          <w14:textFill>
            <w14:solidFill>
              <w14:schemeClr w14:val="tx1"/>
            </w14:solidFill>
          </w14:textFill>
        </w:rPr>
      </w:sdtEndPr>
      <w:sdtContent>
        <w:p w14:paraId="490AE5DE">
          <w:pPr>
            <w:rPr>
              <w:rFonts w:cs="Cambria"/>
              <w:color w:val="000000" w:themeColor="text1"/>
              <w14:textFill>
                <w14:solidFill>
                  <w14:schemeClr w14:val="tx1"/>
                </w14:solidFill>
              </w14:textFill>
            </w:rPr>
          </w:pPr>
          <w:r>
            <w:rPr>
              <w:rFonts w:ascii="宋体" w:hAnsi="宋体" w:cs="Cambria"/>
              <w:color w:val="000000" w:themeColor="text1"/>
              <w14:textFill>
                <w14:solidFill>
                  <w14:schemeClr w14:val="tx1"/>
                </w14:solidFill>
              </w14:textFill>
            </w:rPr>
            <w:fldChar w:fldCharType="begin"/>
          </w:r>
          <w:r>
            <w:rPr>
              <w:rFonts w:hint="eastAsia" w:ascii="宋体" w:hAnsi="宋体" w:cs="Cambria"/>
              <w:color w:val="000000" w:themeColor="text1"/>
              <w14:textFill>
                <w14:solidFill>
                  <w14:schemeClr w14:val="tx1"/>
                </w14:solidFill>
              </w14:textFill>
            </w:rPr>
            <w:instrText xml:space="preserve"> MACROBUTTON  SnrToggleCheckbox □适用 </w:instrText>
          </w:r>
          <w:r>
            <w:rPr>
              <w:rFonts w:ascii="宋体" w:hAnsi="宋体" w:cs="Cambria"/>
              <w:color w:val="000000" w:themeColor="text1"/>
              <w14:textFill>
                <w14:solidFill>
                  <w14:schemeClr w14:val="tx1"/>
                </w14:solidFill>
              </w14:textFill>
            </w:rPr>
            <w:fldChar w:fldCharType="end"/>
          </w:r>
          <w:r>
            <w:rPr>
              <w:rFonts w:ascii="宋体" w:hAnsi="宋体" w:cs="Cambria"/>
              <w:color w:val="000000" w:themeColor="text1"/>
              <w14:textFill>
                <w14:solidFill>
                  <w14:schemeClr w14:val="tx1"/>
                </w14:solidFill>
              </w14:textFill>
            </w:rPr>
            <w:fldChar w:fldCharType="begin"/>
          </w:r>
          <w:r>
            <w:rPr>
              <w:rFonts w:hint="eastAsia" w:ascii="宋体" w:hAnsi="宋体" w:cs="Cambria"/>
              <w:color w:val="000000" w:themeColor="text1"/>
              <w14:textFill>
                <w14:solidFill>
                  <w14:schemeClr w14:val="tx1"/>
                </w14:solidFill>
              </w14:textFill>
            </w:rPr>
            <w:instrText xml:space="preserve"> MACROBUTTON  SnrToggleCheckbox √不适用 </w:instrText>
          </w:r>
          <w:r>
            <w:rPr>
              <w:rFonts w:ascii="宋体" w:hAnsi="宋体" w:cs="Cambria"/>
              <w:color w:val="000000" w:themeColor="text1"/>
              <w14:textFill>
                <w14:solidFill>
                  <w14:schemeClr w14:val="tx1"/>
                </w14:solidFill>
              </w14:textFill>
            </w:rPr>
            <w:fldChar w:fldCharType="end"/>
          </w:r>
        </w:p>
      </w:sdtContent>
    </w:sdt>
    <w:p w14:paraId="4221522F">
      <w:pPr>
        <w:rPr>
          <w:rFonts w:cs="Cambria"/>
          <w:color w:val="000000" w:themeColor="text1"/>
          <w14:textFill>
            <w14:solidFill>
              <w14:schemeClr w14:val="tx1"/>
            </w14:solidFill>
          </w14:textFill>
        </w:rPr>
      </w:pPr>
    </w:p>
    <w:p w14:paraId="135ABB6E">
      <w:pPr>
        <w:rPr>
          <w:rFonts w:cs="Cambria"/>
          <w:bCs w:val="0"/>
          <w:color w:val="000000" w:themeColor="text1"/>
          <w14:textFill>
            <w14:solidFill>
              <w14:schemeClr w14:val="tx1"/>
            </w14:solidFill>
          </w14:textFill>
        </w:rPr>
      </w:pPr>
      <w:r>
        <w:rPr>
          <w:rFonts w:hint="eastAsia"/>
          <w:color w:val="000000" w:themeColor="text1"/>
          <w14:textFill>
            <w14:solidFill>
              <w14:schemeClr w14:val="tx1"/>
            </w14:solidFill>
          </w14:textFill>
        </w:rPr>
        <w:t>本公司委托管理/出包情况表：</w:t>
      </w:r>
    </w:p>
    <w:sdt>
      <w:sdtPr>
        <w:rPr>
          <w:rFonts w:cs="Cambria"/>
          <w:bCs w:val="0"/>
          <w:color w:val="000000" w:themeColor="text1"/>
          <w14:textFill>
            <w14:solidFill>
              <w14:schemeClr w14:val="tx1"/>
            </w14:solidFill>
          </w14:textFill>
        </w:rPr>
        <w:alias w:val="是否适用：本公司委托管理或出包情况表[双击切换]"/>
        <w:tag w:val="_GBC_37bf111a27194665b76f71bb5418d53c"/>
        <w:id w:val="-1469968242"/>
        <w:placeholder>
          <w:docPart w:val="GBC22222222222222222222222222222"/>
        </w:placeholder>
      </w:sdtPr>
      <w:sdtEndPr>
        <w:rPr>
          <w:rFonts w:cs="Cambria"/>
          <w:bCs w:val="0"/>
          <w:color w:val="000000" w:themeColor="text1"/>
          <w14:textFill>
            <w14:solidFill>
              <w14:schemeClr w14:val="tx1"/>
            </w14:solidFill>
          </w14:textFill>
        </w:rPr>
      </w:sdtEndPr>
      <w:sdtContent>
        <w:p w14:paraId="61B2D5C1">
          <w:pPr>
            <w:rPr>
              <w:rFonts w:cs="Cambria"/>
              <w:bCs w:val="0"/>
              <w:color w:val="000000" w:themeColor="text1"/>
              <w14:textFill>
                <w14:solidFill>
                  <w14:schemeClr w14:val="tx1"/>
                </w14:solidFill>
              </w14:textFill>
            </w:rPr>
          </w:pPr>
          <w:r>
            <w:rPr>
              <w:rFonts w:ascii="宋体" w:hAnsi="宋体" w:cs="Cambria"/>
              <w:bCs w:val="0"/>
              <w:color w:val="000000" w:themeColor="text1"/>
              <w14:textFill>
                <w14:solidFill>
                  <w14:schemeClr w14:val="tx1"/>
                </w14:solidFill>
              </w14:textFill>
            </w:rPr>
            <w:fldChar w:fldCharType="begin"/>
          </w:r>
          <w:r>
            <w:rPr>
              <w:rFonts w:hint="eastAsia" w:ascii="宋体" w:hAnsi="宋体" w:cs="Cambria"/>
              <w:color w:val="000000" w:themeColor="text1"/>
              <w14:textFill>
                <w14:solidFill>
                  <w14:schemeClr w14:val="tx1"/>
                </w14:solidFill>
              </w14:textFill>
            </w:rPr>
            <w:instrText xml:space="preserve"> MACROBUTTON  SnrToggleCheckbox □适用 </w:instrText>
          </w:r>
          <w:r>
            <w:rPr>
              <w:rFonts w:ascii="宋体" w:hAnsi="宋体" w:cs="Cambria"/>
              <w:bCs w:val="0"/>
              <w:color w:val="000000" w:themeColor="text1"/>
              <w14:textFill>
                <w14:solidFill>
                  <w14:schemeClr w14:val="tx1"/>
                </w14:solidFill>
              </w14:textFill>
            </w:rPr>
            <w:fldChar w:fldCharType="end"/>
          </w:r>
          <w:r>
            <w:rPr>
              <w:rFonts w:ascii="宋体" w:hAnsi="宋体" w:cs="Cambria"/>
              <w:bCs w:val="0"/>
              <w:color w:val="000000" w:themeColor="text1"/>
              <w14:textFill>
                <w14:solidFill>
                  <w14:schemeClr w14:val="tx1"/>
                </w14:solidFill>
              </w14:textFill>
            </w:rPr>
            <w:fldChar w:fldCharType="begin"/>
          </w:r>
          <w:r>
            <w:rPr>
              <w:rFonts w:hint="eastAsia" w:ascii="宋体" w:hAnsi="宋体" w:cs="Cambria"/>
              <w:color w:val="000000" w:themeColor="text1"/>
              <w14:textFill>
                <w14:solidFill>
                  <w14:schemeClr w14:val="tx1"/>
                </w14:solidFill>
              </w14:textFill>
            </w:rPr>
            <w:instrText xml:space="preserve"> MACROBUTTON  SnrToggleCheckbox √不适用 </w:instrText>
          </w:r>
          <w:r>
            <w:rPr>
              <w:rFonts w:ascii="宋体" w:hAnsi="宋体" w:cs="Cambria"/>
              <w:bCs w:val="0"/>
              <w:color w:val="000000" w:themeColor="text1"/>
              <w14:textFill>
                <w14:solidFill>
                  <w14:schemeClr w14:val="tx1"/>
                </w14:solidFill>
              </w14:textFill>
            </w:rPr>
            <w:fldChar w:fldCharType="end"/>
          </w:r>
        </w:p>
      </w:sdtContent>
    </w:sdt>
    <w:p w14:paraId="0170927F">
      <w:pPr>
        <w:rPr>
          <w:rFonts w:cs="Cambria"/>
          <w:bCs w:val="0"/>
          <w:color w:val="000000" w:themeColor="text1"/>
          <w14:textFill>
            <w14:solidFill>
              <w14:schemeClr w14:val="tx1"/>
            </w14:solidFill>
          </w14:textFill>
        </w:rPr>
      </w:pPr>
    </w:p>
    <w:p w14:paraId="24BF35A4">
      <w:pPr>
        <w:rPr>
          <w:rFonts w:cs="Cambria"/>
          <w:bCs w:val="0"/>
          <w:color w:val="000000" w:themeColor="text1"/>
          <w14:textFill>
            <w14:solidFill>
              <w14:schemeClr w14:val="tx1"/>
            </w14:solidFill>
          </w14:textFill>
        </w:rPr>
      </w:pPr>
      <w:r>
        <w:rPr>
          <w:rFonts w:hint="eastAsia" w:cs="Cambria"/>
          <w:color w:val="000000" w:themeColor="text1"/>
          <w14:textFill>
            <w14:solidFill>
              <w14:schemeClr w14:val="tx1"/>
            </w14:solidFill>
          </w14:textFill>
        </w:rPr>
        <w:t>关联管理/出包情况说明</w:t>
      </w:r>
    </w:p>
    <w:sdt>
      <w:sdtPr>
        <w:rPr>
          <w:rFonts w:cs="Cambria"/>
          <w:bCs w:val="0"/>
          <w:color w:val="000000" w:themeColor="text1"/>
          <w14:textFill>
            <w14:solidFill>
              <w14:schemeClr w14:val="tx1"/>
            </w14:solidFill>
          </w14:textFill>
        </w:rPr>
        <w:alias w:val="是否适用：关联管理或出包情况说明[双击切换]"/>
        <w:tag w:val="_GBC_0b0339c118c542eb8a6e3a68fab8e375"/>
        <w:id w:val="329178078"/>
        <w:placeholder>
          <w:docPart w:val="GBC22222222222222222222222222222"/>
        </w:placeholder>
      </w:sdtPr>
      <w:sdtEndPr>
        <w:rPr>
          <w:rFonts w:cs="Cambria"/>
          <w:bCs w:val="0"/>
          <w:color w:val="000000" w:themeColor="text1"/>
          <w14:textFill>
            <w14:solidFill>
              <w14:schemeClr w14:val="tx1"/>
            </w14:solidFill>
          </w14:textFill>
        </w:rPr>
      </w:sdtEndPr>
      <w:sdtContent>
        <w:p w14:paraId="11A15906">
          <w:pPr>
            <w:rPr>
              <w:rFonts w:cs="Cambria"/>
              <w:bCs w:val="0"/>
              <w:color w:val="000000" w:themeColor="text1"/>
              <w14:textFill>
                <w14:solidFill>
                  <w14:schemeClr w14:val="tx1"/>
                </w14:solidFill>
              </w14:textFill>
            </w:rPr>
          </w:pPr>
          <w:r>
            <w:rPr>
              <w:rFonts w:ascii="宋体" w:hAnsi="宋体" w:cs="Cambria"/>
              <w:bCs w:val="0"/>
              <w:color w:val="000000" w:themeColor="text1"/>
              <w14:textFill>
                <w14:solidFill>
                  <w14:schemeClr w14:val="tx1"/>
                </w14:solidFill>
              </w14:textFill>
            </w:rPr>
            <w:fldChar w:fldCharType="begin"/>
          </w:r>
          <w:r>
            <w:rPr>
              <w:rFonts w:hint="eastAsia" w:ascii="宋体" w:hAnsi="宋体" w:cs="Cambria"/>
              <w:color w:val="000000" w:themeColor="text1"/>
              <w14:textFill>
                <w14:solidFill>
                  <w14:schemeClr w14:val="tx1"/>
                </w14:solidFill>
              </w14:textFill>
            </w:rPr>
            <w:instrText xml:space="preserve"> MACROBUTTON  SnrToggleCheckbox □适用 </w:instrText>
          </w:r>
          <w:r>
            <w:rPr>
              <w:rFonts w:ascii="宋体" w:hAnsi="宋体" w:cs="Cambria"/>
              <w:bCs w:val="0"/>
              <w:color w:val="000000" w:themeColor="text1"/>
              <w14:textFill>
                <w14:solidFill>
                  <w14:schemeClr w14:val="tx1"/>
                </w14:solidFill>
              </w14:textFill>
            </w:rPr>
            <w:fldChar w:fldCharType="end"/>
          </w:r>
          <w:r>
            <w:rPr>
              <w:rFonts w:ascii="宋体" w:hAnsi="宋体" w:cs="Cambria"/>
              <w:bCs w:val="0"/>
              <w:color w:val="000000" w:themeColor="text1"/>
              <w14:textFill>
                <w14:solidFill>
                  <w14:schemeClr w14:val="tx1"/>
                </w14:solidFill>
              </w14:textFill>
            </w:rPr>
            <w:fldChar w:fldCharType="begin"/>
          </w:r>
          <w:r>
            <w:rPr>
              <w:rFonts w:hint="eastAsia" w:ascii="宋体" w:hAnsi="宋体" w:cs="Cambria"/>
              <w:color w:val="000000" w:themeColor="text1"/>
              <w14:textFill>
                <w14:solidFill>
                  <w14:schemeClr w14:val="tx1"/>
                </w14:solidFill>
              </w14:textFill>
            </w:rPr>
            <w:instrText xml:space="preserve"> MACROBUTTON  SnrToggleCheckbox √不适用 </w:instrText>
          </w:r>
          <w:r>
            <w:rPr>
              <w:rFonts w:ascii="宋体" w:hAnsi="宋体" w:cs="Cambria"/>
              <w:bCs w:val="0"/>
              <w:color w:val="000000" w:themeColor="text1"/>
              <w14:textFill>
                <w14:solidFill>
                  <w14:schemeClr w14:val="tx1"/>
                </w14:solidFill>
              </w14:textFill>
            </w:rPr>
            <w:fldChar w:fldCharType="end"/>
          </w:r>
        </w:p>
      </w:sdtContent>
    </w:sdt>
    <w:p w14:paraId="75E1061B">
      <w:pPr>
        <w:rPr>
          <w:rFonts w:cs="Cambria"/>
          <w:color w:val="000000" w:themeColor="text1"/>
          <w14:textFill>
            <w14:solidFill>
              <w14:schemeClr w14:val="tx1"/>
            </w14:solidFill>
          </w14:textFill>
        </w:rPr>
      </w:pPr>
    </w:p>
    <w:p w14:paraId="54B42C39">
      <w:pPr>
        <w:rPr>
          <w:rFonts w:cs="Cambria"/>
          <w:color w:val="000000" w:themeColor="text1"/>
          <w14:textFill>
            <w14:solidFill>
              <w14:schemeClr w14:val="tx1"/>
            </w14:solidFill>
          </w14:textFill>
        </w:rPr>
        <w:sectPr>
          <w:pgSz w:w="11906" w:h="16838"/>
          <w:pgMar w:top="1525" w:right="1276" w:bottom="1440" w:left="1797" w:header="856" w:footer="992" w:gutter="0"/>
          <w:cols w:space="425" w:num="1"/>
          <w:docGrid w:linePitch="312" w:charSpace="0"/>
        </w:sectPr>
      </w:pPr>
    </w:p>
    <w:p w14:paraId="1F116EA3">
      <w:pPr>
        <w:rPr>
          <w:rFonts w:cs="Cambria"/>
          <w:color w:val="000000" w:themeColor="text1"/>
          <w14:textFill>
            <w14:solidFill>
              <w14:schemeClr w14:val="tx1"/>
            </w14:solidFill>
          </w14:textFill>
        </w:rPr>
      </w:pPr>
    </w:p>
    <w:p w14:paraId="7ACE1437">
      <w:pPr>
        <w:pStyle w:val="5"/>
        <w:numPr>
          <w:ilvl w:val="0"/>
          <w:numId w:val="103"/>
        </w:numPr>
        <w:tabs>
          <w:tab w:val="left" w:pos="616"/>
        </w:tabs>
        <w:rPr>
          <w:rFonts w:hint="eastAsia" w:ascii="宋体" w:hAnsi="宋体"/>
          <w:color w:val="000000" w:themeColor="text1"/>
          <w14:textFill>
            <w14:solidFill>
              <w14:schemeClr w14:val="tx1"/>
            </w14:solidFill>
          </w14:textFill>
        </w:rPr>
      </w:pPr>
      <w:bookmarkStart w:id="401" w:name="_Hlk105747475"/>
      <w:r>
        <w:rPr>
          <w:rFonts w:hint="eastAsia" w:ascii="宋体" w:hAnsi="宋体"/>
          <w:color w:val="000000" w:themeColor="text1"/>
          <w14:textFill>
            <w14:solidFill>
              <w14:schemeClr w14:val="tx1"/>
            </w14:solidFill>
          </w14:textFill>
        </w:rPr>
        <w:t>关联租赁情况</w:t>
      </w:r>
    </w:p>
    <w:p w14:paraId="4EEA7A3D">
      <w:pPr>
        <w:rPr>
          <w:color w:val="000000" w:themeColor="text1"/>
          <w14:textFill>
            <w14:solidFill>
              <w14:schemeClr w14:val="tx1"/>
            </w14:solidFill>
          </w14:textFill>
        </w:rPr>
      </w:pPr>
      <w:r>
        <w:rPr>
          <w:rFonts w:hint="eastAsia"/>
          <w:color w:val="000000" w:themeColor="text1"/>
          <w14:textFill>
            <w14:solidFill>
              <w14:schemeClr w14:val="tx1"/>
            </w14:solidFill>
          </w14:textFill>
        </w:rPr>
        <w:t>本公司作为出租方：</w:t>
      </w:r>
    </w:p>
    <w:sdt>
      <w:sdtPr>
        <w:rPr>
          <w:color w:val="000000" w:themeColor="text1"/>
          <w14:textFill>
            <w14:solidFill>
              <w14:schemeClr w14:val="tx1"/>
            </w14:solidFill>
          </w14:textFill>
        </w:rPr>
        <w:alias w:val="是否适用：本公司作为出租方的租赁情况表[双击切换]"/>
        <w:tag w:val="_GBC_f12cb8266cbd482b93c6a4bba1b05fb7"/>
        <w:id w:val="-1611654467"/>
        <w:placeholder>
          <w:docPart w:val="GBC22222222222222222222222222222"/>
        </w:placeholder>
      </w:sdtPr>
      <w:sdtEndPr>
        <w:rPr>
          <w:color w:val="000000" w:themeColor="text1"/>
          <w14:textFill>
            <w14:solidFill>
              <w14:schemeClr w14:val="tx1"/>
            </w14:solidFill>
          </w14:textFill>
        </w:rPr>
      </w:sdtEndPr>
      <w:sdtContent>
        <w:p w14:paraId="5E3EDF2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38F8C5F">
      <w:pPr>
        <w:rPr>
          <w:color w:val="000000" w:themeColor="text1"/>
          <w14:textFill>
            <w14:solidFill>
              <w14:schemeClr w14:val="tx1"/>
            </w14:solidFill>
          </w14:textFill>
        </w:rPr>
      </w:pPr>
    </w:p>
    <w:p w14:paraId="2D04E2AB">
      <w:pPr>
        <w:rPr>
          <w:color w:val="000000" w:themeColor="text1"/>
          <w14:textFill>
            <w14:solidFill>
              <w14:schemeClr w14:val="tx1"/>
            </w14:solidFill>
          </w14:textFill>
        </w:rPr>
      </w:pPr>
      <w:r>
        <w:rPr>
          <w:rFonts w:hint="eastAsia"/>
          <w:color w:val="000000" w:themeColor="text1"/>
          <w14:textFill>
            <w14:solidFill>
              <w14:schemeClr w14:val="tx1"/>
            </w14:solidFill>
          </w14:textFill>
        </w:rPr>
        <w:t>本公司作为承租方：</w:t>
      </w:r>
    </w:p>
    <w:sdt>
      <w:sdtPr>
        <w:rPr>
          <w:color w:val="000000" w:themeColor="text1"/>
          <w14:textFill>
            <w14:solidFill>
              <w14:schemeClr w14:val="tx1"/>
            </w14:solidFill>
          </w14:textFill>
        </w:rPr>
        <w:alias w:val="是否适用：本公司作为承租方的租赁情况表[双击切换]"/>
        <w:tag w:val="_GBC_e3319fb4cbb04bb0ab5516046d7e77a4"/>
        <w:id w:val="1048178516"/>
        <w:placeholder>
          <w:docPart w:val="GBC22222222222222222222222222222"/>
        </w:placeholder>
      </w:sdtPr>
      <w:sdtEndPr>
        <w:rPr>
          <w:color w:val="000000" w:themeColor="text1"/>
          <w14:textFill>
            <w14:solidFill>
              <w14:schemeClr w14:val="tx1"/>
            </w14:solidFill>
          </w14:textFill>
        </w:rPr>
      </w:sdtEndPr>
      <w:sdtContent>
        <w:p w14:paraId="6464B0D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6A0FF2F">
      <w:pPr>
        <w:rPr>
          <w:color w:val="000000" w:themeColor="text1"/>
          <w14:textFill>
            <w14:solidFill>
              <w14:schemeClr w14:val="tx1"/>
            </w14:solidFill>
          </w14:textFill>
        </w:rPr>
      </w:pPr>
    </w:p>
    <w:p w14:paraId="05E16BD2">
      <w:pPr>
        <w:rPr>
          <w:color w:val="000000" w:themeColor="text1"/>
          <w14:textFill>
            <w14:solidFill>
              <w14:schemeClr w14:val="tx1"/>
            </w14:solidFill>
          </w14:textFill>
        </w:rPr>
      </w:pPr>
      <w:r>
        <w:rPr>
          <w:rFonts w:hint="eastAsia"/>
          <w:color w:val="000000" w:themeColor="text1"/>
          <w14:textFill>
            <w14:solidFill>
              <w14:schemeClr w14:val="tx1"/>
            </w14:solidFill>
          </w14:textFill>
        </w:rPr>
        <w:t>关联租赁情况说明</w:t>
      </w:r>
    </w:p>
    <w:sdt>
      <w:sdtPr>
        <w:rPr>
          <w:color w:val="000000" w:themeColor="text1"/>
          <w14:textFill>
            <w14:solidFill>
              <w14:schemeClr w14:val="tx1"/>
            </w14:solidFill>
          </w14:textFill>
        </w:rPr>
        <w:alias w:val="是否适用：关联租赁情况说明[双击切换]"/>
        <w:tag w:val="_GBC_a8d25c1a27d24bbeb9dd0063be85a310"/>
        <w:id w:val="-762841245"/>
        <w:placeholder>
          <w:docPart w:val="GBC22222222222222222222222222222"/>
        </w:placeholder>
      </w:sdtPr>
      <w:sdtEndPr>
        <w:rPr>
          <w:color w:val="000000" w:themeColor="text1"/>
          <w14:textFill>
            <w14:solidFill>
              <w14:schemeClr w14:val="tx1"/>
            </w14:solidFill>
          </w14:textFill>
        </w:rPr>
      </w:sdtEndPr>
      <w:sdtContent>
        <w:p w14:paraId="6A23356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3C403D5">
      <w:pPr>
        <w:rPr>
          <w:color w:val="000000" w:themeColor="text1"/>
          <w14:textFill>
            <w14:solidFill>
              <w14:schemeClr w14:val="tx1"/>
            </w14:solidFill>
          </w14:textFill>
        </w:rPr>
      </w:pPr>
    </w:p>
    <w:bookmarkEnd w:id="401"/>
    <w:p w14:paraId="71D3FFA8">
      <w:pPr>
        <w:rPr>
          <w:color w:val="000000" w:themeColor="text1"/>
          <w14:textFill>
            <w14:solidFill>
              <w14:schemeClr w14:val="tx1"/>
            </w14:solidFill>
          </w14:textFill>
        </w:rPr>
        <w:sectPr>
          <w:pgSz w:w="16838" w:h="11906" w:orient="landscape"/>
          <w:pgMar w:top="1797" w:right="1525" w:bottom="1276" w:left="1440" w:header="856" w:footer="992" w:gutter="0"/>
          <w:cols w:space="425" w:num="1"/>
          <w:docGrid w:linePitch="312" w:charSpace="0"/>
        </w:sectPr>
      </w:pPr>
    </w:p>
    <w:p w14:paraId="6D03C4D8">
      <w:pPr>
        <w:rPr>
          <w:color w:val="000000" w:themeColor="text1"/>
          <w14:textFill>
            <w14:solidFill>
              <w14:schemeClr w14:val="tx1"/>
            </w14:solidFill>
          </w14:textFill>
        </w:rPr>
      </w:pPr>
    </w:p>
    <w:p w14:paraId="44A37334">
      <w:pPr>
        <w:pStyle w:val="5"/>
        <w:numPr>
          <w:ilvl w:val="0"/>
          <w:numId w:val="103"/>
        </w:numPr>
        <w:tabs>
          <w:tab w:val="left" w:pos="616"/>
        </w:tabs>
        <w:rPr>
          <w:rFonts w:hint="eastAsia" w:ascii="宋体" w:hAnsi="宋体" w:cs="Arial"/>
          <w:color w:val="000000" w:themeColor="text1"/>
          <w:szCs w:val="21"/>
          <w14:textFill>
            <w14:solidFill>
              <w14:schemeClr w14:val="tx1"/>
            </w14:solidFill>
          </w14:textFill>
        </w:rPr>
      </w:pPr>
      <w:bookmarkStart w:id="402" w:name="_Hlk105747684"/>
      <w:r>
        <w:rPr>
          <w:rFonts w:hint="eastAsia" w:ascii="宋体" w:hAnsi="宋体" w:cs="Arial"/>
          <w:color w:val="000000" w:themeColor="text1"/>
          <w:szCs w:val="21"/>
          <w14:textFill>
            <w14:solidFill>
              <w14:schemeClr w14:val="tx1"/>
            </w14:solidFill>
          </w14:textFill>
        </w:rPr>
        <w:t>关联</w:t>
      </w:r>
      <w:r>
        <w:rPr>
          <w:rFonts w:hint="eastAsia" w:ascii="宋体" w:hAnsi="宋体"/>
          <w:color w:val="000000" w:themeColor="text1"/>
          <w14:textFill>
            <w14:solidFill>
              <w14:schemeClr w14:val="tx1"/>
            </w14:solidFill>
          </w14:textFill>
        </w:rPr>
        <w:t>担保</w:t>
      </w:r>
      <w:r>
        <w:rPr>
          <w:rFonts w:hint="eastAsia" w:ascii="宋体" w:hAnsi="宋体" w:cs="Arial"/>
          <w:color w:val="000000" w:themeColor="text1"/>
          <w:szCs w:val="21"/>
          <w14:textFill>
            <w14:solidFill>
              <w14:schemeClr w14:val="tx1"/>
            </w14:solidFill>
          </w14:textFill>
        </w:rPr>
        <w:t>情况</w:t>
      </w:r>
    </w:p>
    <w:p w14:paraId="4D87588C">
      <w:pPr>
        <w:rPr>
          <w:color w:val="000000" w:themeColor="text1"/>
          <w14:textFill>
            <w14:solidFill>
              <w14:schemeClr w14:val="tx1"/>
            </w14:solidFill>
          </w14:textFill>
        </w:rPr>
      </w:pPr>
      <w:r>
        <w:rPr>
          <w:rFonts w:hint="eastAsia"/>
          <w:color w:val="000000" w:themeColor="text1"/>
          <w14:textFill>
            <w14:solidFill>
              <w14:schemeClr w14:val="tx1"/>
            </w14:solidFill>
          </w14:textFill>
        </w:rPr>
        <w:t>本公司作为担保方</w:t>
      </w:r>
    </w:p>
    <w:sdt>
      <w:sdtPr>
        <w:rPr>
          <w:color w:val="000000" w:themeColor="text1"/>
          <w14:textFill>
            <w14:solidFill>
              <w14:schemeClr w14:val="tx1"/>
            </w14:solidFill>
          </w14:textFill>
        </w:rPr>
        <w:alias w:val="是否适用：本公司作为担保方的担保情况表[双击切换]"/>
        <w:tag w:val="_GBC_f0150417f8ec4c5281b86683570391cb"/>
        <w:id w:val="1486355977"/>
        <w:placeholder>
          <w:docPart w:val="GBC22222222222222222222222222222"/>
        </w:placeholder>
      </w:sdtPr>
      <w:sdtEndPr>
        <w:rPr>
          <w:color w:val="000000" w:themeColor="text1"/>
          <w14:textFill>
            <w14:solidFill>
              <w14:schemeClr w14:val="tx1"/>
            </w14:solidFill>
          </w14:textFill>
        </w:rPr>
      </w:sdtEndPr>
      <w:sdtContent>
        <w:p w14:paraId="37D042C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AA5DCCA">
      <w:pPr>
        <w:rPr>
          <w:color w:val="000000" w:themeColor="text1"/>
          <w14:textFill>
            <w14:solidFill>
              <w14:schemeClr w14:val="tx1"/>
            </w14:solidFill>
          </w14:textFill>
        </w:rPr>
      </w:pPr>
    </w:p>
    <w:p w14:paraId="4B9E8995">
      <w:pP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本公司作为被担保方</w:t>
      </w:r>
    </w:p>
    <w:sdt>
      <w:sdtPr>
        <w:rPr>
          <w:rFonts w:cs="Cambria"/>
          <w:color w:val="000000" w:themeColor="text1"/>
          <w14:textFill>
            <w14:solidFill>
              <w14:schemeClr w14:val="tx1"/>
            </w14:solidFill>
          </w14:textFill>
        </w:rPr>
        <w:alias w:val="是否适用：本公司作为被担保方的担保情况表[双击切换]"/>
        <w:tag w:val="_GBC_3686094d29c941dd91bd168e3ef88833"/>
        <w:id w:val="1257090727"/>
        <w:placeholder>
          <w:docPart w:val="GBC22222222222222222222222222222"/>
        </w:placeholder>
      </w:sdtPr>
      <w:sdtEndPr>
        <w:rPr>
          <w:rFonts w:cs="Cambria"/>
          <w:color w:val="000000" w:themeColor="text1"/>
          <w14:textFill>
            <w14:solidFill>
              <w14:schemeClr w14:val="tx1"/>
            </w14:solidFill>
          </w14:textFill>
        </w:rPr>
      </w:sdtEndPr>
      <w:sdtContent>
        <w:p w14:paraId="1C11094D">
          <w:pPr>
            <w:rPr>
              <w:rFonts w:cs="Cambria"/>
              <w:color w:val="000000" w:themeColor="text1"/>
              <w14:textFill>
                <w14:solidFill>
                  <w14:schemeClr w14:val="tx1"/>
                </w14:solidFill>
              </w14:textFill>
            </w:rPr>
          </w:pPr>
          <w:r>
            <w:rPr>
              <w:rFonts w:ascii="宋体" w:hAnsi="宋体" w:cs="Cambria"/>
              <w:color w:val="000000" w:themeColor="text1"/>
              <w14:textFill>
                <w14:solidFill>
                  <w14:schemeClr w14:val="tx1"/>
                </w14:solidFill>
              </w14:textFill>
            </w:rPr>
            <w:fldChar w:fldCharType="begin"/>
          </w:r>
          <w:r>
            <w:rPr>
              <w:rFonts w:ascii="宋体" w:hAnsi="宋体" w:cs="Cambria"/>
              <w:color w:val="000000" w:themeColor="text1"/>
              <w14:textFill>
                <w14:solidFill>
                  <w14:schemeClr w14:val="tx1"/>
                </w14:solidFill>
              </w14:textFill>
            </w:rPr>
            <w:instrText xml:space="preserve"> MACROBUTTON  SnrToggleCheckbox √适用 </w:instrText>
          </w:r>
          <w:r>
            <w:rPr>
              <w:rFonts w:ascii="宋体" w:hAnsi="宋体" w:cs="Cambria"/>
              <w:color w:val="000000" w:themeColor="text1"/>
              <w14:textFill>
                <w14:solidFill>
                  <w14:schemeClr w14:val="tx1"/>
                </w14:solidFill>
              </w14:textFill>
            </w:rPr>
            <w:fldChar w:fldCharType="end"/>
          </w:r>
          <w:r>
            <w:rPr>
              <w:rFonts w:ascii="宋体" w:hAnsi="宋体" w:cs="Cambria"/>
              <w:color w:val="000000" w:themeColor="text1"/>
              <w14:textFill>
                <w14:solidFill>
                  <w14:schemeClr w14:val="tx1"/>
                </w14:solidFill>
              </w14:textFill>
            </w:rPr>
            <w:fldChar w:fldCharType="begin"/>
          </w:r>
          <w:r>
            <w:rPr>
              <w:rFonts w:ascii="宋体" w:hAnsi="宋体" w:cs="Cambria"/>
              <w:color w:val="000000" w:themeColor="text1"/>
              <w14:textFill>
                <w14:solidFill>
                  <w14:schemeClr w14:val="tx1"/>
                </w14:solidFill>
              </w14:textFill>
            </w:rPr>
            <w:instrText xml:space="preserve"> MACROBUTTON  SnrToggleCheckbox □不适用 </w:instrText>
          </w:r>
          <w:r>
            <w:rPr>
              <w:rFonts w:ascii="宋体" w:hAnsi="宋体" w:cs="Cambria"/>
              <w:color w:val="000000" w:themeColor="text1"/>
              <w14:textFill>
                <w14:solidFill>
                  <w14:schemeClr w14:val="tx1"/>
                </w14:solidFill>
              </w14:textFill>
            </w:rPr>
            <w:fldChar w:fldCharType="end"/>
          </w:r>
        </w:p>
      </w:sdtContent>
    </w:sdt>
    <w:p w14:paraId="549E7F3A">
      <w:pPr>
        <w:jc w:val="right"/>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单位：</w:t>
      </w:r>
      <w:sdt>
        <w:sdtPr>
          <w:rPr>
            <w:rFonts w:hint="eastAsia" w:cs="Cambria"/>
            <w:color w:val="000000" w:themeColor="text1"/>
            <w14:textFill>
              <w14:solidFill>
                <w14:schemeClr w14:val="tx1"/>
              </w14:solidFill>
            </w14:textFill>
          </w:rPr>
          <w:alias w:val="单位：财务附注：本公司作为被担保方"/>
          <w:tag w:val="_GBC_af3d3d55d9c648f8b2e94dcdd804c683"/>
          <w:id w:val="-17205012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s="Cambria"/>
            <w:color w:val="000000" w:themeColor="text1"/>
            <w14:textFill>
              <w14:solidFill>
                <w14:schemeClr w14:val="tx1"/>
              </w14:solidFill>
            </w14:textFill>
          </w:rPr>
        </w:sdtEndPr>
        <w:sdtContent>
          <w:r>
            <w:rPr>
              <w:rFonts w:hint="eastAsia" w:cs="Cambria"/>
              <w:color w:val="000000" w:themeColor="text1"/>
              <w14:textFill>
                <w14:solidFill>
                  <w14:schemeClr w14:val="tx1"/>
                </w14:solidFill>
              </w14:textFill>
            </w:rPr>
            <w:t>元</w:t>
          </w:r>
        </w:sdtContent>
      </w:sdt>
      <w:r>
        <w:rPr>
          <w:rFonts w:hint="eastAsia" w:cs="Cambria"/>
          <w:color w:val="000000" w:themeColor="text1"/>
          <w14:textFill>
            <w14:solidFill>
              <w14:schemeClr w14:val="tx1"/>
            </w14:solidFill>
          </w14:textFill>
        </w:rPr>
        <w:t xml:space="preserve"> 币种：</w:t>
      </w:r>
      <w:sdt>
        <w:sdtPr>
          <w:rPr>
            <w:rFonts w:hint="eastAsia" w:cs="Cambria"/>
            <w:color w:val="000000" w:themeColor="text1"/>
            <w14:textFill>
              <w14:solidFill>
                <w14:schemeClr w14:val="tx1"/>
              </w14:solidFill>
            </w14:textFill>
          </w:rPr>
          <w:alias w:val="币种：财务附注：本公司作为被担保方"/>
          <w:tag w:val="_GBC_684efbccec674b3abab20e6aa5c20b55"/>
          <w:id w:val="7615689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s="Cambria"/>
            <w:color w:val="000000" w:themeColor="text1"/>
            <w14:textFill>
              <w14:solidFill>
                <w14:schemeClr w14:val="tx1"/>
              </w14:solidFill>
            </w14:textFill>
          </w:rPr>
        </w:sdtEndPr>
        <w:sdtContent>
          <w:r>
            <w:rPr>
              <w:rFonts w:hint="eastAsia" w:cs="Cambria"/>
              <w:color w:val="000000" w:themeColor="text1"/>
              <w14:textFill>
                <w14:solidFill>
                  <w14:schemeClr w14:val="tx1"/>
                </w14:solidFill>
              </w14:textFill>
            </w:rPr>
            <w:t>人民币</w:t>
          </w:r>
        </w:sdtContent>
      </w:sdt>
    </w:p>
    <w:tbl>
      <w:tblPr>
        <w:tblStyle w:val="37"/>
        <w:tblW w:w="5625" w:type="pct"/>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3829"/>
        <w:gridCol w:w="1701"/>
        <w:gridCol w:w="1701"/>
        <w:gridCol w:w="1418"/>
        <w:gridCol w:w="1277"/>
      </w:tblGrid>
      <w:tr w14:paraId="2031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sdt>
          <w:sdtPr>
            <w:tag w:val="_PLD_6088efc2eccd46e6a311f035e3addd31"/>
            <w:id w:val="-1714575324"/>
          </w:sdtPr>
          <w:sdtContent>
            <w:tc>
              <w:tcPr>
                <w:tcW w:w="1929" w:type="pct"/>
                <w:tcBorders>
                  <w:top w:val="single" w:color="auto" w:sz="4" w:space="0"/>
                  <w:left w:val="single" w:color="auto" w:sz="4" w:space="0"/>
                  <w:bottom w:val="single" w:color="auto" w:sz="4" w:space="0"/>
                  <w:right w:val="single" w:color="auto" w:sz="4" w:space="0"/>
                </w:tcBorders>
                <w:vAlign w:val="center"/>
              </w:tcPr>
              <w:p w14:paraId="4D58C029">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担保方</w:t>
                </w:r>
              </w:p>
            </w:tc>
          </w:sdtContent>
        </w:sdt>
        <w:sdt>
          <w:sdtPr>
            <w:tag w:val="_PLD_e7f78a4ceee3432c87548a75d87de01f"/>
            <w:id w:val="-1088311652"/>
          </w:sdtPr>
          <w:sdtContent>
            <w:tc>
              <w:tcPr>
                <w:tcW w:w="857" w:type="pct"/>
                <w:tcBorders>
                  <w:top w:val="single" w:color="auto" w:sz="4" w:space="0"/>
                  <w:left w:val="single" w:color="auto" w:sz="4" w:space="0"/>
                  <w:bottom w:val="single" w:color="auto" w:sz="4" w:space="0"/>
                  <w:right w:val="single" w:color="auto" w:sz="4" w:space="0"/>
                </w:tcBorders>
                <w:vAlign w:val="center"/>
              </w:tcPr>
              <w:p w14:paraId="60D0BDAF">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担保金额</w:t>
                </w:r>
              </w:p>
            </w:tc>
          </w:sdtContent>
        </w:sdt>
        <w:sdt>
          <w:sdtPr>
            <w:tag w:val="_PLD_258ee883a1494cba8aadfb02a67b1d9f"/>
            <w:id w:val="29391386"/>
          </w:sdtPr>
          <w:sdtContent>
            <w:tc>
              <w:tcPr>
                <w:tcW w:w="857" w:type="pct"/>
                <w:tcBorders>
                  <w:top w:val="single" w:color="auto" w:sz="4" w:space="0"/>
                  <w:left w:val="single" w:color="auto" w:sz="4" w:space="0"/>
                  <w:bottom w:val="single" w:color="auto" w:sz="4" w:space="0"/>
                  <w:right w:val="single" w:color="auto" w:sz="4" w:space="0"/>
                </w:tcBorders>
                <w:vAlign w:val="center"/>
              </w:tcPr>
              <w:p w14:paraId="4309C5C8">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担保起始日</w:t>
                </w:r>
              </w:p>
            </w:tc>
          </w:sdtContent>
        </w:sdt>
        <w:sdt>
          <w:sdtPr>
            <w:tag w:val="_PLD_219bfe3bbd6a4eeab9cd5e00e9bb2477"/>
            <w:id w:val="-2115129441"/>
          </w:sdtPr>
          <w:sdtContent>
            <w:tc>
              <w:tcPr>
                <w:tcW w:w="714" w:type="pct"/>
                <w:tcBorders>
                  <w:top w:val="single" w:color="auto" w:sz="4" w:space="0"/>
                  <w:left w:val="single" w:color="auto" w:sz="4" w:space="0"/>
                  <w:bottom w:val="single" w:color="auto" w:sz="4" w:space="0"/>
                  <w:right w:val="single" w:color="auto" w:sz="4" w:space="0"/>
                </w:tcBorders>
                <w:vAlign w:val="center"/>
              </w:tcPr>
              <w:p w14:paraId="68F55003">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担保到期日</w:t>
                </w:r>
              </w:p>
            </w:tc>
          </w:sdtContent>
        </w:sdt>
        <w:sdt>
          <w:sdtPr>
            <w:tag w:val="_PLD_e2efca4906c0464cb3ccf5445b144c22"/>
            <w:id w:val="-1052540787"/>
          </w:sdtPr>
          <w:sdtContent>
            <w:tc>
              <w:tcPr>
                <w:tcW w:w="643" w:type="pct"/>
                <w:tcBorders>
                  <w:top w:val="single" w:color="auto" w:sz="4" w:space="0"/>
                  <w:left w:val="single" w:color="auto" w:sz="4" w:space="0"/>
                  <w:bottom w:val="single" w:color="auto" w:sz="4" w:space="0"/>
                  <w:right w:val="single" w:color="auto" w:sz="4" w:space="0"/>
                </w:tcBorders>
                <w:vAlign w:val="center"/>
              </w:tcPr>
              <w:p w14:paraId="260B726F">
                <w:pPr>
                  <w:jc w:val="cente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担保是否已经履行完毕</w:t>
                </w:r>
              </w:p>
            </w:tc>
          </w:sdtContent>
        </w:sdt>
      </w:tr>
      <w:tr w14:paraId="3848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4B8FAFE9">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625C6B43">
            <w:pPr>
              <w:jc w:val="right"/>
              <w:rPr>
                <w:rFonts w:cs="Cambria"/>
              </w:rPr>
            </w:pPr>
            <w:r>
              <w:rPr>
                <w:rFonts w:hint="eastAsia" w:ascii="宋体" w:hAnsi="宋体"/>
                <w:sz w:val="18"/>
                <w:szCs w:val="18"/>
              </w:rPr>
              <w:t>20,000,000.00</w:t>
            </w:r>
          </w:p>
        </w:tc>
        <w:tc>
          <w:tcPr>
            <w:tcW w:w="857" w:type="pct"/>
            <w:tcBorders>
              <w:top w:val="single" w:color="auto" w:sz="4" w:space="0"/>
              <w:left w:val="single" w:color="auto" w:sz="4" w:space="0"/>
              <w:bottom w:val="single" w:color="auto" w:sz="4" w:space="0"/>
              <w:right w:val="single" w:color="auto" w:sz="4" w:space="0"/>
            </w:tcBorders>
            <w:vAlign w:val="center"/>
          </w:tcPr>
          <w:p w14:paraId="0E8BDF94">
            <w:pPr>
              <w:rPr>
                <w:rFonts w:cs="Cambria"/>
              </w:rPr>
            </w:pPr>
            <w:r>
              <w:rPr>
                <w:rFonts w:hint="eastAsia" w:ascii="宋体" w:hAnsi="宋体"/>
                <w:sz w:val="18"/>
                <w:szCs w:val="18"/>
              </w:rPr>
              <w:t>2025/2/12</w:t>
            </w:r>
          </w:p>
        </w:tc>
        <w:tc>
          <w:tcPr>
            <w:tcW w:w="714" w:type="pct"/>
            <w:tcBorders>
              <w:top w:val="single" w:color="auto" w:sz="4" w:space="0"/>
              <w:left w:val="single" w:color="auto" w:sz="4" w:space="0"/>
              <w:bottom w:val="single" w:color="auto" w:sz="4" w:space="0"/>
              <w:right w:val="single" w:color="auto" w:sz="4" w:space="0"/>
            </w:tcBorders>
            <w:vAlign w:val="center"/>
          </w:tcPr>
          <w:p w14:paraId="270CFC5F">
            <w:pPr>
              <w:rPr>
                <w:rFonts w:cs="Cambria"/>
              </w:rPr>
            </w:pPr>
            <w:r>
              <w:rPr>
                <w:rFonts w:hint="eastAsia" w:ascii="宋体" w:hAnsi="宋体" w:cs="Cambria"/>
                <w:sz w:val="18"/>
                <w:szCs w:val="18"/>
              </w:rPr>
              <w:t>2026/2/11</w:t>
            </w:r>
          </w:p>
        </w:tc>
        <w:tc>
          <w:tcPr>
            <w:tcW w:w="643" w:type="pct"/>
            <w:tcBorders>
              <w:top w:val="single" w:color="auto" w:sz="4" w:space="0"/>
              <w:left w:val="single" w:color="auto" w:sz="4" w:space="0"/>
              <w:bottom w:val="single" w:color="auto" w:sz="4" w:space="0"/>
              <w:right w:val="single" w:color="auto" w:sz="4" w:space="0"/>
            </w:tcBorders>
            <w:vAlign w:val="center"/>
          </w:tcPr>
          <w:p w14:paraId="383A868E">
            <w:pPr>
              <w:rPr>
                <w:rFonts w:cs="Cambria"/>
                <w:color w:val="000000" w:themeColor="text1"/>
                <w14:textFill>
                  <w14:solidFill>
                    <w14:schemeClr w14:val="tx1"/>
                  </w14:solidFill>
                </w14:textFill>
              </w:rPr>
            </w:pPr>
            <w:bookmarkStart w:id="403" w:name="OLE_LINK11"/>
            <w:r>
              <w:rPr>
                <w:rFonts w:hint="eastAsia" w:ascii="宋体" w:hAnsi="宋体"/>
                <w:sz w:val="18"/>
                <w:szCs w:val="18"/>
              </w:rPr>
              <w:t>是</w:t>
            </w:r>
            <w:bookmarkEnd w:id="403"/>
          </w:p>
        </w:tc>
      </w:tr>
      <w:tr w14:paraId="5E24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58D5021A">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7EBE7C21">
            <w:pPr>
              <w:jc w:val="right"/>
              <w:rPr>
                <w:rFonts w:cs="Cambria"/>
              </w:rPr>
            </w:pPr>
            <w:r>
              <w:rPr>
                <w:rFonts w:hint="eastAsia" w:ascii="宋体" w:hAnsi="宋体"/>
                <w:sz w:val="18"/>
                <w:szCs w:val="18"/>
              </w:rPr>
              <w:t>50,000,000.00</w:t>
            </w:r>
          </w:p>
        </w:tc>
        <w:tc>
          <w:tcPr>
            <w:tcW w:w="857" w:type="pct"/>
            <w:tcBorders>
              <w:top w:val="single" w:color="auto" w:sz="4" w:space="0"/>
              <w:left w:val="single" w:color="auto" w:sz="4" w:space="0"/>
              <w:bottom w:val="single" w:color="auto" w:sz="4" w:space="0"/>
              <w:right w:val="single" w:color="auto" w:sz="4" w:space="0"/>
            </w:tcBorders>
            <w:vAlign w:val="center"/>
          </w:tcPr>
          <w:p w14:paraId="6CACF246">
            <w:pPr>
              <w:rPr>
                <w:rFonts w:cs="Cambria"/>
              </w:rPr>
            </w:pPr>
            <w:r>
              <w:rPr>
                <w:rFonts w:hint="eastAsia" w:ascii="宋体" w:hAnsi="宋体"/>
                <w:sz w:val="18"/>
                <w:szCs w:val="18"/>
              </w:rPr>
              <w:t>2025/2/18</w:t>
            </w:r>
          </w:p>
        </w:tc>
        <w:tc>
          <w:tcPr>
            <w:tcW w:w="714" w:type="pct"/>
            <w:tcBorders>
              <w:top w:val="single" w:color="auto" w:sz="4" w:space="0"/>
              <w:left w:val="single" w:color="auto" w:sz="4" w:space="0"/>
              <w:bottom w:val="single" w:color="auto" w:sz="4" w:space="0"/>
              <w:right w:val="single" w:color="auto" w:sz="4" w:space="0"/>
            </w:tcBorders>
            <w:vAlign w:val="center"/>
          </w:tcPr>
          <w:p w14:paraId="41D76409">
            <w:pPr>
              <w:rPr>
                <w:rFonts w:cs="Cambria"/>
              </w:rPr>
            </w:pPr>
            <w:r>
              <w:rPr>
                <w:rFonts w:hint="eastAsia" w:ascii="宋体" w:hAnsi="宋体" w:cs="Cambria"/>
                <w:sz w:val="18"/>
                <w:szCs w:val="18"/>
              </w:rPr>
              <w:t>2026/2/17</w:t>
            </w:r>
          </w:p>
        </w:tc>
        <w:tc>
          <w:tcPr>
            <w:tcW w:w="643" w:type="pct"/>
            <w:tcBorders>
              <w:top w:val="single" w:color="auto" w:sz="4" w:space="0"/>
              <w:left w:val="single" w:color="auto" w:sz="4" w:space="0"/>
              <w:bottom w:val="single" w:color="auto" w:sz="4" w:space="0"/>
              <w:right w:val="single" w:color="auto" w:sz="4" w:space="0"/>
            </w:tcBorders>
          </w:tcPr>
          <w:p w14:paraId="7F2589CD">
            <w:pPr>
              <w:rPr>
                <w:rFonts w:cs="Cambria"/>
                <w:color w:val="000000" w:themeColor="text1"/>
                <w14:textFill>
                  <w14:solidFill>
                    <w14:schemeClr w14:val="tx1"/>
                  </w14:solidFill>
                </w14:textFill>
              </w:rPr>
            </w:pPr>
            <w:r>
              <w:rPr>
                <w:rFonts w:hint="eastAsia" w:ascii="宋体" w:hAnsi="宋体"/>
                <w:sz w:val="18"/>
                <w:szCs w:val="18"/>
              </w:rPr>
              <w:t>是</w:t>
            </w:r>
          </w:p>
        </w:tc>
      </w:tr>
      <w:tr w14:paraId="05B6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3AD63213">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464BC630">
            <w:pPr>
              <w:jc w:val="right"/>
              <w:rPr>
                <w:rFonts w:cs="Cambria"/>
              </w:rPr>
            </w:pPr>
            <w:r>
              <w:rPr>
                <w:rFonts w:hint="eastAsia" w:ascii="宋体" w:hAnsi="宋体"/>
                <w:sz w:val="18"/>
                <w:szCs w:val="18"/>
              </w:rPr>
              <w:t>38,000,000.00</w:t>
            </w:r>
          </w:p>
        </w:tc>
        <w:tc>
          <w:tcPr>
            <w:tcW w:w="857" w:type="pct"/>
            <w:tcBorders>
              <w:top w:val="single" w:color="auto" w:sz="4" w:space="0"/>
              <w:left w:val="single" w:color="auto" w:sz="4" w:space="0"/>
              <w:bottom w:val="single" w:color="auto" w:sz="4" w:space="0"/>
              <w:right w:val="single" w:color="auto" w:sz="4" w:space="0"/>
            </w:tcBorders>
            <w:vAlign w:val="center"/>
          </w:tcPr>
          <w:p w14:paraId="63FEFD9F">
            <w:pPr>
              <w:rPr>
                <w:rFonts w:cs="Cambria"/>
              </w:rPr>
            </w:pPr>
            <w:r>
              <w:rPr>
                <w:rFonts w:hint="eastAsia" w:ascii="宋体" w:hAnsi="宋体"/>
                <w:sz w:val="18"/>
                <w:szCs w:val="18"/>
              </w:rPr>
              <w:t>2025/5/9</w:t>
            </w:r>
          </w:p>
        </w:tc>
        <w:tc>
          <w:tcPr>
            <w:tcW w:w="714" w:type="pct"/>
            <w:tcBorders>
              <w:top w:val="single" w:color="auto" w:sz="4" w:space="0"/>
              <w:left w:val="single" w:color="auto" w:sz="4" w:space="0"/>
              <w:bottom w:val="single" w:color="auto" w:sz="4" w:space="0"/>
              <w:right w:val="single" w:color="auto" w:sz="4" w:space="0"/>
            </w:tcBorders>
            <w:vAlign w:val="center"/>
          </w:tcPr>
          <w:p w14:paraId="4854A2F7">
            <w:pPr>
              <w:rPr>
                <w:rFonts w:cs="Cambria"/>
              </w:rPr>
            </w:pPr>
            <w:r>
              <w:rPr>
                <w:rFonts w:hint="eastAsia" w:ascii="宋体" w:hAnsi="宋体" w:cs="Cambria"/>
                <w:sz w:val="18"/>
                <w:szCs w:val="18"/>
              </w:rPr>
              <w:t>2026/5/8</w:t>
            </w:r>
          </w:p>
        </w:tc>
        <w:tc>
          <w:tcPr>
            <w:tcW w:w="643" w:type="pct"/>
            <w:tcBorders>
              <w:top w:val="single" w:color="auto" w:sz="4" w:space="0"/>
              <w:left w:val="single" w:color="auto" w:sz="4" w:space="0"/>
              <w:bottom w:val="single" w:color="auto" w:sz="4" w:space="0"/>
              <w:right w:val="single" w:color="auto" w:sz="4" w:space="0"/>
            </w:tcBorders>
          </w:tcPr>
          <w:p w14:paraId="71FCAE47">
            <w:pPr>
              <w:rPr>
                <w:rFonts w:cs="Cambria"/>
                <w:color w:val="000000" w:themeColor="text1"/>
                <w14:textFill>
                  <w14:solidFill>
                    <w14:schemeClr w14:val="tx1"/>
                  </w14:solidFill>
                </w14:textFill>
              </w:rPr>
            </w:pPr>
            <w:r>
              <w:rPr>
                <w:rFonts w:hint="eastAsia" w:ascii="宋体" w:hAnsi="宋体"/>
                <w:sz w:val="18"/>
                <w:szCs w:val="18"/>
              </w:rPr>
              <w:t>是</w:t>
            </w:r>
          </w:p>
        </w:tc>
      </w:tr>
      <w:tr w14:paraId="10860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4E9A2E37">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0BEBC80E">
            <w:pPr>
              <w:jc w:val="right"/>
              <w:rPr>
                <w:rFonts w:cs="Cambria"/>
              </w:rPr>
            </w:pPr>
            <w:r>
              <w:rPr>
                <w:rFonts w:hint="eastAsia" w:ascii="宋体" w:hAnsi="宋体"/>
                <w:sz w:val="18"/>
                <w:szCs w:val="18"/>
              </w:rPr>
              <w:t>30,000,000.00</w:t>
            </w:r>
          </w:p>
        </w:tc>
        <w:tc>
          <w:tcPr>
            <w:tcW w:w="857" w:type="pct"/>
            <w:tcBorders>
              <w:top w:val="single" w:color="auto" w:sz="4" w:space="0"/>
              <w:left w:val="single" w:color="auto" w:sz="4" w:space="0"/>
              <w:bottom w:val="single" w:color="auto" w:sz="4" w:space="0"/>
              <w:right w:val="single" w:color="auto" w:sz="4" w:space="0"/>
            </w:tcBorders>
            <w:vAlign w:val="center"/>
          </w:tcPr>
          <w:p w14:paraId="6F666CEB">
            <w:pPr>
              <w:rPr>
                <w:rFonts w:cs="Cambria"/>
              </w:rPr>
            </w:pPr>
            <w:r>
              <w:rPr>
                <w:rFonts w:hint="eastAsia" w:ascii="宋体" w:hAnsi="宋体"/>
                <w:sz w:val="18"/>
                <w:szCs w:val="18"/>
              </w:rPr>
              <w:t>2025/8/22</w:t>
            </w:r>
          </w:p>
        </w:tc>
        <w:tc>
          <w:tcPr>
            <w:tcW w:w="714" w:type="pct"/>
            <w:tcBorders>
              <w:top w:val="single" w:color="auto" w:sz="4" w:space="0"/>
              <w:left w:val="single" w:color="auto" w:sz="4" w:space="0"/>
              <w:bottom w:val="single" w:color="auto" w:sz="4" w:space="0"/>
              <w:right w:val="single" w:color="auto" w:sz="4" w:space="0"/>
            </w:tcBorders>
            <w:vAlign w:val="center"/>
          </w:tcPr>
          <w:p w14:paraId="476D572D">
            <w:pPr>
              <w:rPr>
                <w:rFonts w:cs="Cambria"/>
              </w:rPr>
            </w:pPr>
            <w:r>
              <w:rPr>
                <w:rFonts w:hint="eastAsia" w:ascii="宋体" w:hAnsi="宋体" w:cs="Cambria"/>
                <w:sz w:val="18"/>
                <w:szCs w:val="18"/>
              </w:rPr>
              <w:t>2026/8/21</w:t>
            </w:r>
          </w:p>
        </w:tc>
        <w:tc>
          <w:tcPr>
            <w:tcW w:w="643" w:type="pct"/>
            <w:tcBorders>
              <w:top w:val="single" w:color="auto" w:sz="4" w:space="0"/>
              <w:left w:val="single" w:color="auto" w:sz="4" w:space="0"/>
              <w:bottom w:val="single" w:color="auto" w:sz="4" w:space="0"/>
              <w:right w:val="single" w:color="auto" w:sz="4" w:space="0"/>
            </w:tcBorders>
            <w:vAlign w:val="center"/>
          </w:tcPr>
          <w:p w14:paraId="48B63117">
            <w:pPr>
              <w:rPr>
                <w:rFonts w:cs="Cambria"/>
                <w:color w:val="000000" w:themeColor="text1"/>
                <w14:textFill>
                  <w14:solidFill>
                    <w14:schemeClr w14:val="tx1"/>
                  </w14:solidFill>
                </w14:textFill>
              </w:rPr>
            </w:pPr>
            <w:r>
              <w:rPr>
                <w:rFonts w:hint="eastAsia" w:ascii="宋体" w:hAnsi="宋体"/>
                <w:sz w:val="18"/>
                <w:szCs w:val="18"/>
              </w:rPr>
              <w:t>否</w:t>
            </w:r>
          </w:p>
        </w:tc>
      </w:tr>
      <w:tr w14:paraId="5B68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01C998A0">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2DF0F5DD">
            <w:pPr>
              <w:jc w:val="right"/>
              <w:rPr>
                <w:rFonts w:cs="Cambria"/>
              </w:rPr>
            </w:pPr>
            <w:r>
              <w:rPr>
                <w:rFonts w:hint="eastAsia" w:ascii="宋体" w:hAnsi="宋体"/>
                <w:sz w:val="18"/>
                <w:szCs w:val="18"/>
              </w:rPr>
              <w:t>29,000,000.00</w:t>
            </w:r>
          </w:p>
        </w:tc>
        <w:tc>
          <w:tcPr>
            <w:tcW w:w="857" w:type="pct"/>
            <w:tcBorders>
              <w:top w:val="single" w:color="auto" w:sz="4" w:space="0"/>
              <w:left w:val="single" w:color="auto" w:sz="4" w:space="0"/>
              <w:bottom w:val="single" w:color="auto" w:sz="4" w:space="0"/>
              <w:right w:val="single" w:color="auto" w:sz="4" w:space="0"/>
            </w:tcBorders>
            <w:vAlign w:val="center"/>
          </w:tcPr>
          <w:p w14:paraId="1014DA8F">
            <w:pPr>
              <w:rPr>
                <w:rFonts w:cs="Cambria"/>
              </w:rPr>
            </w:pPr>
            <w:r>
              <w:rPr>
                <w:rFonts w:hint="eastAsia" w:ascii="宋体" w:hAnsi="宋体"/>
                <w:sz w:val="18"/>
                <w:szCs w:val="18"/>
              </w:rPr>
              <w:t>2025/2/25</w:t>
            </w:r>
          </w:p>
        </w:tc>
        <w:tc>
          <w:tcPr>
            <w:tcW w:w="714" w:type="pct"/>
            <w:tcBorders>
              <w:top w:val="single" w:color="auto" w:sz="4" w:space="0"/>
              <w:left w:val="single" w:color="auto" w:sz="4" w:space="0"/>
              <w:bottom w:val="single" w:color="auto" w:sz="4" w:space="0"/>
              <w:right w:val="single" w:color="auto" w:sz="4" w:space="0"/>
            </w:tcBorders>
            <w:vAlign w:val="center"/>
          </w:tcPr>
          <w:p w14:paraId="0B115E11">
            <w:pPr>
              <w:rPr>
                <w:rFonts w:cs="Cambria"/>
              </w:rPr>
            </w:pPr>
            <w:r>
              <w:rPr>
                <w:rFonts w:hint="eastAsia" w:ascii="宋体" w:hAnsi="宋体" w:cs="Cambria"/>
                <w:sz w:val="18"/>
                <w:szCs w:val="18"/>
              </w:rPr>
              <w:t>2026/2/5</w:t>
            </w:r>
          </w:p>
        </w:tc>
        <w:tc>
          <w:tcPr>
            <w:tcW w:w="643" w:type="pct"/>
            <w:tcBorders>
              <w:top w:val="single" w:color="auto" w:sz="4" w:space="0"/>
              <w:left w:val="single" w:color="auto" w:sz="4" w:space="0"/>
              <w:bottom w:val="single" w:color="auto" w:sz="4" w:space="0"/>
              <w:right w:val="single" w:color="auto" w:sz="4" w:space="0"/>
            </w:tcBorders>
            <w:vAlign w:val="center"/>
          </w:tcPr>
          <w:p w14:paraId="34527BE8">
            <w:pPr>
              <w:rPr>
                <w:rFonts w:cs="Cambria"/>
                <w:color w:val="000000" w:themeColor="text1"/>
                <w14:textFill>
                  <w14:solidFill>
                    <w14:schemeClr w14:val="tx1"/>
                  </w14:solidFill>
                </w14:textFill>
              </w:rPr>
            </w:pPr>
            <w:r>
              <w:rPr>
                <w:rFonts w:hint="eastAsia" w:ascii="宋体" w:hAnsi="宋体"/>
                <w:sz w:val="18"/>
                <w:szCs w:val="18"/>
              </w:rPr>
              <w:t>是</w:t>
            </w:r>
          </w:p>
        </w:tc>
      </w:tr>
      <w:tr w14:paraId="39C0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49DC8186">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2B61BC16">
            <w:pPr>
              <w:jc w:val="right"/>
              <w:rPr>
                <w:rFonts w:cs="Cambria"/>
              </w:rPr>
            </w:pPr>
            <w:r>
              <w:rPr>
                <w:rFonts w:hint="eastAsia" w:ascii="宋体" w:hAnsi="宋体"/>
                <w:sz w:val="18"/>
                <w:szCs w:val="18"/>
              </w:rPr>
              <w:t>39,000,000.00</w:t>
            </w:r>
          </w:p>
        </w:tc>
        <w:tc>
          <w:tcPr>
            <w:tcW w:w="857" w:type="pct"/>
            <w:tcBorders>
              <w:top w:val="single" w:color="auto" w:sz="4" w:space="0"/>
              <w:left w:val="single" w:color="auto" w:sz="4" w:space="0"/>
              <w:bottom w:val="single" w:color="auto" w:sz="4" w:space="0"/>
              <w:right w:val="single" w:color="auto" w:sz="4" w:space="0"/>
            </w:tcBorders>
            <w:vAlign w:val="center"/>
          </w:tcPr>
          <w:p w14:paraId="5F7959A1">
            <w:pPr>
              <w:rPr>
                <w:rFonts w:cs="Cambria"/>
              </w:rPr>
            </w:pPr>
            <w:r>
              <w:rPr>
                <w:rFonts w:hint="eastAsia" w:ascii="宋体" w:hAnsi="宋体"/>
                <w:sz w:val="18"/>
                <w:szCs w:val="18"/>
              </w:rPr>
              <w:t>2025/10/11</w:t>
            </w:r>
          </w:p>
        </w:tc>
        <w:tc>
          <w:tcPr>
            <w:tcW w:w="714" w:type="pct"/>
            <w:tcBorders>
              <w:top w:val="single" w:color="auto" w:sz="4" w:space="0"/>
              <w:left w:val="single" w:color="auto" w:sz="4" w:space="0"/>
              <w:bottom w:val="single" w:color="auto" w:sz="4" w:space="0"/>
              <w:right w:val="single" w:color="auto" w:sz="4" w:space="0"/>
            </w:tcBorders>
            <w:vAlign w:val="center"/>
          </w:tcPr>
          <w:p w14:paraId="4D7053D3">
            <w:pPr>
              <w:rPr>
                <w:rFonts w:cs="Cambria"/>
              </w:rPr>
            </w:pPr>
            <w:r>
              <w:rPr>
                <w:rFonts w:hint="eastAsia" w:ascii="宋体" w:hAnsi="宋体" w:cs="Cambria"/>
                <w:sz w:val="18"/>
                <w:szCs w:val="18"/>
              </w:rPr>
              <w:t>2026/10/10</w:t>
            </w:r>
          </w:p>
        </w:tc>
        <w:tc>
          <w:tcPr>
            <w:tcW w:w="643" w:type="pct"/>
            <w:tcBorders>
              <w:top w:val="single" w:color="auto" w:sz="4" w:space="0"/>
              <w:left w:val="single" w:color="auto" w:sz="4" w:space="0"/>
              <w:bottom w:val="single" w:color="auto" w:sz="4" w:space="0"/>
              <w:right w:val="single" w:color="auto" w:sz="4" w:space="0"/>
            </w:tcBorders>
            <w:vAlign w:val="center"/>
          </w:tcPr>
          <w:p w14:paraId="694C936D">
            <w:pPr>
              <w:rPr>
                <w:rFonts w:cs="Cambria"/>
                <w:color w:val="000000" w:themeColor="text1"/>
                <w14:textFill>
                  <w14:solidFill>
                    <w14:schemeClr w14:val="tx1"/>
                  </w14:solidFill>
                </w14:textFill>
              </w:rPr>
            </w:pPr>
            <w:r>
              <w:rPr>
                <w:rFonts w:hint="eastAsia" w:ascii="宋体" w:hAnsi="宋体"/>
                <w:sz w:val="18"/>
                <w:szCs w:val="18"/>
              </w:rPr>
              <w:t>否</w:t>
            </w:r>
          </w:p>
        </w:tc>
      </w:tr>
      <w:tr w14:paraId="5A95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2F773468">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0B22586B">
            <w:pPr>
              <w:jc w:val="right"/>
              <w:rPr>
                <w:rFonts w:cs="Cambria"/>
              </w:rPr>
            </w:pPr>
            <w:r>
              <w:rPr>
                <w:rFonts w:hint="eastAsia" w:ascii="宋体" w:hAnsi="宋体"/>
                <w:sz w:val="18"/>
                <w:szCs w:val="18"/>
              </w:rPr>
              <w:t>33,000,000.00</w:t>
            </w:r>
          </w:p>
        </w:tc>
        <w:tc>
          <w:tcPr>
            <w:tcW w:w="857" w:type="pct"/>
            <w:tcBorders>
              <w:top w:val="single" w:color="auto" w:sz="4" w:space="0"/>
              <w:left w:val="single" w:color="auto" w:sz="4" w:space="0"/>
              <w:bottom w:val="single" w:color="auto" w:sz="4" w:space="0"/>
              <w:right w:val="single" w:color="auto" w:sz="4" w:space="0"/>
            </w:tcBorders>
            <w:vAlign w:val="center"/>
          </w:tcPr>
          <w:p w14:paraId="3FA6C428">
            <w:pPr>
              <w:rPr>
                <w:rFonts w:cs="Cambria"/>
              </w:rPr>
            </w:pPr>
            <w:r>
              <w:rPr>
                <w:rFonts w:hint="eastAsia" w:ascii="宋体" w:hAnsi="宋体"/>
                <w:sz w:val="18"/>
                <w:szCs w:val="18"/>
              </w:rPr>
              <w:t>2025/10/16</w:t>
            </w:r>
          </w:p>
        </w:tc>
        <w:tc>
          <w:tcPr>
            <w:tcW w:w="714" w:type="pct"/>
            <w:tcBorders>
              <w:top w:val="single" w:color="auto" w:sz="4" w:space="0"/>
              <w:left w:val="single" w:color="auto" w:sz="4" w:space="0"/>
              <w:bottom w:val="single" w:color="auto" w:sz="4" w:space="0"/>
              <w:right w:val="single" w:color="auto" w:sz="4" w:space="0"/>
            </w:tcBorders>
            <w:vAlign w:val="center"/>
          </w:tcPr>
          <w:p w14:paraId="7BC010B6">
            <w:pPr>
              <w:rPr>
                <w:rFonts w:cs="Cambria"/>
              </w:rPr>
            </w:pPr>
            <w:r>
              <w:rPr>
                <w:rFonts w:hint="eastAsia" w:ascii="宋体" w:hAnsi="宋体" w:cs="Cambria"/>
                <w:sz w:val="18"/>
                <w:szCs w:val="18"/>
              </w:rPr>
              <w:t>2026/10/15</w:t>
            </w:r>
          </w:p>
        </w:tc>
        <w:tc>
          <w:tcPr>
            <w:tcW w:w="643" w:type="pct"/>
            <w:tcBorders>
              <w:top w:val="single" w:color="auto" w:sz="4" w:space="0"/>
              <w:left w:val="single" w:color="auto" w:sz="4" w:space="0"/>
              <w:bottom w:val="single" w:color="auto" w:sz="4" w:space="0"/>
              <w:right w:val="single" w:color="auto" w:sz="4" w:space="0"/>
            </w:tcBorders>
            <w:vAlign w:val="center"/>
          </w:tcPr>
          <w:p w14:paraId="124E22B0">
            <w:pPr>
              <w:rPr>
                <w:rFonts w:cs="Cambria"/>
                <w:color w:val="000000" w:themeColor="text1"/>
                <w14:textFill>
                  <w14:solidFill>
                    <w14:schemeClr w14:val="tx1"/>
                  </w14:solidFill>
                </w14:textFill>
              </w:rPr>
            </w:pPr>
            <w:r>
              <w:rPr>
                <w:rFonts w:hint="eastAsia" w:ascii="宋体" w:hAnsi="宋体"/>
                <w:sz w:val="18"/>
                <w:szCs w:val="18"/>
              </w:rPr>
              <w:t>否</w:t>
            </w:r>
          </w:p>
        </w:tc>
      </w:tr>
      <w:tr w14:paraId="1F55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302EDD38">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10E96CA9">
            <w:pPr>
              <w:jc w:val="right"/>
              <w:rPr>
                <w:rFonts w:cs="Cambria"/>
              </w:rPr>
            </w:pPr>
            <w:r>
              <w:rPr>
                <w:rFonts w:hint="eastAsia" w:ascii="宋体" w:hAnsi="宋体"/>
                <w:sz w:val="18"/>
                <w:szCs w:val="18"/>
              </w:rPr>
              <w:t>27,000,000.00</w:t>
            </w:r>
          </w:p>
        </w:tc>
        <w:tc>
          <w:tcPr>
            <w:tcW w:w="857" w:type="pct"/>
            <w:tcBorders>
              <w:top w:val="single" w:color="auto" w:sz="4" w:space="0"/>
              <w:left w:val="single" w:color="auto" w:sz="4" w:space="0"/>
              <w:bottom w:val="single" w:color="auto" w:sz="4" w:space="0"/>
              <w:right w:val="single" w:color="auto" w:sz="4" w:space="0"/>
            </w:tcBorders>
            <w:vAlign w:val="center"/>
          </w:tcPr>
          <w:p w14:paraId="65FA5587">
            <w:pPr>
              <w:rPr>
                <w:rFonts w:cs="Cambria"/>
              </w:rPr>
            </w:pPr>
            <w:r>
              <w:rPr>
                <w:rFonts w:hint="eastAsia" w:ascii="宋体" w:hAnsi="宋体"/>
                <w:sz w:val="18"/>
                <w:szCs w:val="18"/>
              </w:rPr>
              <w:t>2025/10/20</w:t>
            </w:r>
          </w:p>
        </w:tc>
        <w:tc>
          <w:tcPr>
            <w:tcW w:w="714" w:type="pct"/>
            <w:tcBorders>
              <w:top w:val="single" w:color="auto" w:sz="4" w:space="0"/>
              <w:left w:val="single" w:color="auto" w:sz="4" w:space="0"/>
              <w:bottom w:val="single" w:color="auto" w:sz="4" w:space="0"/>
              <w:right w:val="single" w:color="auto" w:sz="4" w:space="0"/>
            </w:tcBorders>
            <w:vAlign w:val="center"/>
          </w:tcPr>
          <w:p w14:paraId="4FAFF67B">
            <w:pPr>
              <w:rPr>
                <w:rFonts w:cs="Cambria"/>
              </w:rPr>
            </w:pPr>
            <w:r>
              <w:rPr>
                <w:rFonts w:hint="eastAsia" w:ascii="宋体" w:hAnsi="宋体" w:cs="Cambria"/>
                <w:sz w:val="18"/>
                <w:szCs w:val="18"/>
              </w:rPr>
              <w:t>2026/10/19</w:t>
            </w:r>
          </w:p>
        </w:tc>
        <w:tc>
          <w:tcPr>
            <w:tcW w:w="643" w:type="pct"/>
            <w:tcBorders>
              <w:top w:val="single" w:color="auto" w:sz="4" w:space="0"/>
              <w:left w:val="single" w:color="auto" w:sz="4" w:space="0"/>
              <w:bottom w:val="single" w:color="auto" w:sz="4" w:space="0"/>
              <w:right w:val="single" w:color="auto" w:sz="4" w:space="0"/>
            </w:tcBorders>
            <w:vAlign w:val="center"/>
          </w:tcPr>
          <w:p w14:paraId="2C8FAFBE">
            <w:pPr>
              <w:rPr>
                <w:rFonts w:cs="Cambria"/>
                <w:color w:val="000000" w:themeColor="text1"/>
                <w14:textFill>
                  <w14:solidFill>
                    <w14:schemeClr w14:val="tx1"/>
                  </w14:solidFill>
                </w14:textFill>
              </w:rPr>
            </w:pPr>
            <w:r>
              <w:rPr>
                <w:rFonts w:hint="eastAsia" w:ascii="宋体" w:hAnsi="宋体"/>
                <w:sz w:val="18"/>
                <w:szCs w:val="18"/>
              </w:rPr>
              <w:t>否</w:t>
            </w:r>
          </w:p>
        </w:tc>
      </w:tr>
      <w:tr w14:paraId="7214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630EEF1D">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4EF81E8D">
            <w:pPr>
              <w:jc w:val="right"/>
              <w:rPr>
                <w:rFonts w:cs="Cambria"/>
              </w:rPr>
            </w:pPr>
            <w:r>
              <w:rPr>
                <w:rFonts w:hint="eastAsia" w:ascii="宋体" w:hAnsi="宋体"/>
                <w:sz w:val="18"/>
                <w:szCs w:val="18"/>
              </w:rPr>
              <w:t>100,000,000.00</w:t>
            </w:r>
          </w:p>
        </w:tc>
        <w:tc>
          <w:tcPr>
            <w:tcW w:w="857" w:type="pct"/>
            <w:tcBorders>
              <w:top w:val="single" w:color="auto" w:sz="4" w:space="0"/>
              <w:left w:val="single" w:color="auto" w:sz="4" w:space="0"/>
              <w:bottom w:val="single" w:color="auto" w:sz="4" w:space="0"/>
              <w:right w:val="single" w:color="auto" w:sz="4" w:space="0"/>
            </w:tcBorders>
            <w:vAlign w:val="center"/>
          </w:tcPr>
          <w:p w14:paraId="1FB8DA18">
            <w:pPr>
              <w:rPr>
                <w:rFonts w:cs="Cambria"/>
              </w:rPr>
            </w:pPr>
            <w:r>
              <w:rPr>
                <w:rFonts w:hint="eastAsia" w:ascii="宋体" w:hAnsi="宋体"/>
                <w:sz w:val="18"/>
                <w:szCs w:val="18"/>
              </w:rPr>
              <w:t>2025/10/29</w:t>
            </w:r>
          </w:p>
        </w:tc>
        <w:tc>
          <w:tcPr>
            <w:tcW w:w="714" w:type="pct"/>
            <w:tcBorders>
              <w:top w:val="single" w:color="auto" w:sz="4" w:space="0"/>
              <w:left w:val="single" w:color="auto" w:sz="4" w:space="0"/>
              <w:bottom w:val="single" w:color="auto" w:sz="4" w:space="0"/>
              <w:right w:val="single" w:color="auto" w:sz="4" w:space="0"/>
            </w:tcBorders>
            <w:vAlign w:val="center"/>
          </w:tcPr>
          <w:p w14:paraId="1193A084">
            <w:pPr>
              <w:rPr>
                <w:rFonts w:cs="Cambria"/>
              </w:rPr>
            </w:pPr>
            <w:r>
              <w:rPr>
                <w:rFonts w:hint="eastAsia" w:ascii="宋体" w:hAnsi="宋体" w:cs="Cambria"/>
                <w:sz w:val="18"/>
                <w:szCs w:val="18"/>
              </w:rPr>
              <w:t>2026/10/27</w:t>
            </w:r>
          </w:p>
        </w:tc>
        <w:tc>
          <w:tcPr>
            <w:tcW w:w="643" w:type="pct"/>
            <w:tcBorders>
              <w:top w:val="single" w:color="auto" w:sz="4" w:space="0"/>
              <w:left w:val="single" w:color="auto" w:sz="4" w:space="0"/>
              <w:bottom w:val="single" w:color="auto" w:sz="4" w:space="0"/>
              <w:right w:val="single" w:color="auto" w:sz="4" w:space="0"/>
            </w:tcBorders>
            <w:vAlign w:val="center"/>
          </w:tcPr>
          <w:p w14:paraId="67819A9A">
            <w:pPr>
              <w:rPr>
                <w:rFonts w:cs="Cambria"/>
                <w:color w:val="000000" w:themeColor="text1"/>
                <w14:textFill>
                  <w14:solidFill>
                    <w14:schemeClr w14:val="tx1"/>
                  </w14:solidFill>
                </w14:textFill>
              </w:rPr>
            </w:pPr>
            <w:r>
              <w:rPr>
                <w:rFonts w:hint="eastAsia" w:ascii="宋体" w:hAnsi="宋体"/>
                <w:sz w:val="18"/>
                <w:szCs w:val="18"/>
              </w:rPr>
              <w:t>否</w:t>
            </w:r>
          </w:p>
        </w:tc>
      </w:tr>
      <w:tr w14:paraId="7F20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2A633F72">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3C85C2AB">
            <w:pPr>
              <w:jc w:val="right"/>
              <w:rPr>
                <w:rFonts w:cs="Cambria"/>
              </w:rPr>
            </w:pPr>
            <w:r>
              <w:rPr>
                <w:rFonts w:hint="eastAsia" w:ascii="宋体" w:hAnsi="宋体"/>
                <w:sz w:val="18"/>
                <w:szCs w:val="18"/>
              </w:rPr>
              <w:t>20,000,000.00</w:t>
            </w:r>
          </w:p>
        </w:tc>
        <w:tc>
          <w:tcPr>
            <w:tcW w:w="857" w:type="pct"/>
            <w:tcBorders>
              <w:top w:val="single" w:color="auto" w:sz="4" w:space="0"/>
              <w:left w:val="single" w:color="auto" w:sz="4" w:space="0"/>
              <w:bottom w:val="single" w:color="auto" w:sz="4" w:space="0"/>
              <w:right w:val="single" w:color="auto" w:sz="4" w:space="0"/>
            </w:tcBorders>
            <w:vAlign w:val="center"/>
          </w:tcPr>
          <w:p w14:paraId="7289F42F">
            <w:pPr>
              <w:rPr>
                <w:rFonts w:cs="Cambria"/>
              </w:rPr>
            </w:pPr>
            <w:r>
              <w:rPr>
                <w:rFonts w:hint="eastAsia" w:ascii="宋体" w:hAnsi="宋体"/>
                <w:sz w:val="18"/>
                <w:szCs w:val="18"/>
              </w:rPr>
              <w:t>2025/12/4</w:t>
            </w:r>
          </w:p>
        </w:tc>
        <w:tc>
          <w:tcPr>
            <w:tcW w:w="714" w:type="pct"/>
            <w:tcBorders>
              <w:top w:val="single" w:color="auto" w:sz="4" w:space="0"/>
              <w:left w:val="single" w:color="auto" w:sz="4" w:space="0"/>
              <w:bottom w:val="single" w:color="auto" w:sz="4" w:space="0"/>
              <w:right w:val="single" w:color="auto" w:sz="4" w:space="0"/>
            </w:tcBorders>
            <w:vAlign w:val="center"/>
          </w:tcPr>
          <w:p w14:paraId="316995A7">
            <w:pPr>
              <w:rPr>
                <w:rFonts w:cs="Cambria"/>
              </w:rPr>
            </w:pPr>
            <w:r>
              <w:rPr>
                <w:rFonts w:hint="eastAsia" w:ascii="宋体" w:hAnsi="宋体" w:cs="Cambria"/>
                <w:sz w:val="18"/>
                <w:szCs w:val="18"/>
              </w:rPr>
              <w:t>2026/12/4</w:t>
            </w:r>
          </w:p>
        </w:tc>
        <w:tc>
          <w:tcPr>
            <w:tcW w:w="643" w:type="pct"/>
            <w:tcBorders>
              <w:top w:val="single" w:color="auto" w:sz="4" w:space="0"/>
              <w:left w:val="single" w:color="auto" w:sz="4" w:space="0"/>
              <w:bottom w:val="single" w:color="auto" w:sz="4" w:space="0"/>
              <w:right w:val="single" w:color="auto" w:sz="4" w:space="0"/>
            </w:tcBorders>
            <w:vAlign w:val="center"/>
          </w:tcPr>
          <w:p w14:paraId="3A9EF4C5">
            <w:pPr>
              <w:rPr>
                <w:rFonts w:cs="Cambria"/>
                <w:color w:val="000000" w:themeColor="text1"/>
                <w14:textFill>
                  <w14:solidFill>
                    <w14:schemeClr w14:val="tx1"/>
                  </w14:solidFill>
                </w14:textFill>
              </w:rPr>
            </w:pPr>
            <w:r>
              <w:rPr>
                <w:rFonts w:hint="eastAsia" w:ascii="宋体" w:hAnsi="宋体"/>
                <w:sz w:val="18"/>
                <w:szCs w:val="18"/>
              </w:rPr>
              <w:t>否</w:t>
            </w:r>
          </w:p>
        </w:tc>
      </w:tr>
      <w:tr w14:paraId="65245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54381075">
            <w:pPr>
              <w:rPr>
                <w:rFonts w:cs="Cambria"/>
              </w:rPr>
            </w:pPr>
            <w:r>
              <w:rPr>
                <w:rFonts w:hint="eastAsia" w:ascii="宋体" w:hAnsi="宋体"/>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05DC38A4">
            <w:pPr>
              <w:jc w:val="right"/>
              <w:rPr>
                <w:rFonts w:cs="Cambria"/>
              </w:rPr>
            </w:pPr>
            <w:r>
              <w:rPr>
                <w:rFonts w:hint="eastAsia" w:ascii="宋体" w:hAnsi="宋体"/>
                <w:sz w:val="18"/>
                <w:szCs w:val="18"/>
              </w:rPr>
              <w:t>50,000,000.00</w:t>
            </w:r>
          </w:p>
        </w:tc>
        <w:tc>
          <w:tcPr>
            <w:tcW w:w="857" w:type="pct"/>
            <w:tcBorders>
              <w:top w:val="single" w:color="auto" w:sz="4" w:space="0"/>
              <w:left w:val="single" w:color="auto" w:sz="4" w:space="0"/>
              <w:bottom w:val="single" w:color="auto" w:sz="4" w:space="0"/>
              <w:right w:val="single" w:color="auto" w:sz="4" w:space="0"/>
            </w:tcBorders>
            <w:vAlign w:val="center"/>
          </w:tcPr>
          <w:p w14:paraId="6C75A0C6">
            <w:pPr>
              <w:rPr>
                <w:rFonts w:cs="Cambria"/>
              </w:rPr>
            </w:pPr>
            <w:r>
              <w:rPr>
                <w:rFonts w:hint="eastAsia" w:ascii="宋体" w:hAnsi="宋体"/>
                <w:sz w:val="18"/>
                <w:szCs w:val="18"/>
              </w:rPr>
              <w:t>2025/4/25</w:t>
            </w:r>
          </w:p>
        </w:tc>
        <w:tc>
          <w:tcPr>
            <w:tcW w:w="714" w:type="pct"/>
            <w:tcBorders>
              <w:top w:val="single" w:color="auto" w:sz="4" w:space="0"/>
              <w:left w:val="single" w:color="auto" w:sz="4" w:space="0"/>
              <w:bottom w:val="single" w:color="auto" w:sz="4" w:space="0"/>
              <w:right w:val="single" w:color="auto" w:sz="4" w:space="0"/>
            </w:tcBorders>
            <w:vAlign w:val="center"/>
          </w:tcPr>
          <w:p w14:paraId="77A5CAC8">
            <w:pPr>
              <w:rPr>
                <w:rFonts w:cs="Cambria"/>
              </w:rPr>
            </w:pPr>
            <w:r>
              <w:rPr>
                <w:rFonts w:hint="eastAsia" w:ascii="宋体" w:hAnsi="宋体" w:cs="Cambria"/>
                <w:sz w:val="18"/>
                <w:szCs w:val="18"/>
              </w:rPr>
              <w:t>2026/4/25</w:t>
            </w:r>
          </w:p>
        </w:tc>
        <w:tc>
          <w:tcPr>
            <w:tcW w:w="643" w:type="pct"/>
            <w:tcBorders>
              <w:top w:val="single" w:color="auto" w:sz="4" w:space="0"/>
              <w:left w:val="single" w:color="auto" w:sz="4" w:space="0"/>
              <w:bottom w:val="single" w:color="auto" w:sz="4" w:space="0"/>
              <w:right w:val="single" w:color="auto" w:sz="4" w:space="0"/>
            </w:tcBorders>
            <w:vAlign w:val="center"/>
          </w:tcPr>
          <w:p w14:paraId="2E61486D">
            <w:pPr>
              <w:rPr>
                <w:rFonts w:cs="Cambria"/>
                <w:color w:val="000000" w:themeColor="text1"/>
                <w14:textFill>
                  <w14:solidFill>
                    <w14:schemeClr w14:val="tx1"/>
                  </w14:solidFill>
                </w14:textFill>
              </w:rPr>
            </w:pPr>
            <w:r>
              <w:rPr>
                <w:rFonts w:hint="eastAsia" w:ascii="宋体" w:hAnsi="宋体"/>
                <w:sz w:val="18"/>
                <w:szCs w:val="18"/>
              </w:rPr>
              <w:t>是</w:t>
            </w:r>
          </w:p>
        </w:tc>
      </w:tr>
      <w:tr w14:paraId="3B3E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28FE3526">
            <w:pPr>
              <w:rPr>
                <w:rFonts w:cs="Cambria"/>
              </w:rPr>
            </w:pPr>
            <w:r>
              <w:rPr>
                <w:rFonts w:hint="eastAsia" w:ascii="宋体" w:hAnsi="宋体"/>
                <w:sz w:val="18"/>
                <w:szCs w:val="18"/>
              </w:rPr>
              <w:t>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3B49CB98">
            <w:pPr>
              <w:jc w:val="right"/>
              <w:rPr>
                <w:rFonts w:cs="Cambria"/>
              </w:rPr>
            </w:pPr>
            <w:r>
              <w:rPr>
                <w:rFonts w:hint="eastAsia" w:ascii="宋体" w:hAnsi="宋体"/>
                <w:sz w:val="18"/>
                <w:szCs w:val="18"/>
              </w:rPr>
              <w:t>55,000,000.00</w:t>
            </w:r>
          </w:p>
        </w:tc>
        <w:tc>
          <w:tcPr>
            <w:tcW w:w="857" w:type="pct"/>
            <w:tcBorders>
              <w:top w:val="single" w:color="auto" w:sz="4" w:space="0"/>
              <w:left w:val="single" w:color="auto" w:sz="4" w:space="0"/>
              <w:bottom w:val="single" w:color="auto" w:sz="4" w:space="0"/>
              <w:right w:val="single" w:color="auto" w:sz="4" w:space="0"/>
            </w:tcBorders>
            <w:vAlign w:val="center"/>
          </w:tcPr>
          <w:p w14:paraId="1914696D">
            <w:pPr>
              <w:rPr>
                <w:rFonts w:cs="Cambria"/>
              </w:rPr>
            </w:pPr>
            <w:r>
              <w:rPr>
                <w:rFonts w:hint="eastAsia" w:ascii="宋体" w:hAnsi="宋体"/>
                <w:sz w:val="18"/>
                <w:szCs w:val="18"/>
              </w:rPr>
              <w:t>2025/4/28</w:t>
            </w:r>
          </w:p>
        </w:tc>
        <w:tc>
          <w:tcPr>
            <w:tcW w:w="714" w:type="pct"/>
            <w:tcBorders>
              <w:top w:val="single" w:color="auto" w:sz="4" w:space="0"/>
              <w:left w:val="single" w:color="auto" w:sz="4" w:space="0"/>
              <w:bottom w:val="single" w:color="auto" w:sz="4" w:space="0"/>
              <w:right w:val="single" w:color="auto" w:sz="4" w:space="0"/>
            </w:tcBorders>
            <w:vAlign w:val="center"/>
          </w:tcPr>
          <w:p w14:paraId="3F1D40F5">
            <w:pPr>
              <w:rPr>
                <w:rFonts w:cs="Cambria"/>
              </w:rPr>
            </w:pPr>
            <w:r>
              <w:rPr>
                <w:rFonts w:hint="eastAsia" w:ascii="宋体" w:hAnsi="宋体" w:cs="Cambria"/>
                <w:sz w:val="18"/>
                <w:szCs w:val="18"/>
              </w:rPr>
              <w:t>2026/4/22</w:t>
            </w:r>
          </w:p>
        </w:tc>
        <w:tc>
          <w:tcPr>
            <w:tcW w:w="643" w:type="pct"/>
            <w:tcBorders>
              <w:top w:val="single" w:color="auto" w:sz="4" w:space="0"/>
              <w:left w:val="single" w:color="auto" w:sz="4" w:space="0"/>
              <w:bottom w:val="single" w:color="auto" w:sz="4" w:space="0"/>
              <w:right w:val="single" w:color="auto" w:sz="4" w:space="0"/>
            </w:tcBorders>
            <w:vAlign w:val="center"/>
          </w:tcPr>
          <w:p w14:paraId="6051BFFB">
            <w:pPr>
              <w:rPr>
                <w:rFonts w:cs="Cambria"/>
                <w:color w:val="000000" w:themeColor="text1"/>
                <w14:textFill>
                  <w14:solidFill>
                    <w14:schemeClr w14:val="tx1"/>
                  </w14:solidFill>
                </w14:textFill>
              </w:rPr>
            </w:pPr>
            <w:r>
              <w:rPr>
                <w:rFonts w:hint="eastAsia" w:ascii="宋体" w:hAnsi="宋体"/>
                <w:sz w:val="18"/>
                <w:szCs w:val="18"/>
              </w:rPr>
              <w:t>是</w:t>
            </w:r>
          </w:p>
        </w:tc>
      </w:tr>
      <w:tr w14:paraId="30F0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5DB3F5EB">
            <w:pPr>
              <w:rPr>
                <w:rFonts w:cs="Cambria"/>
              </w:rPr>
            </w:pPr>
            <w:r>
              <w:rPr>
                <w:rFonts w:hint="eastAsia" w:ascii="宋体" w:hAnsi="宋体"/>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5BEE217E">
            <w:pPr>
              <w:jc w:val="right"/>
              <w:rPr>
                <w:rFonts w:cs="Cambria"/>
              </w:rPr>
            </w:pPr>
            <w:r>
              <w:rPr>
                <w:rFonts w:hint="eastAsia" w:ascii="宋体" w:hAnsi="宋体"/>
                <w:sz w:val="18"/>
                <w:szCs w:val="18"/>
              </w:rPr>
              <w:t>35,000,000.00</w:t>
            </w:r>
          </w:p>
        </w:tc>
        <w:tc>
          <w:tcPr>
            <w:tcW w:w="857" w:type="pct"/>
            <w:tcBorders>
              <w:top w:val="single" w:color="auto" w:sz="4" w:space="0"/>
              <w:left w:val="single" w:color="auto" w:sz="4" w:space="0"/>
              <w:bottom w:val="single" w:color="auto" w:sz="4" w:space="0"/>
              <w:right w:val="single" w:color="auto" w:sz="4" w:space="0"/>
            </w:tcBorders>
            <w:vAlign w:val="center"/>
          </w:tcPr>
          <w:p w14:paraId="5987D8E8">
            <w:pPr>
              <w:rPr>
                <w:rFonts w:cs="Cambria"/>
              </w:rPr>
            </w:pPr>
            <w:r>
              <w:rPr>
                <w:rFonts w:hint="eastAsia" w:ascii="宋体" w:hAnsi="宋体"/>
                <w:sz w:val="18"/>
                <w:szCs w:val="18"/>
              </w:rPr>
              <w:t>2025/10/14</w:t>
            </w:r>
          </w:p>
        </w:tc>
        <w:tc>
          <w:tcPr>
            <w:tcW w:w="714" w:type="pct"/>
            <w:tcBorders>
              <w:top w:val="single" w:color="auto" w:sz="4" w:space="0"/>
              <w:left w:val="single" w:color="auto" w:sz="4" w:space="0"/>
              <w:bottom w:val="single" w:color="auto" w:sz="4" w:space="0"/>
              <w:right w:val="single" w:color="auto" w:sz="4" w:space="0"/>
            </w:tcBorders>
            <w:vAlign w:val="center"/>
          </w:tcPr>
          <w:p w14:paraId="4B9918F8">
            <w:pPr>
              <w:rPr>
                <w:rFonts w:cs="Cambria"/>
              </w:rPr>
            </w:pPr>
            <w:r>
              <w:rPr>
                <w:rFonts w:hint="eastAsia" w:ascii="宋体" w:hAnsi="宋体" w:cs="Cambria"/>
                <w:sz w:val="18"/>
                <w:szCs w:val="18"/>
              </w:rPr>
              <w:t>2026/10/13</w:t>
            </w:r>
          </w:p>
        </w:tc>
        <w:tc>
          <w:tcPr>
            <w:tcW w:w="643" w:type="pct"/>
            <w:tcBorders>
              <w:top w:val="single" w:color="auto" w:sz="4" w:space="0"/>
              <w:left w:val="single" w:color="auto" w:sz="4" w:space="0"/>
              <w:bottom w:val="single" w:color="auto" w:sz="4" w:space="0"/>
              <w:right w:val="single" w:color="auto" w:sz="4" w:space="0"/>
            </w:tcBorders>
            <w:vAlign w:val="center"/>
          </w:tcPr>
          <w:p w14:paraId="4B5FB005">
            <w:pPr>
              <w:rPr>
                <w:rFonts w:cs="Cambria"/>
                <w:color w:val="000000" w:themeColor="text1"/>
                <w14:textFill>
                  <w14:solidFill>
                    <w14:schemeClr w14:val="tx1"/>
                  </w14:solidFill>
                </w14:textFill>
              </w:rPr>
            </w:pPr>
            <w:r>
              <w:rPr>
                <w:rFonts w:hint="eastAsia" w:ascii="宋体" w:hAnsi="宋体"/>
                <w:sz w:val="18"/>
                <w:szCs w:val="18"/>
              </w:rPr>
              <w:t>否</w:t>
            </w:r>
          </w:p>
        </w:tc>
      </w:tr>
      <w:tr w14:paraId="338F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1653C9EA">
            <w:pPr>
              <w:rPr>
                <w:rFonts w:cs="Cambria"/>
              </w:rPr>
            </w:pPr>
            <w:r>
              <w:rPr>
                <w:rFonts w:hint="eastAsia" w:ascii="宋体" w:hAnsi="宋体"/>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2775CF08">
            <w:pPr>
              <w:jc w:val="right"/>
              <w:rPr>
                <w:rFonts w:cs="Cambria"/>
              </w:rPr>
            </w:pPr>
            <w:r>
              <w:rPr>
                <w:rFonts w:hint="eastAsia" w:ascii="宋体" w:hAnsi="宋体"/>
                <w:sz w:val="18"/>
                <w:szCs w:val="18"/>
              </w:rPr>
              <w:t>44,000,000.00</w:t>
            </w:r>
          </w:p>
        </w:tc>
        <w:tc>
          <w:tcPr>
            <w:tcW w:w="857" w:type="pct"/>
            <w:tcBorders>
              <w:top w:val="single" w:color="auto" w:sz="4" w:space="0"/>
              <w:left w:val="single" w:color="auto" w:sz="4" w:space="0"/>
              <w:bottom w:val="single" w:color="auto" w:sz="4" w:space="0"/>
              <w:right w:val="single" w:color="auto" w:sz="4" w:space="0"/>
            </w:tcBorders>
            <w:vAlign w:val="center"/>
          </w:tcPr>
          <w:p w14:paraId="6D942225">
            <w:pPr>
              <w:rPr>
                <w:rFonts w:cs="Cambria"/>
              </w:rPr>
            </w:pPr>
            <w:r>
              <w:rPr>
                <w:rFonts w:hint="eastAsia" w:ascii="宋体" w:hAnsi="宋体"/>
                <w:sz w:val="18"/>
                <w:szCs w:val="18"/>
              </w:rPr>
              <w:t>2025/10/23</w:t>
            </w:r>
          </w:p>
        </w:tc>
        <w:tc>
          <w:tcPr>
            <w:tcW w:w="714" w:type="pct"/>
            <w:tcBorders>
              <w:top w:val="single" w:color="auto" w:sz="4" w:space="0"/>
              <w:left w:val="single" w:color="auto" w:sz="4" w:space="0"/>
              <w:bottom w:val="single" w:color="auto" w:sz="4" w:space="0"/>
              <w:right w:val="single" w:color="auto" w:sz="4" w:space="0"/>
            </w:tcBorders>
            <w:vAlign w:val="center"/>
          </w:tcPr>
          <w:p w14:paraId="66EEE724">
            <w:pPr>
              <w:rPr>
                <w:rFonts w:cs="Cambria"/>
              </w:rPr>
            </w:pPr>
            <w:r>
              <w:rPr>
                <w:rFonts w:hint="eastAsia" w:ascii="宋体" w:hAnsi="宋体" w:cs="Cambria"/>
                <w:sz w:val="18"/>
                <w:szCs w:val="18"/>
              </w:rPr>
              <w:t>2026/10/22</w:t>
            </w:r>
          </w:p>
        </w:tc>
        <w:tc>
          <w:tcPr>
            <w:tcW w:w="643" w:type="pct"/>
            <w:tcBorders>
              <w:top w:val="single" w:color="auto" w:sz="4" w:space="0"/>
              <w:left w:val="single" w:color="auto" w:sz="4" w:space="0"/>
              <w:bottom w:val="single" w:color="auto" w:sz="4" w:space="0"/>
              <w:right w:val="single" w:color="auto" w:sz="4" w:space="0"/>
            </w:tcBorders>
            <w:vAlign w:val="center"/>
          </w:tcPr>
          <w:p w14:paraId="76263A19">
            <w:pPr>
              <w:rPr>
                <w:rFonts w:cs="Cambria"/>
                <w:color w:val="000000" w:themeColor="text1"/>
                <w14:textFill>
                  <w14:solidFill>
                    <w14:schemeClr w14:val="tx1"/>
                  </w14:solidFill>
                </w14:textFill>
              </w:rPr>
            </w:pPr>
            <w:r>
              <w:rPr>
                <w:rFonts w:hint="eastAsia" w:ascii="宋体" w:hAnsi="宋体"/>
                <w:sz w:val="18"/>
                <w:szCs w:val="18"/>
              </w:rPr>
              <w:t>否</w:t>
            </w:r>
          </w:p>
        </w:tc>
      </w:tr>
      <w:tr w14:paraId="5087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2F7C4DEC">
            <w:pPr>
              <w:rPr>
                <w:rFonts w:cs="Cambria"/>
              </w:rPr>
            </w:pPr>
            <w:r>
              <w:rPr>
                <w:rFonts w:hint="eastAsia" w:ascii="宋体" w:hAnsi="宋体"/>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4EC610BA">
            <w:pPr>
              <w:jc w:val="right"/>
              <w:rPr>
                <w:rFonts w:cs="Cambria"/>
              </w:rPr>
            </w:pPr>
            <w:r>
              <w:rPr>
                <w:rFonts w:hint="eastAsia" w:ascii="宋体" w:hAnsi="宋体"/>
                <w:sz w:val="18"/>
                <w:szCs w:val="18"/>
              </w:rPr>
              <w:t>50,000,000.00</w:t>
            </w:r>
          </w:p>
        </w:tc>
        <w:tc>
          <w:tcPr>
            <w:tcW w:w="857" w:type="pct"/>
            <w:tcBorders>
              <w:top w:val="single" w:color="auto" w:sz="4" w:space="0"/>
              <w:left w:val="single" w:color="auto" w:sz="4" w:space="0"/>
              <w:bottom w:val="single" w:color="auto" w:sz="4" w:space="0"/>
              <w:right w:val="single" w:color="auto" w:sz="4" w:space="0"/>
            </w:tcBorders>
            <w:vAlign w:val="center"/>
          </w:tcPr>
          <w:p w14:paraId="1F7CA00A">
            <w:pPr>
              <w:rPr>
                <w:rFonts w:cs="Cambria"/>
              </w:rPr>
            </w:pPr>
            <w:r>
              <w:rPr>
                <w:rFonts w:hint="eastAsia" w:ascii="宋体" w:hAnsi="宋体"/>
                <w:sz w:val="18"/>
                <w:szCs w:val="18"/>
              </w:rPr>
              <w:t>2025/11/20</w:t>
            </w:r>
          </w:p>
        </w:tc>
        <w:tc>
          <w:tcPr>
            <w:tcW w:w="714" w:type="pct"/>
            <w:tcBorders>
              <w:top w:val="single" w:color="auto" w:sz="4" w:space="0"/>
              <w:left w:val="single" w:color="auto" w:sz="4" w:space="0"/>
              <w:bottom w:val="single" w:color="auto" w:sz="4" w:space="0"/>
              <w:right w:val="single" w:color="auto" w:sz="4" w:space="0"/>
            </w:tcBorders>
            <w:vAlign w:val="center"/>
          </w:tcPr>
          <w:p w14:paraId="0B146BC3">
            <w:pPr>
              <w:rPr>
                <w:rFonts w:cs="Cambria"/>
              </w:rPr>
            </w:pPr>
            <w:r>
              <w:rPr>
                <w:rFonts w:hint="eastAsia" w:ascii="宋体" w:hAnsi="宋体" w:cs="Cambria"/>
                <w:sz w:val="18"/>
                <w:szCs w:val="18"/>
              </w:rPr>
              <w:t>2026/11/18</w:t>
            </w:r>
          </w:p>
        </w:tc>
        <w:tc>
          <w:tcPr>
            <w:tcW w:w="643" w:type="pct"/>
            <w:tcBorders>
              <w:top w:val="single" w:color="auto" w:sz="4" w:space="0"/>
              <w:left w:val="single" w:color="auto" w:sz="4" w:space="0"/>
              <w:bottom w:val="single" w:color="auto" w:sz="4" w:space="0"/>
              <w:right w:val="single" w:color="auto" w:sz="4" w:space="0"/>
            </w:tcBorders>
            <w:vAlign w:val="center"/>
          </w:tcPr>
          <w:p w14:paraId="2976E04C">
            <w:pPr>
              <w:rPr>
                <w:rFonts w:cs="Cambria"/>
                <w:color w:val="000000" w:themeColor="text1"/>
                <w14:textFill>
                  <w14:solidFill>
                    <w14:schemeClr w14:val="tx1"/>
                  </w14:solidFill>
                </w14:textFill>
              </w:rPr>
            </w:pPr>
            <w:r>
              <w:rPr>
                <w:rFonts w:hint="eastAsia" w:ascii="宋体" w:hAnsi="宋体"/>
                <w:sz w:val="18"/>
                <w:szCs w:val="18"/>
              </w:rPr>
              <w:t>否</w:t>
            </w:r>
          </w:p>
        </w:tc>
      </w:tr>
      <w:tr w14:paraId="1258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7BA7CDDB">
            <w:pPr>
              <w:rPr>
                <w:rFonts w:cs="Cambria"/>
              </w:rPr>
            </w:pPr>
            <w:r>
              <w:rPr>
                <w:rFonts w:hint="eastAsia" w:ascii="宋体" w:hAnsi="宋体"/>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6F9134F4">
            <w:pPr>
              <w:jc w:val="right"/>
              <w:rPr>
                <w:rFonts w:cs="Cambria"/>
              </w:rPr>
            </w:pPr>
            <w:r>
              <w:rPr>
                <w:rFonts w:hint="eastAsia" w:ascii="宋体" w:hAnsi="宋体"/>
                <w:sz w:val="18"/>
                <w:szCs w:val="18"/>
              </w:rPr>
              <w:t>35,000,000.00</w:t>
            </w:r>
          </w:p>
        </w:tc>
        <w:tc>
          <w:tcPr>
            <w:tcW w:w="857" w:type="pct"/>
            <w:tcBorders>
              <w:top w:val="single" w:color="auto" w:sz="4" w:space="0"/>
              <w:left w:val="single" w:color="auto" w:sz="4" w:space="0"/>
              <w:bottom w:val="single" w:color="auto" w:sz="4" w:space="0"/>
              <w:right w:val="single" w:color="auto" w:sz="4" w:space="0"/>
            </w:tcBorders>
            <w:vAlign w:val="center"/>
          </w:tcPr>
          <w:p w14:paraId="30A97226">
            <w:pPr>
              <w:rPr>
                <w:rFonts w:cs="Cambria"/>
              </w:rPr>
            </w:pPr>
            <w:r>
              <w:rPr>
                <w:rFonts w:hint="eastAsia" w:ascii="宋体" w:hAnsi="宋体"/>
                <w:sz w:val="18"/>
                <w:szCs w:val="18"/>
              </w:rPr>
              <w:t>2025/11/25</w:t>
            </w:r>
          </w:p>
        </w:tc>
        <w:tc>
          <w:tcPr>
            <w:tcW w:w="714" w:type="pct"/>
            <w:tcBorders>
              <w:top w:val="single" w:color="auto" w:sz="4" w:space="0"/>
              <w:left w:val="single" w:color="auto" w:sz="4" w:space="0"/>
              <w:bottom w:val="single" w:color="auto" w:sz="4" w:space="0"/>
              <w:right w:val="single" w:color="auto" w:sz="4" w:space="0"/>
            </w:tcBorders>
            <w:vAlign w:val="center"/>
          </w:tcPr>
          <w:p w14:paraId="6F8CD8DE">
            <w:pPr>
              <w:rPr>
                <w:rFonts w:cs="Cambria"/>
              </w:rPr>
            </w:pPr>
            <w:r>
              <w:rPr>
                <w:rFonts w:hint="eastAsia" w:ascii="宋体" w:hAnsi="宋体" w:cs="Cambria"/>
                <w:sz w:val="18"/>
                <w:szCs w:val="18"/>
              </w:rPr>
              <w:t>2026/11/24</w:t>
            </w:r>
          </w:p>
        </w:tc>
        <w:tc>
          <w:tcPr>
            <w:tcW w:w="643" w:type="pct"/>
            <w:tcBorders>
              <w:top w:val="single" w:color="auto" w:sz="4" w:space="0"/>
              <w:left w:val="single" w:color="auto" w:sz="4" w:space="0"/>
              <w:bottom w:val="single" w:color="auto" w:sz="4" w:space="0"/>
              <w:right w:val="single" w:color="auto" w:sz="4" w:space="0"/>
            </w:tcBorders>
            <w:vAlign w:val="center"/>
          </w:tcPr>
          <w:p w14:paraId="0968BE47">
            <w:pPr>
              <w:rPr>
                <w:rFonts w:cs="Cambria"/>
                <w:color w:val="000000" w:themeColor="text1"/>
                <w14:textFill>
                  <w14:solidFill>
                    <w14:schemeClr w14:val="tx1"/>
                  </w14:solidFill>
                </w14:textFill>
              </w:rPr>
            </w:pPr>
            <w:r>
              <w:rPr>
                <w:rFonts w:hint="eastAsia" w:ascii="宋体" w:hAnsi="宋体"/>
                <w:sz w:val="18"/>
                <w:szCs w:val="18"/>
              </w:rPr>
              <w:t>否</w:t>
            </w:r>
          </w:p>
        </w:tc>
      </w:tr>
      <w:tr w14:paraId="69C2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473642BD">
            <w:pPr>
              <w:rPr>
                <w:rFonts w:cs="Cambria"/>
              </w:rPr>
            </w:pPr>
            <w:r>
              <w:rPr>
                <w:rFonts w:hint="eastAsia" w:ascii="宋体" w:hAnsi="宋体"/>
                <w:sz w:val="18"/>
                <w:szCs w:val="18"/>
              </w:rPr>
              <w:t>好当家集团有限公司、唐传勤、山东邱家实业有限公司、荣成海盛纸业有限公司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07AB399C">
            <w:pPr>
              <w:jc w:val="right"/>
              <w:rPr>
                <w:rFonts w:cs="Cambria"/>
              </w:rPr>
            </w:pPr>
            <w:r>
              <w:rPr>
                <w:rFonts w:hint="eastAsia" w:ascii="宋体" w:hAnsi="宋体"/>
                <w:sz w:val="18"/>
                <w:szCs w:val="18"/>
              </w:rPr>
              <w:t>59,000,000.00</w:t>
            </w:r>
          </w:p>
        </w:tc>
        <w:tc>
          <w:tcPr>
            <w:tcW w:w="857" w:type="pct"/>
            <w:tcBorders>
              <w:top w:val="single" w:color="auto" w:sz="4" w:space="0"/>
              <w:left w:val="single" w:color="auto" w:sz="4" w:space="0"/>
              <w:bottom w:val="single" w:color="auto" w:sz="4" w:space="0"/>
              <w:right w:val="single" w:color="auto" w:sz="4" w:space="0"/>
            </w:tcBorders>
            <w:vAlign w:val="center"/>
          </w:tcPr>
          <w:p w14:paraId="4ECDCD31">
            <w:pPr>
              <w:rPr>
                <w:rFonts w:cs="Cambria"/>
              </w:rPr>
            </w:pPr>
            <w:r>
              <w:rPr>
                <w:rFonts w:hint="eastAsia" w:ascii="宋体" w:hAnsi="宋体"/>
                <w:sz w:val="18"/>
                <w:szCs w:val="18"/>
              </w:rPr>
              <w:t>2025/2/11</w:t>
            </w:r>
          </w:p>
        </w:tc>
        <w:tc>
          <w:tcPr>
            <w:tcW w:w="714" w:type="pct"/>
            <w:tcBorders>
              <w:top w:val="single" w:color="auto" w:sz="4" w:space="0"/>
              <w:left w:val="single" w:color="auto" w:sz="4" w:space="0"/>
              <w:bottom w:val="single" w:color="auto" w:sz="4" w:space="0"/>
              <w:right w:val="single" w:color="auto" w:sz="4" w:space="0"/>
            </w:tcBorders>
            <w:vAlign w:val="center"/>
          </w:tcPr>
          <w:p w14:paraId="4845C17E">
            <w:pPr>
              <w:rPr>
                <w:rFonts w:cs="Cambria"/>
              </w:rPr>
            </w:pPr>
            <w:r>
              <w:rPr>
                <w:rFonts w:hint="eastAsia" w:ascii="宋体" w:hAnsi="宋体" w:cs="Cambria"/>
                <w:sz w:val="18"/>
                <w:szCs w:val="18"/>
              </w:rPr>
              <w:t>2026/2/10</w:t>
            </w:r>
          </w:p>
        </w:tc>
        <w:tc>
          <w:tcPr>
            <w:tcW w:w="643" w:type="pct"/>
            <w:tcBorders>
              <w:top w:val="single" w:color="auto" w:sz="4" w:space="0"/>
              <w:left w:val="single" w:color="auto" w:sz="4" w:space="0"/>
              <w:bottom w:val="single" w:color="auto" w:sz="4" w:space="0"/>
              <w:right w:val="single" w:color="auto" w:sz="4" w:space="0"/>
            </w:tcBorders>
            <w:vAlign w:val="center"/>
          </w:tcPr>
          <w:p w14:paraId="371CDFCE">
            <w:pPr>
              <w:rPr>
                <w:rFonts w:cs="Cambria"/>
                <w:color w:val="000000" w:themeColor="text1"/>
                <w14:textFill>
                  <w14:solidFill>
                    <w14:schemeClr w14:val="tx1"/>
                  </w14:solidFill>
                </w14:textFill>
              </w:rPr>
            </w:pPr>
            <w:r>
              <w:rPr>
                <w:rFonts w:hint="eastAsia" w:ascii="宋体" w:hAnsi="宋体"/>
                <w:sz w:val="18"/>
                <w:szCs w:val="18"/>
              </w:rPr>
              <w:t>是</w:t>
            </w:r>
          </w:p>
        </w:tc>
      </w:tr>
      <w:tr w14:paraId="5F87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6FF13EA5">
            <w:pPr>
              <w:rPr>
                <w:rFonts w:cs="Cambria"/>
              </w:rPr>
            </w:pPr>
            <w:r>
              <w:rPr>
                <w:rFonts w:hint="eastAsia" w:ascii="宋体" w:hAnsi="宋体"/>
                <w:sz w:val="18"/>
                <w:szCs w:val="18"/>
              </w:rPr>
              <w:t>好当家集团有限公司、唐传勤、山东邱家实业有限公司、荣成海盛纸业有限公司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14FD3223">
            <w:pPr>
              <w:jc w:val="right"/>
              <w:rPr>
                <w:rFonts w:cs="Cambria"/>
              </w:rPr>
            </w:pPr>
            <w:r>
              <w:rPr>
                <w:rFonts w:hint="eastAsia" w:ascii="宋体" w:hAnsi="宋体"/>
                <w:sz w:val="18"/>
                <w:szCs w:val="18"/>
              </w:rPr>
              <w:t>40,000,000.00</w:t>
            </w:r>
          </w:p>
        </w:tc>
        <w:tc>
          <w:tcPr>
            <w:tcW w:w="857" w:type="pct"/>
            <w:tcBorders>
              <w:top w:val="single" w:color="auto" w:sz="4" w:space="0"/>
              <w:left w:val="single" w:color="auto" w:sz="4" w:space="0"/>
              <w:bottom w:val="single" w:color="auto" w:sz="4" w:space="0"/>
              <w:right w:val="single" w:color="auto" w:sz="4" w:space="0"/>
            </w:tcBorders>
            <w:vAlign w:val="center"/>
          </w:tcPr>
          <w:p w14:paraId="5079154C">
            <w:pPr>
              <w:rPr>
                <w:rFonts w:cs="Cambria"/>
              </w:rPr>
            </w:pPr>
            <w:r>
              <w:rPr>
                <w:rFonts w:hint="eastAsia" w:ascii="宋体" w:hAnsi="宋体"/>
                <w:sz w:val="18"/>
                <w:szCs w:val="18"/>
              </w:rPr>
              <w:t>2025/2/26</w:t>
            </w:r>
          </w:p>
        </w:tc>
        <w:tc>
          <w:tcPr>
            <w:tcW w:w="714" w:type="pct"/>
            <w:tcBorders>
              <w:top w:val="single" w:color="auto" w:sz="4" w:space="0"/>
              <w:left w:val="single" w:color="auto" w:sz="4" w:space="0"/>
              <w:bottom w:val="single" w:color="auto" w:sz="4" w:space="0"/>
              <w:right w:val="single" w:color="auto" w:sz="4" w:space="0"/>
            </w:tcBorders>
            <w:vAlign w:val="center"/>
          </w:tcPr>
          <w:p w14:paraId="5032E15F">
            <w:pPr>
              <w:rPr>
                <w:rFonts w:cs="Cambria"/>
              </w:rPr>
            </w:pPr>
            <w:r>
              <w:rPr>
                <w:rFonts w:hint="eastAsia" w:ascii="宋体" w:hAnsi="宋体" w:cs="Cambria"/>
                <w:sz w:val="18"/>
                <w:szCs w:val="18"/>
              </w:rPr>
              <w:t>2026/2/25</w:t>
            </w:r>
          </w:p>
        </w:tc>
        <w:tc>
          <w:tcPr>
            <w:tcW w:w="643" w:type="pct"/>
            <w:tcBorders>
              <w:top w:val="single" w:color="auto" w:sz="4" w:space="0"/>
              <w:left w:val="single" w:color="auto" w:sz="4" w:space="0"/>
              <w:bottom w:val="single" w:color="auto" w:sz="4" w:space="0"/>
              <w:right w:val="single" w:color="auto" w:sz="4" w:space="0"/>
            </w:tcBorders>
            <w:vAlign w:val="center"/>
          </w:tcPr>
          <w:p w14:paraId="4AFCCE68">
            <w:pPr>
              <w:rPr>
                <w:rFonts w:cs="Cambria"/>
                <w:color w:val="000000" w:themeColor="text1"/>
                <w14:textFill>
                  <w14:solidFill>
                    <w14:schemeClr w14:val="tx1"/>
                  </w14:solidFill>
                </w14:textFill>
              </w:rPr>
            </w:pPr>
            <w:r>
              <w:rPr>
                <w:rFonts w:hint="eastAsia" w:ascii="宋体" w:hAnsi="宋体"/>
                <w:sz w:val="18"/>
                <w:szCs w:val="18"/>
              </w:rPr>
              <w:t>是</w:t>
            </w:r>
          </w:p>
        </w:tc>
      </w:tr>
      <w:tr w14:paraId="4EF5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38EE8AFB">
            <w:pPr>
              <w:rPr>
                <w:rFonts w:cs="Cambria"/>
              </w:rPr>
            </w:pPr>
            <w:r>
              <w:rPr>
                <w:rFonts w:hint="eastAsia" w:ascii="宋体" w:hAnsi="宋体"/>
                <w:sz w:val="18"/>
                <w:szCs w:val="18"/>
              </w:rPr>
              <w:t xml:space="preserve">好当家集团有限公司  </w:t>
            </w:r>
          </w:p>
        </w:tc>
        <w:tc>
          <w:tcPr>
            <w:tcW w:w="857" w:type="pct"/>
            <w:tcBorders>
              <w:top w:val="single" w:color="auto" w:sz="4" w:space="0"/>
              <w:left w:val="single" w:color="auto" w:sz="4" w:space="0"/>
              <w:bottom w:val="single" w:color="auto" w:sz="4" w:space="0"/>
              <w:right w:val="single" w:color="auto" w:sz="4" w:space="0"/>
            </w:tcBorders>
            <w:vAlign w:val="center"/>
          </w:tcPr>
          <w:p w14:paraId="32567F19">
            <w:pPr>
              <w:jc w:val="right"/>
              <w:rPr>
                <w:rFonts w:cs="Cambria"/>
              </w:rPr>
            </w:pPr>
            <w:r>
              <w:rPr>
                <w:rFonts w:hint="eastAsia" w:ascii="宋体" w:hAnsi="宋体"/>
                <w:sz w:val="18"/>
                <w:szCs w:val="18"/>
              </w:rPr>
              <w:t>50,000,000.00</w:t>
            </w:r>
          </w:p>
        </w:tc>
        <w:tc>
          <w:tcPr>
            <w:tcW w:w="857" w:type="pct"/>
            <w:tcBorders>
              <w:top w:val="single" w:color="auto" w:sz="4" w:space="0"/>
              <w:left w:val="single" w:color="auto" w:sz="4" w:space="0"/>
              <w:bottom w:val="single" w:color="auto" w:sz="4" w:space="0"/>
              <w:right w:val="single" w:color="auto" w:sz="4" w:space="0"/>
            </w:tcBorders>
            <w:vAlign w:val="center"/>
          </w:tcPr>
          <w:p w14:paraId="3B56B999">
            <w:pPr>
              <w:rPr>
                <w:rFonts w:cs="Cambria"/>
              </w:rPr>
            </w:pPr>
            <w:r>
              <w:rPr>
                <w:rFonts w:hint="eastAsia" w:ascii="宋体" w:hAnsi="宋体"/>
                <w:sz w:val="18"/>
                <w:szCs w:val="18"/>
              </w:rPr>
              <w:t>2025/5/21</w:t>
            </w:r>
          </w:p>
        </w:tc>
        <w:tc>
          <w:tcPr>
            <w:tcW w:w="714" w:type="pct"/>
            <w:tcBorders>
              <w:top w:val="single" w:color="auto" w:sz="4" w:space="0"/>
              <w:left w:val="single" w:color="auto" w:sz="4" w:space="0"/>
              <w:bottom w:val="single" w:color="auto" w:sz="4" w:space="0"/>
              <w:right w:val="single" w:color="auto" w:sz="4" w:space="0"/>
            </w:tcBorders>
            <w:vAlign w:val="center"/>
          </w:tcPr>
          <w:p w14:paraId="091B026B">
            <w:pPr>
              <w:rPr>
                <w:rFonts w:cs="Cambria"/>
              </w:rPr>
            </w:pPr>
            <w:r>
              <w:rPr>
                <w:rFonts w:hint="eastAsia" w:ascii="宋体" w:hAnsi="宋体" w:cs="Cambria"/>
                <w:sz w:val="18"/>
                <w:szCs w:val="18"/>
              </w:rPr>
              <w:t>2026/5/21</w:t>
            </w:r>
          </w:p>
        </w:tc>
        <w:tc>
          <w:tcPr>
            <w:tcW w:w="643" w:type="pct"/>
            <w:tcBorders>
              <w:top w:val="single" w:color="auto" w:sz="4" w:space="0"/>
              <w:left w:val="single" w:color="auto" w:sz="4" w:space="0"/>
              <w:bottom w:val="single" w:color="auto" w:sz="4" w:space="0"/>
              <w:right w:val="single" w:color="auto" w:sz="4" w:space="0"/>
            </w:tcBorders>
          </w:tcPr>
          <w:p w14:paraId="6C38828F">
            <w:pPr>
              <w:rPr>
                <w:rFonts w:cs="Cambria"/>
                <w:color w:val="000000" w:themeColor="text1"/>
                <w14:textFill>
                  <w14:solidFill>
                    <w14:schemeClr w14:val="tx1"/>
                  </w14:solidFill>
                </w14:textFill>
              </w:rPr>
            </w:pPr>
            <w:r>
              <w:rPr>
                <w:rFonts w:hint="eastAsia" w:ascii="宋体" w:hAnsi="宋体"/>
                <w:sz w:val="18"/>
                <w:szCs w:val="18"/>
              </w:rPr>
              <w:t>是</w:t>
            </w:r>
          </w:p>
        </w:tc>
      </w:tr>
      <w:tr w14:paraId="27F8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3DC59A02">
            <w:pPr>
              <w:rPr>
                <w:rFonts w:cs="Cambria"/>
              </w:rPr>
            </w:pPr>
            <w:r>
              <w:rPr>
                <w:rFonts w:hint="eastAsia" w:ascii="宋体" w:hAnsi="宋体"/>
                <w:sz w:val="18"/>
                <w:szCs w:val="18"/>
              </w:rPr>
              <w:t xml:space="preserve">好当家集团有限公司  </w:t>
            </w:r>
          </w:p>
        </w:tc>
        <w:tc>
          <w:tcPr>
            <w:tcW w:w="857" w:type="pct"/>
            <w:tcBorders>
              <w:top w:val="single" w:color="auto" w:sz="4" w:space="0"/>
              <w:left w:val="single" w:color="auto" w:sz="4" w:space="0"/>
              <w:bottom w:val="single" w:color="auto" w:sz="4" w:space="0"/>
              <w:right w:val="single" w:color="auto" w:sz="4" w:space="0"/>
            </w:tcBorders>
            <w:vAlign w:val="center"/>
          </w:tcPr>
          <w:p w14:paraId="60B20442">
            <w:pPr>
              <w:jc w:val="right"/>
              <w:rPr>
                <w:rFonts w:cs="Cambria"/>
              </w:rPr>
            </w:pPr>
            <w:r>
              <w:rPr>
                <w:rFonts w:hint="eastAsia" w:ascii="宋体" w:hAnsi="宋体"/>
                <w:sz w:val="18"/>
                <w:szCs w:val="18"/>
              </w:rPr>
              <w:t>40,000,000.00</w:t>
            </w:r>
          </w:p>
        </w:tc>
        <w:tc>
          <w:tcPr>
            <w:tcW w:w="857" w:type="pct"/>
            <w:tcBorders>
              <w:top w:val="single" w:color="auto" w:sz="4" w:space="0"/>
              <w:left w:val="single" w:color="auto" w:sz="4" w:space="0"/>
              <w:bottom w:val="single" w:color="auto" w:sz="4" w:space="0"/>
              <w:right w:val="single" w:color="auto" w:sz="4" w:space="0"/>
            </w:tcBorders>
            <w:vAlign w:val="center"/>
          </w:tcPr>
          <w:p w14:paraId="285A4766">
            <w:pPr>
              <w:rPr>
                <w:rFonts w:cs="Cambria"/>
              </w:rPr>
            </w:pPr>
            <w:r>
              <w:rPr>
                <w:rFonts w:hint="eastAsia" w:ascii="宋体" w:hAnsi="宋体"/>
                <w:sz w:val="18"/>
                <w:szCs w:val="18"/>
              </w:rPr>
              <w:t>2025/5/23</w:t>
            </w:r>
          </w:p>
        </w:tc>
        <w:tc>
          <w:tcPr>
            <w:tcW w:w="714" w:type="pct"/>
            <w:tcBorders>
              <w:top w:val="single" w:color="auto" w:sz="4" w:space="0"/>
              <w:left w:val="single" w:color="auto" w:sz="4" w:space="0"/>
              <w:bottom w:val="single" w:color="auto" w:sz="4" w:space="0"/>
              <w:right w:val="single" w:color="auto" w:sz="4" w:space="0"/>
            </w:tcBorders>
            <w:vAlign w:val="center"/>
          </w:tcPr>
          <w:p w14:paraId="2A71CB5A">
            <w:pPr>
              <w:rPr>
                <w:rFonts w:cs="Cambria"/>
              </w:rPr>
            </w:pPr>
            <w:r>
              <w:rPr>
                <w:rFonts w:hint="eastAsia" w:ascii="宋体" w:hAnsi="宋体" w:cs="Cambria"/>
                <w:sz w:val="18"/>
                <w:szCs w:val="18"/>
              </w:rPr>
              <w:t>2026/5/23</w:t>
            </w:r>
          </w:p>
        </w:tc>
        <w:tc>
          <w:tcPr>
            <w:tcW w:w="643" w:type="pct"/>
            <w:tcBorders>
              <w:top w:val="single" w:color="auto" w:sz="4" w:space="0"/>
              <w:left w:val="single" w:color="auto" w:sz="4" w:space="0"/>
              <w:bottom w:val="single" w:color="auto" w:sz="4" w:space="0"/>
              <w:right w:val="single" w:color="auto" w:sz="4" w:space="0"/>
            </w:tcBorders>
          </w:tcPr>
          <w:p w14:paraId="6A93177B">
            <w:pPr>
              <w:rPr>
                <w:rFonts w:cs="Cambria"/>
                <w:color w:val="000000" w:themeColor="text1"/>
                <w14:textFill>
                  <w14:solidFill>
                    <w14:schemeClr w14:val="tx1"/>
                  </w14:solidFill>
                </w14:textFill>
              </w:rPr>
            </w:pPr>
            <w:r>
              <w:rPr>
                <w:rFonts w:hint="eastAsia" w:ascii="宋体" w:hAnsi="宋体"/>
                <w:sz w:val="18"/>
                <w:szCs w:val="18"/>
              </w:rPr>
              <w:t>是</w:t>
            </w:r>
          </w:p>
        </w:tc>
      </w:tr>
      <w:tr w14:paraId="7D06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1BC73E7B">
            <w:pPr>
              <w:rPr>
                <w:rFonts w:cs="Cambria"/>
              </w:rPr>
            </w:pPr>
            <w:r>
              <w:rPr>
                <w:rFonts w:hint="eastAsia" w:ascii="宋体" w:hAnsi="宋体"/>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45B4B4AC">
            <w:pPr>
              <w:jc w:val="right"/>
              <w:rPr>
                <w:rFonts w:cs="Cambria"/>
              </w:rPr>
            </w:pPr>
            <w:r>
              <w:rPr>
                <w:rFonts w:hint="eastAsia" w:ascii="宋体" w:hAnsi="宋体"/>
                <w:sz w:val="18"/>
                <w:szCs w:val="18"/>
              </w:rPr>
              <w:t>40,000,000.00</w:t>
            </w:r>
          </w:p>
        </w:tc>
        <w:tc>
          <w:tcPr>
            <w:tcW w:w="857" w:type="pct"/>
            <w:tcBorders>
              <w:top w:val="single" w:color="auto" w:sz="4" w:space="0"/>
              <w:left w:val="single" w:color="auto" w:sz="4" w:space="0"/>
              <w:bottom w:val="single" w:color="auto" w:sz="4" w:space="0"/>
              <w:right w:val="single" w:color="auto" w:sz="4" w:space="0"/>
            </w:tcBorders>
            <w:vAlign w:val="center"/>
          </w:tcPr>
          <w:p w14:paraId="408408F8">
            <w:pPr>
              <w:rPr>
                <w:rFonts w:cs="Cambria"/>
              </w:rPr>
            </w:pPr>
            <w:r>
              <w:rPr>
                <w:rFonts w:hint="eastAsia" w:ascii="宋体" w:hAnsi="宋体"/>
                <w:sz w:val="18"/>
                <w:szCs w:val="18"/>
              </w:rPr>
              <w:t>2025/9/17</w:t>
            </w:r>
          </w:p>
        </w:tc>
        <w:tc>
          <w:tcPr>
            <w:tcW w:w="714" w:type="pct"/>
            <w:tcBorders>
              <w:top w:val="single" w:color="auto" w:sz="4" w:space="0"/>
              <w:left w:val="single" w:color="auto" w:sz="4" w:space="0"/>
              <w:bottom w:val="single" w:color="auto" w:sz="4" w:space="0"/>
              <w:right w:val="single" w:color="auto" w:sz="4" w:space="0"/>
            </w:tcBorders>
            <w:vAlign w:val="center"/>
          </w:tcPr>
          <w:p w14:paraId="2458EDCF">
            <w:pPr>
              <w:rPr>
                <w:rFonts w:cs="Cambria"/>
              </w:rPr>
            </w:pPr>
            <w:r>
              <w:rPr>
                <w:rFonts w:hint="eastAsia" w:ascii="宋体" w:hAnsi="宋体" w:cs="Cambria"/>
                <w:sz w:val="18"/>
                <w:szCs w:val="18"/>
              </w:rPr>
              <w:t>2026/3/17</w:t>
            </w:r>
          </w:p>
        </w:tc>
        <w:tc>
          <w:tcPr>
            <w:tcW w:w="643" w:type="pct"/>
            <w:tcBorders>
              <w:top w:val="single" w:color="auto" w:sz="4" w:space="0"/>
              <w:left w:val="single" w:color="auto" w:sz="4" w:space="0"/>
              <w:bottom w:val="single" w:color="auto" w:sz="4" w:space="0"/>
              <w:right w:val="single" w:color="auto" w:sz="4" w:space="0"/>
            </w:tcBorders>
            <w:vAlign w:val="center"/>
          </w:tcPr>
          <w:p w14:paraId="02A7DE44">
            <w:pPr>
              <w:rPr>
                <w:rFonts w:cs="Cambria"/>
                <w:color w:val="000000" w:themeColor="text1"/>
                <w14:textFill>
                  <w14:solidFill>
                    <w14:schemeClr w14:val="tx1"/>
                  </w14:solidFill>
                </w14:textFill>
              </w:rPr>
            </w:pPr>
            <w:r>
              <w:rPr>
                <w:rFonts w:hint="eastAsia" w:ascii="宋体" w:hAnsi="宋体"/>
                <w:sz w:val="18"/>
                <w:szCs w:val="18"/>
              </w:rPr>
              <w:t>是</w:t>
            </w:r>
          </w:p>
        </w:tc>
      </w:tr>
      <w:tr w14:paraId="25F2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39E95A80">
            <w:pPr>
              <w:rPr>
                <w:rFonts w:cs="Cambria"/>
              </w:rPr>
            </w:pPr>
            <w:r>
              <w:rPr>
                <w:rFonts w:hint="eastAsia" w:ascii="宋体" w:hAnsi="宋体"/>
                <w:sz w:val="18"/>
                <w:szCs w:val="18"/>
              </w:rPr>
              <w:t>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4841A8E1">
            <w:pPr>
              <w:jc w:val="right"/>
              <w:rPr>
                <w:rFonts w:cs="Cambria"/>
              </w:rPr>
            </w:pPr>
            <w:r>
              <w:rPr>
                <w:rFonts w:hint="eastAsia" w:ascii="宋体" w:hAnsi="宋体"/>
                <w:sz w:val="18"/>
                <w:szCs w:val="18"/>
              </w:rPr>
              <w:t>49,000,000.00</w:t>
            </w:r>
          </w:p>
        </w:tc>
        <w:tc>
          <w:tcPr>
            <w:tcW w:w="857" w:type="pct"/>
            <w:tcBorders>
              <w:top w:val="single" w:color="auto" w:sz="4" w:space="0"/>
              <w:left w:val="single" w:color="auto" w:sz="4" w:space="0"/>
              <w:bottom w:val="single" w:color="auto" w:sz="4" w:space="0"/>
              <w:right w:val="single" w:color="auto" w:sz="4" w:space="0"/>
            </w:tcBorders>
            <w:vAlign w:val="center"/>
          </w:tcPr>
          <w:p w14:paraId="19F8AB6A">
            <w:pPr>
              <w:rPr>
                <w:rFonts w:cs="Cambria"/>
              </w:rPr>
            </w:pPr>
            <w:r>
              <w:rPr>
                <w:rFonts w:hint="eastAsia" w:ascii="宋体" w:hAnsi="宋体"/>
                <w:sz w:val="18"/>
                <w:szCs w:val="18"/>
              </w:rPr>
              <w:t>2025/12/8</w:t>
            </w:r>
          </w:p>
        </w:tc>
        <w:tc>
          <w:tcPr>
            <w:tcW w:w="714" w:type="pct"/>
            <w:tcBorders>
              <w:top w:val="single" w:color="auto" w:sz="4" w:space="0"/>
              <w:left w:val="single" w:color="auto" w:sz="4" w:space="0"/>
              <w:bottom w:val="single" w:color="auto" w:sz="4" w:space="0"/>
              <w:right w:val="single" w:color="auto" w:sz="4" w:space="0"/>
            </w:tcBorders>
            <w:vAlign w:val="center"/>
          </w:tcPr>
          <w:p w14:paraId="73D4B5A8">
            <w:pPr>
              <w:rPr>
                <w:rFonts w:cs="Cambria"/>
              </w:rPr>
            </w:pPr>
            <w:r>
              <w:rPr>
                <w:rFonts w:hint="eastAsia" w:ascii="宋体" w:hAnsi="宋体" w:cs="Cambria"/>
                <w:sz w:val="18"/>
                <w:szCs w:val="18"/>
              </w:rPr>
              <w:t>2026/4/30</w:t>
            </w:r>
          </w:p>
        </w:tc>
        <w:tc>
          <w:tcPr>
            <w:tcW w:w="643" w:type="pct"/>
            <w:tcBorders>
              <w:top w:val="single" w:color="auto" w:sz="4" w:space="0"/>
              <w:left w:val="single" w:color="auto" w:sz="4" w:space="0"/>
              <w:bottom w:val="single" w:color="auto" w:sz="4" w:space="0"/>
              <w:right w:val="single" w:color="auto" w:sz="4" w:space="0"/>
            </w:tcBorders>
            <w:vAlign w:val="center"/>
          </w:tcPr>
          <w:p w14:paraId="4249D80E">
            <w:pPr>
              <w:rPr>
                <w:rFonts w:cs="Cambria"/>
                <w:color w:val="000000" w:themeColor="text1"/>
                <w14:textFill>
                  <w14:solidFill>
                    <w14:schemeClr w14:val="tx1"/>
                  </w14:solidFill>
                </w14:textFill>
              </w:rPr>
            </w:pPr>
            <w:r>
              <w:rPr>
                <w:rFonts w:hint="eastAsia" w:ascii="宋体" w:hAnsi="宋体"/>
                <w:sz w:val="18"/>
                <w:szCs w:val="18"/>
              </w:rPr>
              <w:t>是</w:t>
            </w:r>
          </w:p>
        </w:tc>
      </w:tr>
      <w:tr w14:paraId="1717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3613F0AB">
            <w:pPr>
              <w:rPr>
                <w:rFonts w:cs="Cambria"/>
              </w:rPr>
            </w:pPr>
            <w:r>
              <w:rPr>
                <w:rFonts w:hint="eastAsia" w:ascii="宋体" w:hAnsi="宋体"/>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360494D5">
            <w:pPr>
              <w:jc w:val="right"/>
              <w:rPr>
                <w:rFonts w:cs="Cambria"/>
              </w:rPr>
            </w:pPr>
            <w:r>
              <w:rPr>
                <w:rFonts w:hint="eastAsia" w:ascii="宋体" w:hAnsi="宋体"/>
                <w:sz w:val="18"/>
                <w:szCs w:val="18"/>
              </w:rPr>
              <w:t>28,500,000.00</w:t>
            </w:r>
          </w:p>
        </w:tc>
        <w:tc>
          <w:tcPr>
            <w:tcW w:w="857" w:type="pct"/>
            <w:tcBorders>
              <w:top w:val="single" w:color="auto" w:sz="4" w:space="0"/>
              <w:left w:val="single" w:color="auto" w:sz="4" w:space="0"/>
              <w:bottom w:val="single" w:color="auto" w:sz="4" w:space="0"/>
              <w:right w:val="single" w:color="auto" w:sz="4" w:space="0"/>
            </w:tcBorders>
            <w:vAlign w:val="center"/>
          </w:tcPr>
          <w:p w14:paraId="68CE7882">
            <w:pPr>
              <w:rPr>
                <w:rFonts w:cs="Cambria"/>
              </w:rPr>
            </w:pPr>
            <w:r>
              <w:rPr>
                <w:rFonts w:hint="eastAsia" w:ascii="宋体" w:hAnsi="宋体"/>
                <w:sz w:val="18"/>
                <w:szCs w:val="18"/>
              </w:rPr>
              <w:t>2025/3/4</w:t>
            </w:r>
          </w:p>
        </w:tc>
        <w:tc>
          <w:tcPr>
            <w:tcW w:w="714" w:type="pct"/>
            <w:tcBorders>
              <w:top w:val="single" w:color="auto" w:sz="4" w:space="0"/>
              <w:left w:val="single" w:color="auto" w:sz="4" w:space="0"/>
              <w:bottom w:val="single" w:color="auto" w:sz="4" w:space="0"/>
              <w:right w:val="single" w:color="auto" w:sz="4" w:space="0"/>
            </w:tcBorders>
            <w:vAlign w:val="center"/>
          </w:tcPr>
          <w:p w14:paraId="53F1F7DB">
            <w:pPr>
              <w:rPr>
                <w:rFonts w:cs="Cambria"/>
              </w:rPr>
            </w:pPr>
            <w:r>
              <w:rPr>
                <w:rFonts w:hint="eastAsia" w:ascii="宋体" w:hAnsi="宋体"/>
                <w:sz w:val="18"/>
                <w:szCs w:val="18"/>
              </w:rPr>
              <w:t>2026/1/4</w:t>
            </w:r>
          </w:p>
        </w:tc>
        <w:tc>
          <w:tcPr>
            <w:tcW w:w="643" w:type="pct"/>
            <w:tcBorders>
              <w:top w:val="single" w:color="auto" w:sz="4" w:space="0"/>
              <w:left w:val="single" w:color="auto" w:sz="4" w:space="0"/>
              <w:bottom w:val="single" w:color="auto" w:sz="4" w:space="0"/>
              <w:right w:val="single" w:color="auto" w:sz="4" w:space="0"/>
            </w:tcBorders>
          </w:tcPr>
          <w:p w14:paraId="04BE643B">
            <w:pPr>
              <w:rPr>
                <w:rFonts w:cs="Cambria"/>
                <w:color w:val="000000" w:themeColor="text1"/>
                <w14:textFill>
                  <w14:solidFill>
                    <w14:schemeClr w14:val="tx1"/>
                  </w14:solidFill>
                </w14:textFill>
              </w:rPr>
            </w:pPr>
            <w:r>
              <w:rPr>
                <w:rFonts w:hint="eastAsia"/>
              </w:rPr>
              <w:t>是</w:t>
            </w:r>
          </w:p>
        </w:tc>
      </w:tr>
      <w:tr w14:paraId="245F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1D380A06">
            <w:pPr>
              <w:rPr>
                <w:rFonts w:cs="Cambria"/>
              </w:rPr>
            </w:pPr>
            <w:r>
              <w:rPr>
                <w:rFonts w:hint="eastAsia" w:ascii="宋体" w:hAnsi="宋体"/>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09E53943">
            <w:pPr>
              <w:jc w:val="right"/>
              <w:rPr>
                <w:rFonts w:cs="Cambria"/>
              </w:rPr>
            </w:pPr>
            <w:r>
              <w:rPr>
                <w:rFonts w:hint="eastAsia" w:ascii="宋体" w:hAnsi="宋体"/>
                <w:sz w:val="18"/>
                <w:szCs w:val="18"/>
              </w:rPr>
              <w:t>20,000,000.00</w:t>
            </w:r>
          </w:p>
        </w:tc>
        <w:tc>
          <w:tcPr>
            <w:tcW w:w="857" w:type="pct"/>
            <w:tcBorders>
              <w:top w:val="single" w:color="auto" w:sz="4" w:space="0"/>
              <w:left w:val="single" w:color="auto" w:sz="4" w:space="0"/>
              <w:bottom w:val="single" w:color="auto" w:sz="4" w:space="0"/>
              <w:right w:val="single" w:color="auto" w:sz="4" w:space="0"/>
            </w:tcBorders>
            <w:vAlign w:val="center"/>
          </w:tcPr>
          <w:p w14:paraId="39D271D8">
            <w:pPr>
              <w:rPr>
                <w:rFonts w:cs="Cambria"/>
              </w:rPr>
            </w:pPr>
            <w:r>
              <w:rPr>
                <w:rFonts w:hint="eastAsia" w:ascii="宋体" w:hAnsi="宋体"/>
                <w:sz w:val="18"/>
                <w:szCs w:val="18"/>
              </w:rPr>
              <w:t>2025/3/14</w:t>
            </w:r>
          </w:p>
        </w:tc>
        <w:tc>
          <w:tcPr>
            <w:tcW w:w="714" w:type="pct"/>
            <w:tcBorders>
              <w:top w:val="single" w:color="auto" w:sz="4" w:space="0"/>
              <w:left w:val="single" w:color="auto" w:sz="4" w:space="0"/>
              <w:bottom w:val="single" w:color="auto" w:sz="4" w:space="0"/>
              <w:right w:val="single" w:color="auto" w:sz="4" w:space="0"/>
            </w:tcBorders>
            <w:vAlign w:val="center"/>
          </w:tcPr>
          <w:p w14:paraId="59662F47">
            <w:pPr>
              <w:rPr>
                <w:rFonts w:cs="Cambria"/>
              </w:rPr>
            </w:pPr>
            <w:r>
              <w:rPr>
                <w:rFonts w:hint="eastAsia" w:ascii="宋体" w:hAnsi="宋体"/>
                <w:sz w:val="18"/>
                <w:szCs w:val="18"/>
              </w:rPr>
              <w:t>2026/3/14</w:t>
            </w:r>
          </w:p>
        </w:tc>
        <w:tc>
          <w:tcPr>
            <w:tcW w:w="643" w:type="pct"/>
            <w:tcBorders>
              <w:top w:val="single" w:color="auto" w:sz="4" w:space="0"/>
              <w:left w:val="single" w:color="auto" w:sz="4" w:space="0"/>
              <w:bottom w:val="single" w:color="auto" w:sz="4" w:space="0"/>
              <w:right w:val="single" w:color="auto" w:sz="4" w:space="0"/>
            </w:tcBorders>
          </w:tcPr>
          <w:p w14:paraId="40309F65">
            <w:pPr>
              <w:rPr>
                <w:rFonts w:cs="Cambria"/>
                <w:color w:val="000000" w:themeColor="text1"/>
                <w14:textFill>
                  <w14:solidFill>
                    <w14:schemeClr w14:val="tx1"/>
                  </w14:solidFill>
                </w14:textFill>
              </w:rPr>
            </w:pPr>
            <w:r>
              <w:rPr>
                <w:rFonts w:hint="eastAsia"/>
              </w:rPr>
              <w:t>是</w:t>
            </w:r>
          </w:p>
        </w:tc>
      </w:tr>
      <w:tr w14:paraId="209E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05CB3289">
            <w:pPr>
              <w:rPr>
                <w:rFonts w:cs="Cambria"/>
              </w:rPr>
            </w:pPr>
            <w:r>
              <w:rPr>
                <w:rFonts w:hint="eastAsia" w:ascii="宋体" w:hAnsi="宋体"/>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5F5E56B5">
            <w:pPr>
              <w:jc w:val="right"/>
              <w:rPr>
                <w:rFonts w:cs="Cambria"/>
              </w:rPr>
            </w:pPr>
            <w:r>
              <w:rPr>
                <w:rFonts w:hint="eastAsia" w:ascii="宋体" w:hAnsi="宋体"/>
                <w:sz w:val="18"/>
                <w:szCs w:val="18"/>
              </w:rPr>
              <w:t>40,000,000.00</w:t>
            </w:r>
          </w:p>
        </w:tc>
        <w:tc>
          <w:tcPr>
            <w:tcW w:w="857" w:type="pct"/>
            <w:tcBorders>
              <w:top w:val="single" w:color="auto" w:sz="4" w:space="0"/>
              <w:left w:val="single" w:color="auto" w:sz="4" w:space="0"/>
              <w:bottom w:val="single" w:color="auto" w:sz="4" w:space="0"/>
              <w:right w:val="single" w:color="auto" w:sz="4" w:space="0"/>
            </w:tcBorders>
            <w:vAlign w:val="center"/>
          </w:tcPr>
          <w:p w14:paraId="41314CA6">
            <w:pPr>
              <w:rPr>
                <w:rFonts w:cs="Cambria"/>
              </w:rPr>
            </w:pPr>
            <w:r>
              <w:rPr>
                <w:rFonts w:hint="eastAsia" w:ascii="宋体" w:hAnsi="宋体"/>
                <w:sz w:val="18"/>
                <w:szCs w:val="18"/>
              </w:rPr>
              <w:t>2025/4/22</w:t>
            </w:r>
          </w:p>
        </w:tc>
        <w:tc>
          <w:tcPr>
            <w:tcW w:w="714" w:type="pct"/>
            <w:tcBorders>
              <w:top w:val="single" w:color="auto" w:sz="4" w:space="0"/>
              <w:left w:val="single" w:color="auto" w:sz="4" w:space="0"/>
              <w:bottom w:val="single" w:color="auto" w:sz="4" w:space="0"/>
              <w:right w:val="single" w:color="auto" w:sz="4" w:space="0"/>
            </w:tcBorders>
            <w:vAlign w:val="center"/>
          </w:tcPr>
          <w:p w14:paraId="1B564F8D">
            <w:pPr>
              <w:rPr>
                <w:rFonts w:cs="Cambria"/>
              </w:rPr>
            </w:pPr>
            <w:r>
              <w:rPr>
                <w:rFonts w:hint="eastAsia" w:ascii="宋体" w:hAnsi="宋体"/>
                <w:sz w:val="18"/>
                <w:szCs w:val="18"/>
              </w:rPr>
              <w:t>2026/4/22</w:t>
            </w:r>
          </w:p>
        </w:tc>
        <w:tc>
          <w:tcPr>
            <w:tcW w:w="643" w:type="pct"/>
            <w:tcBorders>
              <w:top w:val="single" w:color="auto" w:sz="4" w:space="0"/>
              <w:left w:val="single" w:color="auto" w:sz="4" w:space="0"/>
              <w:bottom w:val="single" w:color="auto" w:sz="4" w:space="0"/>
              <w:right w:val="single" w:color="auto" w:sz="4" w:space="0"/>
            </w:tcBorders>
          </w:tcPr>
          <w:p w14:paraId="5936A67E">
            <w:pPr>
              <w:rPr>
                <w:rFonts w:cs="Cambria"/>
                <w:color w:val="000000" w:themeColor="text1"/>
                <w14:textFill>
                  <w14:solidFill>
                    <w14:schemeClr w14:val="tx1"/>
                  </w14:solidFill>
                </w14:textFill>
              </w:rPr>
            </w:pPr>
            <w:r>
              <w:rPr>
                <w:rFonts w:hint="eastAsia"/>
              </w:rPr>
              <w:t>是</w:t>
            </w:r>
          </w:p>
        </w:tc>
      </w:tr>
      <w:tr w14:paraId="0940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6C6D407A">
            <w:pPr>
              <w:rPr>
                <w:rFonts w:cs="Cambria"/>
              </w:rPr>
            </w:pPr>
            <w:r>
              <w:rPr>
                <w:rFonts w:hint="eastAsia" w:ascii="宋体" w:hAnsi="宋体"/>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364F7D6F">
            <w:pPr>
              <w:jc w:val="right"/>
              <w:rPr>
                <w:rFonts w:cs="Cambria"/>
              </w:rPr>
            </w:pPr>
            <w:r>
              <w:rPr>
                <w:rFonts w:hint="eastAsia" w:ascii="宋体" w:hAnsi="宋体"/>
                <w:sz w:val="18"/>
                <w:szCs w:val="18"/>
              </w:rPr>
              <w:t>40,000,000.00</w:t>
            </w:r>
          </w:p>
        </w:tc>
        <w:tc>
          <w:tcPr>
            <w:tcW w:w="857" w:type="pct"/>
            <w:tcBorders>
              <w:top w:val="single" w:color="auto" w:sz="4" w:space="0"/>
              <w:left w:val="single" w:color="auto" w:sz="4" w:space="0"/>
              <w:bottom w:val="single" w:color="auto" w:sz="4" w:space="0"/>
              <w:right w:val="single" w:color="auto" w:sz="4" w:space="0"/>
            </w:tcBorders>
            <w:vAlign w:val="center"/>
          </w:tcPr>
          <w:p w14:paraId="228BE192">
            <w:pPr>
              <w:rPr>
                <w:rFonts w:cs="Cambria"/>
              </w:rPr>
            </w:pPr>
            <w:r>
              <w:rPr>
                <w:rFonts w:hint="eastAsia" w:ascii="宋体" w:hAnsi="宋体"/>
                <w:sz w:val="18"/>
                <w:szCs w:val="18"/>
              </w:rPr>
              <w:t>2025/7/11</w:t>
            </w:r>
          </w:p>
        </w:tc>
        <w:tc>
          <w:tcPr>
            <w:tcW w:w="714" w:type="pct"/>
            <w:tcBorders>
              <w:top w:val="single" w:color="auto" w:sz="4" w:space="0"/>
              <w:left w:val="single" w:color="auto" w:sz="4" w:space="0"/>
              <w:bottom w:val="single" w:color="auto" w:sz="4" w:space="0"/>
              <w:right w:val="single" w:color="auto" w:sz="4" w:space="0"/>
            </w:tcBorders>
            <w:vAlign w:val="center"/>
          </w:tcPr>
          <w:p w14:paraId="6B595423">
            <w:pPr>
              <w:rPr>
                <w:rFonts w:cs="Cambria"/>
              </w:rPr>
            </w:pPr>
            <w:r>
              <w:rPr>
                <w:rFonts w:hint="eastAsia" w:ascii="宋体" w:hAnsi="宋体"/>
                <w:sz w:val="18"/>
                <w:szCs w:val="18"/>
              </w:rPr>
              <w:t>2026/7/11</w:t>
            </w:r>
          </w:p>
        </w:tc>
        <w:tc>
          <w:tcPr>
            <w:tcW w:w="643" w:type="pct"/>
            <w:tcBorders>
              <w:top w:val="single" w:color="auto" w:sz="4" w:space="0"/>
              <w:left w:val="single" w:color="auto" w:sz="4" w:space="0"/>
              <w:bottom w:val="single" w:color="auto" w:sz="4" w:space="0"/>
              <w:right w:val="single" w:color="auto" w:sz="4" w:space="0"/>
            </w:tcBorders>
            <w:vAlign w:val="center"/>
          </w:tcPr>
          <w:p w14:paraId="5CFDA219">
            <w:pPr>
              <w:rPr>
                <w:rFonts w:cs="Cambria"/>
                <w:color w:val="000000" w:themeColor="text1"/>
                <w14:textFill>
                  <w14:solidFill>
                    <w14:schemeClr w14:val="tx1"/>
                  </w14:solidFill>
                </w14:textFill>
              </w:rPr>
            </w:pPr>
            <w:r>
              <w:rPr>
                <w:rFonts w:hint="eastAsia" w:ascii="宋体" w:hAnsi="宋体"/>
                <w:sz w:val="18"/>
                <w:szCs w:val="18"/>
              </w:rPr>
              <w:t>否</w:t>
            </w:r>
          </w:p>
        </w:tc>
      </w:tr>
      <w:tr w14:paraId="70AA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09D8CA26">
            <w:pPr>
              <w:rPr>
                <w:rFonts w:cs="Cambria"/>
              </w:rPr>
            </w:pPr>
            <w:r>
              <w:rPr>
                <w:rFonts w:hint="eastAsia" w:ascii="宋体" w:hAnsi="宋体"/>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5CCFD344">
            <w:pPr>
              <w:jc w:val="right"/>
              <w:rPr>
                <w:rFonts w:cs="Cambria"/>
              </w:rPr>
            </w:pPr>
            <w:r>
              <w:rPr>
                <w:rFonts w:hint="eastAsia" w:ascii="宋体" w:hAnsi="宋体"/>
                <w:sz w:val="18"/>
                <w:szCs w:val="18"/>
              </w:rPr>
              <w:t>40,000,000.00</w:t>
            </w:r>
          </w:p>
        </w:tc>
        <w:tc>
          <w:tcPr>
            <w:tcW w:w="857" w:type="pct"/>
            <w:tcBorders>
              <w:top w:val="single" w:color="auto" w:sz="4" w:space="0"/>
              <w:left w:val="single" w:color="auto" w:sz="4" w:space="0"/>
              <w:bottom w:val="single" w:color="auto" w:sz="4" w:space="0"/>
              <w:right w:val="single" w:color="auto" w:sz="4" w:space="0"/>
            </w:tcBorders>
            <w:vAlign w:val="center"/>
          </w:tcPr>
          <w:p w14:paraId="2BE8D223">
            <w:pPr>
              <w:rPr>
                <w:rFonts w:cs="Cambria"/>
              </w:rPr>
            </w:pPr>
            <w:r>
              <w:rPr>
                <w:rFonts w:hint="eastAsia" w:ascii="宋体" w:hAnsi="宋体"/>
                <w:sz w:val="18"/>
                <w:szCs w:val="18"/>
              </w:rPr>
              <w:t>2025/8/6</w:t>
            </w:r>
          </w:p>
        </w:tc>
        <w:tc>
          <w:tcPr>
            <w:tcW w:w="714" w:type="pct"/>
            <w:tcBorders>
              <w:top w:val="single" w:color="auto" w:sz="4" w:space="0"/>
              <w:left w:val="single" w:color="auto" w:sz="4" w:space="0"/>
              <w:bottom w:val="single" w:color="auto" w:sz="4" w:space="0"/>
              <w:right w:val="single" w:color="auto" w:sz="4" w:space="0"/>
            </w:tcBorders>
            <w:vAlign w:val="center"/>
          </w:tcPr>
          <w:p w14:paraId="1DD25AEA">
            <w:pPr>
              <w:rPr>
                <w:rFonts w:cs="Cambria"/>
              </w:rPr>
            </w:pPr>
            <w:r>
              <w:rPr>
                <w:rFonts w:hint="eastAsia" w:ascii="宋体" w:hAnsi="宋体"/>
                <w:sz w:val="18"/>
                <w:szCs w:val="18"/>
              </w:rPr>
              <w:t>2026/8/6</w:t>
            </w:r>
          </w:p>
        </w:tc>
        <w:tc>
          <w:tcPr>
            <w:tcW w:w="643" w:type="pct"/>
            <w:tcBorders>
              <w:top w:val="single" w:color="auto" w:sz="4" w:space="0"/>
              <w:left w:val="single" w:color="auto" w:sz="4" w:space="0"/>
              <w:bottom w:val="single" w:color="auto" w:sz="4" w:space="0"/>
              <w:right w:val="single" w:color="auto" w:sz="4" w:space="0"/>
            </w:tcBorders>
            <w:vAlign w:val="center"/>
          </w:tcPr>
          <w:p w14:paraId="29F68073">
            <w:pPr>
              <w:rPr>
                <w:rFonts w:cs="Cambria"/>
                <w:color w:val="000000" w:themeColor="text1"/>
                <w14:textFill>
                  <w14:solidFill>
                    <w14:schemeClr w14:val="tx1"/>
                  </w14:solidFill>
                </w14:textFill>
              </w:rPr>
            </w:pPr>
            <w:r>
              <w:rPr>
                <w:rFonts w:hint="eastAsia" w:ascii="宋体" w:hAnsi="宋体"/>
                <w:sz w:val="18"/>
                <w:szCs w:val="18"/>
              </w:rPr>
              <w:t>否</w:t>
            </w:r>
          </w:p>
        </w:tc>
      </w:tr>
      <w:tr w14:paraId="001E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5AEA23B1">
            <w:pPr>
              <w:rPr>
                <w:rFonts w:cs="Cambria"/>
              </w:rPr>
            </w:pPr>
            <w:r>
              <w:rPr>
                <w:rFonts w:hint="eastAsia" w:ascii="宋体" w:hAnsi="宋体"/>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63681723">
            <w:pPr>
              <w:jc w:val="right"/>
              <w:rPr>
                <w:rFonts w:cs="Cambria"/>
              </w:rPr>
            </w:pPr>
            <w:r>
              <w:rPr>
                <w:rFonts w:hint="eastAsia" w:ascii="宋体" w:hAnsi="宋体"/>
                <w:sz w:val="18"/>
                <w:szCs w:val="18"/>
              </w:rPr>
              <w:t>50,000,000.00</w:t>
            </w:r>
          </w:p>
        </w:tc>
        <w:tc>
          <w:tcPr>
            <w:tcW w:w="857" w:type="pct"/>
            <w:tcBorders>
              <w:top w:val="single" w:color="auto" w:sz="4" w:space="0"/>
              <w:left w:val="single" w:color="auto" w:sz="4" w:space="0"/>
              <w:bottom w:val="single" w:color="auto" w:sz="4" w:space="0"/>
              <w:right w:val="single" w:color="auto" w:sz="4" w:space="0"/>
            </w:tcBorders>
            <w:vAlign w:val="center"/>
          </w:tcPr>
          <w:p w14:paraId="2B4C91C0">
            <w:pPr>
              <w:rPr>
                <w:rFonts w:cs="Cambria"/>
              </w:rPr>
            </w:pPr>
            <w:r>
              <w:rPr>
                <w:rFonts w:hint="eastAsia" w:ascii="宋体" w:hAnsi="宋体"/>
                <w:sz w:val="18"/>
                <w:szCs w:val="18"/>
              </w:rPr>
              <w:t>2025/11/6</w:t>
            </w:r>
          </w:p>
        </w:tc>
        <w:tc>
          <w:tcPr>
            <w:tcW w:w="714" w:type="pct"/>
            <w:tcBorders>
              <w:top w:val="single" w:color="auto" w:sz="4" w:space="0"/>
              <w:left w:val="single" w:color="auto" w:sz="4" w:space="0"/>
              <w:bottom w:val="single" w:color="auto" w:sz="4" w:space="0"/>
              <w:right w:val="single" w:color="auto" w:sz="4" w:space="0"/>
            </w:tcBorders>
            <w:vAlign w:val="center"/>
          </w:tcPr>
          <w:p w14:paraId="33804C24">
            <w:pPr>
              <w:rPr>
                <w:rFonts w:cs="Cambria"/>
              </w:rPr>
            </w:pPr>
            <w:r>
              <w:rPr>
                <w:rFonts w:hint="eastAsia" w:ascii="宋体" w:hAnsi="宋体"/>
                <w:sz w:val="18"/>
                <w:szCs w:val="18"/>
              </w:rPr>
              <w:t>2026/11/6</w:t>
            </w:r>
          </w:p>
        </w:tc>
        <w:tc>
          <w:tcPr>
            <w:tcW w:w="643" w:type="pct"/>
            <w:tcBorders>
              <w:top w:val="single" w:color="auto" w:sz="4" w:space="0"/>
              <w:left w:val="single" w:color="auto" w:sz="4" w:space="0"/>
              <w:bottom w:val="single" w:color="auto" w:sz="4" w:space="0"/>
              <w:right w:val="single" w:color="auto" w:sz="4" w:space="0"/>
            </w:tcBorders>
            <w:vAlign w:val="center"/>
          </w:tcPr>
          <w:p w14:paraId="5BF5CF4D">
            <w:pPr>
              <w:rPr>
                <w:rFonts w:cs="Cambria"/>
                <w:color w:val="000000" w:themeColor="text1"/>
                <w14:textFill>
                  <w14:solidFill>
                    <w14:schemeClr w14:val="tx1"/>
                  </w14:solidFill>
                </w14:textFill>
              </w:rPr>
            </w:pPr>
            <w:r>
              <w:rPr>
                <w:rFonts w:hint="eastAsia" w:ascii="宋体" w:hAnsi="宋体"/>
                <w:sz w:val="18"/>
                <w:szCs w:val="18"/>
              </w:rPr>
              <w:t>否</w:t>
            </w:r>
          </w:p>
        </w:tc>
      </w:tr>
      <w:tr w14:paraId="43F6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787A07BE">
            <w:pPr>
              <w:rPr>
                <w:rFonts w:cs="Cambria"/>
              </w:rPr>
            </w:pPr>
            <w:r>
              <w:rPr>
                <w:rFonts w:hint="eastAsia" w:ascii="宋体" w:hAnsi="宋体"/>
                <w:sz w:val="18"/>
                <w:szCs w:val="18"/>
              </w:rPr>
              <w:t>好当家集团有限公司、唐传勤、田锦霞、荣成市城市发展投资有限公司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7C87F65C">
            <w:pPr>
              <w:jc w:val="right"/>
              <w:rPr>
                <w:rFonts w:cs="Cambria"/>
              </w:rPr>
            </w:pPr>
            <w:r>
              <w:rPr>
                <w:rFonts w:hint="eastAsia" w:ascii="宋体" w:hAnsi="宋体"/>
                <w:sz w:val="18"/>
                <w:szCs w:val="18"/>
              </w:rPr>
              <w:t>57,500,000.00</w:t>
            </w:r>
          </w:p>
        </w:tc>
        <w:tc>
          <w:tcPr>
            <w:tcW w:w="857" w:type="pct"/>
            <w:tcBorders>
              <w:top w:val="single" w:color="auto" w:sz="4" w:space="0"/>
              <w:left w:val="single" w:color="auto" w:sz="4" w:space="0"/>
              <w:bottom w:val="single" w:color="auto" w:sz="4" w:space="0"/>
              <w:right w:val="single" w:color="auto" w:sz="4" w:space="0"/>
            </w:tcBorders>
            <w:vAlign w:val="center"/>
          </w:tcPr>
          <w:p w14:paraId="07032ED2">
            <w:pPr>
              <w:rPr>
                <w:rFonts w:cs="Cambria"/>
              </w:rPr>
            </w:pPr>
            <w:r>
              <w:rPr>
                <w:rFonts w:hint="eastAsia" w:ascii="宋体" w:hAnsi="宋体"/>
                <w:sz w:val="18"/>
                <w:szCs w:val="18"/>
              </w:rPr>
              <w:t>2025/12/16</w:t>
            </w:r>
          </w:p>
        </w:tc>
        <w:tc>
          <w:tcPr>
            <w:tcW w:w="714" w:type="pct"/>
            <w:tcBorders>
              <w:top w:val="single" w:color="auto" w:sz="4" w:space="0"/>
              <w:left w:val="single" w:color="auto" w:sz="4" w:space="0"/>
              <w:bottom w:val="single" w:color="auto" w:sz="4" w:space="0"/>
              <w:right w:val="single" w:color="auto" w:sz="4" w:space="0"/>
            </w:tcBorders>
            <w:vAlign w:val="center"/>
          </w:tcPr>
          <w:p w14:paraId="2027EA75">
            <w:pPr>
              <w:rPr>
                <w:rFonts w:cs="Cambria"/>
              </w:rPr>
            </w:pPr>
            <w:r>
              <w:rPr>
                <w:rFonts w:hint="eastAsia" w:ascii="宋体" w:hAnsi="宋体"/>
                <w:sz w:val="18"/>
                <w:szCs w:val="18"/>
              </w:rPr>
              <w:t>2026/8/17</w:t>
            </w:r>
          </w:p>
        </w:tc>
        <w:tc>
          <w:tcPr>
            <w:tcW w:w="643" w:type="pct"/>
            <w:tcBorders>
              <w:top w:val="single" w:color="auto" w:sz="4" w:space="0"/>
              <w:left w:val="single" w:color="auto" w:sz="4" w:space="0"/>
              <w:bottom w:val="single" w:color="auto" w:sz="4" w:space="0"/>
              <w:right w:val="single" w:color="auto" w:sz="4" w:space="0"/>
            </w:tcBorders>
            <w:vAlign w:val="center"/>
          </w:tcPr>
          <w:p w14:paraId="365A5EE0">
            <w:pPr>
              <w:rPr>
                <w:rFonts w:cs="Cambria"/>
                <w:color w:val="000000" w:themeColor="text1"/>
                <w14:textFill>
                  <w14:solidFill>
                    <w14:schemeClr w14:val="tx1"/>
                  </w14:solidFill>
                </w14:textFill>
              </w:rPr>
            </w:pPr>
            <w:r>
              <w:rPr>
                <w:rFonts w:hint="eastAsia" w:ascii="宋体" w:hAnsi="宋体"/>
                <w:sz w:val="18"/>
                <w:szCs w:val="18"/>
              </w:rPr>
              <w:t>否</w:t>
            </w:r>
          </w:p>
        </w:tc>
      </w:tr>
      <w:tr w14:paraId="10DC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62761BF3">
            <w:pPr>
              <w:rPr>
                <w:rFonts w:cs="Cambria"/>
              </w:rPr>
            </w:pPr>
            <w:r>
              <w:rPr>
                <w:rFonts w:hint="eastAsia" w:ascii="宋体" w:hAnsi="宋体"/>
                <w:sz w:val="18"/>
                <w:szCs w:val="18"/>
              </w:rPr>
              <w:t>好当家集团有限公司、唐传勤、田锦霞、荣成市城市发展投资有限公司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681B1284">
            <w:pPr>
              <w:jc w:val="right"/>
              <w:rPr>
                <w:rFonts w:cs="Cambria"/>
              </w:rPr>
            </w:pPr>
            <w:r>
              <w:rPr>
                <w:rFonts w:hint="eastAsia" w:ascii="宋体" w:hAnsi="宋体"/>
                <w:sz w:val="18"/>
                <w:szCs w:val="18"/>
              </w:rPr>
              <w:t>45,000,000.00</w:t>
            </w:r>
          </w:p>
        </w:tc>
        <w:tc>
          <w:tcPr>
            <w:tcW w:w="857" w:type="pct"/>
            <w:tcBorders>
              <w:top w:val="single" w:color="auto" w:sz="4" w:space="0"/>
              <w:left w:val="single" w:color="auto" w:sz="4" w:space="0"/>
              <w:bottom w:val="single" w:color="auto" w:sz="4" w:space="0"/>
              <w:right w:val="single" w:color="auto" w:sz="4" w:space="0"/>
            </w:tcBorders>
            <w:vAlign w:val="center"/>
          </w:tcPr>
          <w:p w14:paraId="71A2389A">
            <w:pPr>
              <w:rPr>
                <w:rFonts w:cs="Cambria"/>
              </w:rPr>
            </w:pPr>
            <w:r>
              <w:rPr>
                <w:rFonts w:hint="eastAsia" w:ascii="宋体" w:hAnsi="宋体"/>
                <w:sz w:val="18"/>
                <w:szCs w:val="18"/>
              </w:rPr>
              <w:t>2025/12/23</w:t>
            </w:r>
          </w:p>
        </w:tc>
        <w:tc>
          <w:tcPr>
            <w:tcW w:w="714" w:type="pct"/>
            <w:tcBorders>
              <w:top w:val="single" w:color="auto" w:sz="4" w:space="0"/>
              <w:left w:val="single" w:color="auto" w:sz="4" w:space="0"/>
              <w:bottom w:val="single" w:color="auto" w:sz="4" w:space="0"/>
              <w:right w:val="single" w:color="auto" w:sz="4" w:space="0"/>
            </w:tcBorders>
            <w:vAlign w:val="center"/>
          </w:tcPr>
          <w:p w14:paraId="7762664D">
            <w:pPr>
              <w:rPr>
                <w:rFonts w:cs="Cambria"/>
              </w:rPr>
            </w:pPr>
            <w:r>
              <w:rPr>
                <w:rFonts w:hint="eastAsia" w:ascii="宋体" w:hAnsi="宋体"/>
                <w:sz w:val="18"/>
                <w:szCs w:val="18"/>
              </w:rPr>
              <w:t>2026/12/22</w:t>
            </w:r>
          </w:p>
        </w:tc>
        <w:tc>
          <w:tcPr>
            <w:tcW w:w="643" w:type="pct"/>
            <w:tcBorders>
              <w:top w:val="single" w:color="auto" w:sz="4" w:space="0"/>
              <w:left w:val="single" w:color="auto" w:sz="4" w:space="0"/>
              <w:bottom w:val="single" w:color="auto" w:sz="4" w:space="0"/>
              <w:right w:val="single" w:color="auto" w:sz="4" w:space="0"/>
            </w:tcBorders>
            <w:vAlign w:val="center"/>
          </w:tcPr>
          <w:p w14:paraId="14FB89A4">
            <w:pPr>
              <w:rPr>
                <w:rFonts w:cs="Cambria"/>
                <w:color w:val="000000" w:themeColor="text1"/>
                <w14:textFill>
                  <w14:solidFill>
                    <w14:schemeClr w14:val="tx1"/>
                  </w14:solidFill>
                </w14:textFill>
              </w:rPr>
            </w:pPr>
            <w:r>
              <w:rPr>
                <w:rFonts w:hint="eastAsia" w:ascii="宋体" w:hAnsi="宋体"/>
                <w:sz w:val="18"/>
                <w:szCs w:val="18"/>
              </w:rPr>
              <w:t>否</w:t>
            </w:r>
          </w:p>
        </w:tc>
      </w:tr>
      <w:tr w14:paraId="1B3D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67F1E249">
            <w:pPr>
              <w:rPr>
                <w:rFonts w:cs="Cambria"/>
              </w:rPr>
            </w:pPr>
            <w:r>
              <w:rPr>
                <w:rFonts w:hint="eastAsia" w:ascii="宋体" w:hAnsi="宋体"/>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4582FF08">
            <w:pPr>
              <w:jc w:val="right"/>
              <w:rPr>
                <w:rFonts w:cs="Cambria"/>
              </w:rPr>
            </w:pPr>
            <w:r>
              <w:rPr>
                <w:rFonts w:hint="eastAsia" w:ascii="宋体" w:hAnsi="宋体"/>
                <w:sz w:val="18"/>
                <w:szCs w:val="18"/>
              </w:rPr>
              <w:t>30,000,000.00</w:t>
            </w:r>
          </w:p>
        </w:tc>
        <w:tc>
          <w:tcPr>
            <w:tcW w:w="857" w:type="pct"/>
            <w:tcBorders>
              <w:top w:val="single" w:color="auto" w:sz="4" w:space="0"/>
              <w:left w:val="single" w:color="auto" w:sz="4" w:space="0"/>
              <w:bottom w:val="single" w:color="auto" w:sz="4" w:space="0"/>
              <w:right w:val="single" w:color="auto" w:sz="4" w:space="0"/>
            </w:tcBorders>
            <w:vAlign w:val="center"/>
          </w:tcPr>
          <w:p w14:paraId="4D7EC10E">
            <w:pPr>
              <w:rPr>
                <w:rFonts w:cs="Cambria"/>
              </w:rPr>
            </w:pPr>
            <w:r>
              <w:rPr>
                <w:rFonts w:hint="eastAsia" w:ascii="宋体" w:hAnsi="宋体"/>
                <w:sz w:val="18"/>
                <w:szCs w:val="18"/>
              </w:rPr>
              <w:t>2025/12/29</w:t>
            </w:r>
          </w:p>
        </w:tc>
        <w:tc>
          <w:tcPr>
            <w:tcW w:w="714" w:type="pct"/>
            <w:tcBorders>
              <w:top w:val="single" w:color="auto" w:sz="4" w:space="0"/>
              <w:left w:val="single" w:color="auto" w:sz="4" w:space="0"/>
              <w:bottom w:val="single" w:color="auto" w:sz="4" w:space="0"/>
              <w:right w:val="single" w:color="auto" w:sz="4" w:space="0"/>
            </w:tcBorders>
            <w:vAlign w:val="center"/>
          </w:tcPr>
          <w:p w14:paraId="12C10630">
            <w:pPr>
              <w:rPr>
                <w:rFonts w:cs="Cambria"/>
              </w:rPr>
            </w:pPr>
            <w:r>
              <w:rPr>
                <w:rFonts w:hint="eastAsia" w:ascii="宋体" w:hAnsi="宋体"/>
                <w:sz w:val="18"/>
                <w:szCs w:val="18"/>
              </w:rPr>
              <w:t>2026/12/29</w:t>
            </w:r>
          </w:p>
        </w:tc>
        <w:tc>
          <w:tcPr>
            <w:tcW w:w="643" w:type="pct"/>
            <w:tcBorders>
              <w:top w:val="single" w:color="auto" w:sz="4" w:space="0"/>
              <w:left w:val="single" w:color="auto" w:sz="4" w:space="0"/>
              <w:bottom w:val="single" w:color="auto" w:sz="4" w:space="0"/>
              <w:right w:val="single" w:color="auto" w:sz="4" w:space="0"/>
            </w:tcBorders>
            <w:vAlign w:val="center"/>
          </w:tcPr>
          <w:p w14:paraId="12171996">
            <w:pPr>
              <w:rPr>
                <w:rFonts w:cs="Cambria"/>
                <w:color w:val="000000" w:themeColor="text1"/>
                <w14:textFill>
                  <w14:solidFill>
                    <w14:schemeClr w14:val="tx1"/>
                  </w14:solidFill>
                </w14:textFill>
              </w:rPr>
            </w:pPr>
            <w:r>
              <w:rPr>
                <w:rFonts w:hint="eastAsia" w:ascii="宋体" w:hAnsi="宋体"/>
                <w:sz w:val="18"/>
                <w:szCs w:val="18"/>
              </w:rPr>
              <w:t>否</w:t>
            </w:r>
          </w:p>
        </w:tc>
      </w:tr>
      <w:tr w14:paraId="7C1E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17F9F8DF">
            <w:pPr>
              <w:rPr>
                <w:rFonts w:cs="Cambria"/>
              </w:rPr>
            </w:pPr>
            <w:r>
              <w:rPr>
                <w:rFonts w:hint="eastAsia" w:ascii="宋体" w:hAnsi="宋体"/>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6BCD4C37">
            <w:pPr>
              <w:jc w:val="right"/>
              <w:rPr>
                <w:rFonts w:cs="Cambria"/>
              </w:rPr>
            </w:pPr>
            <w:r>
              <w:rPr>
                <w:rFonts w:hint="eastAsia" w:ascii="宋体" w:hAnsi="宋体"/>
                <w:sz w:val="18"/>
                <w:szCs w:val="18"/>
              </w:rPr>
              <w:t>50,000,000.00</w:t>
            </w:r>
          </w:p>
        </w:tc>
        <w:tc>
          <w:tcPr>
            <w:tcW w:w="857" w:type="pct"/>
            <w:tcBorders>
              <w:top w:val="single" w:color="auto" w:sz="4" w:space="0"/>
              <w:left w:val="single" w:color="auto" w:sz="4" w:space="0"/>
              <w:bottom w:val="single" w:color="auto" w:sz="4" w:space="0"/>
              <w:right w:val="single" w:color="auto" w:sz="4" w:space="0"/>
            </w:tcBorders>
            <w:vAlign w:val="center"/>
          </w:tcPr>
          <w:p w14:paraId="3DF1C594">
            <w:pPr>
              <w:rPr>
                <w:rFonts w:cs="Cambria"/>
              </w:rPr>
            </w:pPr>
            <w:r>
              <w:rPr>
                <w:rFonts w:hint="eastAsia" w:ascii="宋体" w:hAnsi="宋体"/>
                <w:sz w:val="18"/>
                <w:szCs w:val="18"/>
              </w:rPr>
              <w:t>2025/6/4</w:t>
            </w:r>
          </w:p>
        </w:tc>
        <w:tc>
          <w:tcPr>
            <w:tcW w:w="714" w:type="pct"/>
            <w:tcBorders>
              <w:top w:val="single" w:color="auto" w:sz="4" w:space="0"/>
              <w:left w:val="single" w:color="auto" w:sz="4" w:space="0"/>
              <w:bottom w:val="single" w:color="auto" w:sz="4" w:space="0"/>
              <w:right w:val="single" w:color="auto" w:sz="4" w:space="0"/>
            </w:tcBorders>
            <w:vAlign w:val="center"/>
          </w:tcPr>
          <w:p w14:paraId="7F35924F">
            <w:pPr>
              <w:rPr>
                <w:rFonts w:cs="Cambria"/>
              </w:rPr>
            </w:pPr>
            <w:r>
              <w:rPr>
                <w:rFonts w:hint="eastAsia" w:ascii="宋体" w:hAnsi="宋体"/>
                <w:sz w:val="18"/>
                <w:szCs w:val="18"/>
              </w:rPr>
              <w:t>2026/6/3</w:t>
            </w:r>
          </w:p>
        </w:tc>
        <w:tc>
          <w:tcPr>
            <w:tcW w:w="643" w:type="pct"/>
            <w:tcBorders>
              <w:top w:val="single" w:color="auto" w:sz="4" w:space="0"/>
              <w:left w:val="single" w:color="auto" w:sz="4" w:space="0"/>
              <w:bottom w:val="single" w:color="auto" w:sz="4" w:space="0"/>
              <w:right w:val="single" w:color="auto" w:sz="4" w:space="0"/>
            </w:tcBorders>
            <w:vAlign w:val="center"/>
          </w:tcPr>
          <w:p w14:paraId="453ACED8">
            <w:pPr>
              <w:rPr>
                <w:rFonts w:cs="Cambria"/>
                <w:color w:val="000000" w:themeColor="text1"/>
                <w14:textFill>
                  <w14:solidFill>
                    <w14:schemeClr w14:val="tx1"/>
                  </w14:solidFill>
                </w14:textFill>
              </w:rPr>
            </w:pPr>
            <w:r>
              <w:rPr>
                <w:rFonts w:hint="eastAsia" w:ascii="宋体" w:hAnsi="宋体"/>
                <w:sz w:val="18"/>
                <w:szCs w:val="18"/>
              </w:rPr>
              <w:t>是</w:t>
            </w:r>
          </w:p>
        </w:tc>
      </w:tr>
      <w:tr w14:paraId="7F55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282EBD57">
            <w:pPr>
              <w:rPr>
                <w:rFonts w:cs="Cambria"/>
              </w:rPr>
            </w:pPr>
            <w:r>
              <w:rPr>
                <w:rFonts w:hint="eastAsia" w:ascii="宋体" w:hAnsi="宋体"/>
                <w:sz w:val="18"/>
                <w:szCs w:val="18"/>
              </w:rPr>
              <w:t>山东好当家海洋发展股份有限公司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24226B2E">
            <w:pPr>
              <w:jc w:val="right"/>
              <w:rPr>
                <w:rFonts w:cs="Cambria"/>
              </w:rPr>
            </w:pPr>
            <w:r>
              <w:rPr>
                <w:rFonts w:hint="eastAsia" w:ascii="宋体" w:hAnsi="宋体"/>
                <w:sz w:val="18"/>
                <w:szCs w:val="18"/>
              </w:rPr>
              <w:t>10,000,000.00</w:t>
            </w:r>
          </w:p>
        </w:tc>
        <w:tc>
          <w:tcPr>
            <w:tcW w:w="857" w:type="pct"/>
            <w:tcBorders>
              <w:top w:val="single" w:color="auto" w:sz="4" w:space="0"/>
              <w:left w:val="single" w:color="auto" w:sz="4" w:space="0"/>
              <w:bottom w:val="single" w:color="auto" w:sz="4" w:space="0"/>
              <w:right w:val="single" w:color="auto" w:sz="4" w:space="0"/>
            </w:tcBorders>
            <w:vAlign w:val="center"/>
          </w:tcPr>
          <w:p w14:paraId="57767C81">
            <w:pPr>
              <w:rPr>
                <w:rFonts w:cs="Cambria"/>
              </w:rPr>
            </w:pPr>
            <w:r>
              <w:rPr>
                <w:rFonts w:hint="eastAsia" w:ascii="宋体" w:hAnsi="宋体"/>
                <w:sz w:val="18"/>
                <w:szCs w:val="18"/>
              </w:rPr>
              <w:t>2025/9/3</w:t>
            </w:r>
          </w:p>
        </w:tc>
        <w:tc>
          <w:tcPr>
            <w:tcW w:w="714" w:type="pct"/>
            <w:tcBorders>
              <w:top w:val="single" w:color="auto" w:sz="4" w:space="0"/>
              <w:left w:val="single" w:color="auto" w:sz="4" w:space="0"/>
              <w:bottom w:val="single" w:color="auto" w:sz="4" w:space="0"/>
              <w:right w:val="single" w:color="auto" w:sz="4" w:space="0"/>
            </w:tcBorders>
            <w:vAlign w:val="center"/>
          </w:tcPr>
          <w:p w14:paraId="779354ED">
            <w:pPr>
              <w:rPr>
                <w:rFonts w:cs="Cambria"/>
              </w:rPr>
            </w:pPr>
            <w:r>
              <w:rPr>
                <w:rFonts w:hint="eastAsia" w:ascii="宋体" w:hAnsi="宋体"/>
                <w:sz w:val="18"/>
                <w:szCs w:val="18"/>
              </w:rPr>
              <w:t>2026/9/2</w:t>
            </w:r>
          </w:p>
        </w:tc>
        <w:tc>
          <w:tcPr>
            <w:tcW w:w="643" w:type="pct"/>
            <w:tcBorders>
              <w:top w:val="single" w:color="auto" w:sz="4" w:space="0"/>
              <w:left w:val="single" w:color="auto" w:sz="4" w:space="0"/>
              <w:bottom w:val="single" w:color="auto" w:sz="4" w:space="0"/>
              <w:right w:val="single" w:color="auto" w:sz="4" w:space="0"/>
            </w:tcBorders>
            <w:vAlign w:val="center"/>
          </w:tcPr>
          <w:p w14:paraId="6A2DEFCC">
            <w:pPr>
              <w:rPr>
                <w:rFonts w:cs="Cambria"/>
                <w:color w:val="000000" w:themeColor="text1"/>
                <w14:textFill>
                  <w14:solidFill>
                    <w14:schemeClr w14:val="tx1"/>
                  </w14:solidFill>
                </w14:textFill>
              </w:rPr>
            </w:pPr>
            <w:r>
              <w:rPr>
                <w:rFonts w:hint="eastAsia" w:ascii="宋体" w:hAnsi="宋体"/>
                <w:sz w:val="18"/>
                <w:szCs w:val="18"/>
              </w:rPr>
              <w:t>否</w:t>
            </w:r>
          </w:p>
        </w:tc>
      </w:tr>
      <w:tr w14:paraId="1CE1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59C0E93E">
            <w:pPr>
              <w:rPr>
                <w:rFonts w:cs="Cambria"/>
              </w:rPr>
            </w:pPr>
            <w:r>
              <w:rPr>
                <w:rFonts w:hint="eastAsia" w:ascii="宋体" w:hAnsi="宋体"/>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58C0E5FC">
            <w:pPr>
              <w:jc w:val="right"/>
              <w:rPr>
                <w:rFonts w:cs="Cambria"/>
              </w:rPr>
            </w:pPr>
            <w:r>
              <w:rPr>
                <w:rFonts w:hint="eastAsia" w:ascii="宋体" w:hAnsi="宋体"/>
                <w:sz w:val="18"/>
                <w:szCs w:val="18"/>
              </w:rPr>
              <w:t>49,000,000.00</w:t>
            </w:r>
          </w:p>
        </w:tc>
        <w:tc>
          <w:tcPr>
            <w:tcW w:w="857" w:type="pct"/>
            <w:tcBorders>
              <w:top w:val="single" w:color="auto" w:sz="4" w:space="0"/>
              <w:left w:val="single" w:color="auto" w:sz="4" w:space="0"/>
              <w:bottom w:val="single" w:color="auto" w:sz="4" w:space="0"/>
              <w:right w:val="single" w:color="auto" w:sz="4" w:space="0"/>
            </w:tcBorders>
            <w:vAlign w:val="center"/>
          </w:tcPr>
          <w:p w14:paraId="7B43D50D">
            <w:pPr>
              <w:rPr>
                <w:rFonts w:cs="Cambria"/>
              </w:rPr>
            </w:pPr>
            <w:r>
              <w:rPr>
                <w:rFonts w:hint="eastAsia" w:ascii="宋体" w:hAnsi="宋体"/>
                <w:sz w:val="18"/>
                <w:szCs w:val="18"/>
              </w:rPr>
              <w:t>2025/3/26</w:t>
            </w:r>
          </w:p>
        </w:tc>
        <w:tc>
          <w:tcPr>
            <w:tcW w:w="714" w:type="pct"/>
            <w:tcBorders>
              <w:top w:val="single" w:color="auto" w:sz="4" w:space="0"/>
              <w:left w:val="single" w:color="auto" w:sz="4" w:space="0"/>
              <w:bottom w:val="single" w:color="auto" w:sz="4" w:space="0"/>
              <w:right w:val="single" w:color="auto" w:sz="4" w:space="0"/>
            </w:tcBorders>
            <w:vAlign w:val="center"/>
          </w:tcPr>
          <w:p w14:paraId="74515220">
            <w:pPr>
              <w:rPr>
                <w:rFonts w:cs="Cambria"/>
              </w:rPr>
            </w:pPr>
            <w:r>
              <w:rPr>
                <w:rFonts w:hint="eastAsia" w:ascii="宋体" w:hAnsi="宋体"/>
                <w:sz w:val="18"/>
                <w:szCs w:val="18"/>
              </w:rPr>
              <w:t>2028/3/26</w:t>
            </w:r>
          </w:p>
        </w:tc>
        <w:tc>
          <w:tcPr>
            <w:tcW w:w="643" w:type="pct"/>
            <w:tcBorders>
              <w:top w:val="single" w:color="auto" w:sz="4" w:space="0"/>
              <w:left w:val="single" w:color="auto" w:sz="4" w:space="0"/>
              <w:bottom w:val="single" w:color="auto" w:sz="4" w:space="0"/>
              <w:right w:val="single" w:color="auto" w:sz="4" w:space="0"/>
            </w:tcBorders>
            <w:vAlign w:val="center"/>
          </w:tcPr>
          <w:p w14:paraId="6EC87FF2">
            <w:pPr>
              <w:rPr>
                <w:rFonts w:cs="Cambria"/>
                <w:color w:val="000000" w:themeColor="text1"/>
                <w14:textFill>
                  <w14:solidFill>
                    <w14:schemeClr w14:val="tx1"/>
                  </w14:solidFill>
                </w14:textFill>
              </w:rPr>
            </w:pPr>
            <w:r>
              <w:rPr>
                <w:rFonts w:hint="eastAsia" w:ascii="宋体" w:hAnsi="宋体"/>
                <w:sz w:val="18"/>
                <w:szCs w:val="18"/>
              </w:rPr>
              <w:t>否</w:t>
            </w:r>
          </w:p>
        </w:tc>
      </w:tr>
      <w:tr w14:paraId="5A3A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0CCDCC34">
            <w:pPr>
              <w:rPr>
                <w:rFonts w:cs="Cambria"/>
              </w:rPr>
            </w:pPr>
            <w:r>
              <w:rPr>
                <w:rFonts w:hint="eastAsia" w:ascii="宋体" w:hAnsi="宋体"/>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4E1F974B">
            <w:pPr>
              <w:jc w:val="right"/>
              <w:rPr>
                <w:rFonts w:cs="Cambria"/>
              </w:rPr>
            </w:pPr>
            <w:r>
              <w:rPr>
                <w:rFonts w:hint="eastAsia" w:ascii="宋体" w:hAnsi="宋体"/>
                <w:sz w:val="18"/>
                <w:szCs w:val="18"/>
              </w:rPr>
              <w:t>21,000,000.00</w:t>
            </w:r>
          </w:p>
        </w:tc>
        <w:tc>
          <w:tcPr>
            <w:tcW w:w="857" w:type="pct"/>
            <w:tcBorders>
              <w:top w:val="single" w:color="auto" w:sz="4" w:space="0"/>
              <w:left w:val="single" w:color="auto" w:sz="4" w:space="0"/>
              <w:bottom w:val="single" w:color="auto" w:sz="4" w:space="0"/>
              <w:right w:val="single" w:color="auto" w:sz="4" w:space="0"/>
            </w:tcBorders>
            <w:vAlign w:val="center"/>
          </w:tcPr>
          <w:p w14:paraId="2CFBFF20">
            <w:pPr>
              <w:rPr>
                <w:rFonts w:cs="Cambria"/>
              </w:rPr>
            </w:pPr>
            <w:r>
              <w:rPr>
                <w:rFonts w:hint="eastAsia" w:ascii="宋体" w:hAnsi="宋体"/>
                <w:sz w:val="18"/>
                <w:szCs w:val="18"/>
              </w:rPr>
              <w:t>2025/4/8</w:t>
            </w:r>
          </w:p>
        </w:tc>
        <w:tc>
          <w:tcPr>
            <w:tcW w:w="714" w:type="pct"/>
            <w:tcBorders>
              <w:top w:val="single" w:color="auto" w:sz="4" w:space="0"/>
              <w:left w:val="single" w:color="auto" w:sz="4" w:space="0"/>
              <w:bottom w:val="single" w:color="auto" w:sz="4" w:space="0"/>
              <w:right w:val="single" w:color="auto" w:sz="4" w:space="0"/>
            </w:tcBorders>
            <w:vAlign w:val="center"/>
          </w:tcPr>
          <w:p w14:paraId="5A773129">
            <w:pPr>
              <w:rPr>
                <w:rFonts w:cs="Cambria"/>
              </w:rPr>
            </w:pPr>
            <w:r>
              <w:rPr>
                <w:rFonts w:hint="eastAsia" w:ascii="宋体" w:hAnsi="宋体"/>
                <w:sz w:val="18"/>
                <w:szCs w:val="18"/>
              </w:rPr>
              <w:t>2028/4/8</w:t>
            </w:r>
          </w:p>
        </w:tc>
        <w:tc>
          <w:tcPr>
            <w:tcW w:w="643" w:type="pct"/>
            <w:tcBorders>
              <w:top w:val="single" w:color="auto" w:sz="4" w:space="0"/>
              <w:left w:val="single" w:color="auto" w:sz="4" w:space="0"/>
              <w:bottom w:val="single" w:color="auto" w:sz="4" w:space="0"/>
              <w:right w:val="single" w:color="auto" w:sz="4" w:space="0"/>
            </w:tcBorders>
            <w:vAlign w:val="center"/>
          </w:tcPr>
          <w:p w14:paraId="29A5D720">
            <w:pPr>
              <w:rPr>
                <w:rFonts w:cs="Cambria"/>
                <w:color w:val="000000" w:themeColor="text1"/>
                <w14:textFill>
                  <w14:solidFill>
                    <w14:schemeClr w14:val="tx1"/>
                  </w14:solidFill>
                </w14:textFill>
              </w:rPr>
            </w:pPr>
            <w:r>
              <w:rPr>
                <w:rFonts w:hint="eastAsia" w:ascii="宋体" w:hAnsi="宋体"/>
                <w:sz w:val="18"/>
                <w:szCs w:val="18"/>
              </w:rPr>
              <w:t>否</w:t>
            </w:r>
          </w:p>
        </w:tc>
      </w:tr>
      <w:tr w14:paraId="79B7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177E2EDE">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5ED8B517">
            <w:pPr>
              <w:jc w:val="right"/>
              <w:rPr>
                <w:rFonts w:cs="Cambria"/>
              </w:rPr>
            </w:pPr>
            <w:r>
              <w:rPr>
                <w:rFonts w:hint="eastAsia" w:ascii="宋体" w:hAnsi="宋体"/>
                <w:sz w:val="18"/>
                <w:szCs w:val="18"/>
              </w:rPr>
              <w:t>37,142,857.14</w:t>
            </w:r>
          </w:p>
        </w:tc>
        <w:tc>
          <w:tcPr>
            <w:tcW w:w="857" w:type="pct"/>
            <w:tcBorders>
              <w:top w:val="single" w:color="auto" w:sz="4" w:space="0"/>
              <w:left w:val="single" w:color="auto" w:sz="4" w:space="0"/>
              <w:bottom w:val="single" w:color="auto" w:sz="4" w:space="0"/>
              <w:right w:val="single" w:color="auto" w:sz="4" w:space="0"/>
            </w:tcBorders>
            <w:vAlign w:val="center"/>
          </w:tcPr>
          <w:p w14:paraId="3AA82745">
            <w:pPr>
              <w:rPr>
                <w:rFonts w:cs="Cambria"/>
              </w:rPr>
            </w:pPr>
            <w:r>
              <w:rPr>
                <w:rFonts w:hint="eastAsia" w:ascii="宋体" w:hAnsi="宋体"/>
                <w:sz w:val="18"/>
                <w:szCs w:val="18"/>
              </w:rPr>
              <w:t>2024/2/6</w:t>
            </w:r>
          </w:p>
        </w:tc>
        <w:tc>
          <w:tcPr>
            <w:tcW w:w="714" w:type="pct"/>
            <w:tcBorders>
              <w:top w:val="single" w:color="auto" w:sz="4" w:space="0"/>
              <w:left w:val="single" w:color="auto" w:sz="4" w:space="0"/>
              <w:bottom w:val="single" w:color="auto" w:sz="4" w:space="0"/>
              <w:right w:val="single" w:color="auto" w:sz="4" w:space="0"/>
            </w:tcBorders>
            <w:vAlign w:val="center"/>
          </w:tcPr>
          <w:p w14:paraId="5FF75BD4">
            <w:pPr>
              <w:rPr>
                <w:rFonts w:cs="Cambria"/>
              </w:rPr>
            </w:pPr>
            <w:r>
              <w:rPr>
                <w:rFonts w:hint="eastAsia" w:ascii="宋体" w:hAnsi="宋体"/>
                <w:sz w:val="18"/>
                <w:szCs w:val="18"/>
              </w:rPr>
              <w:t>2032/1/5</w:t>
            </w:r>
          </w:p>
        </w:tc>
        <w:tc>
          <w:tcPr>
            <w:tcW w:w="643" w:type="pct"/>
            <w:tcBorders>
              <w:top w:val="single" w:color="auto" w:sz="4" w:space="0"/>
              <w:left w:val="single" w:color="auto" w:sz="4" w:space="0"/>
              <w:bottom w:val="single" w:color="auto" w:sz="4" w:space="0"/>
              <w:right w:val="single" w:color="auto" w:sz="4" w:space="0"/>
            </w:tcBorders>
            <w:vAlign w:val="center"/>
          </w:tcPr>
          <w:p w14:paraId="2F8AC515">
            <w:pPr>
              <w:rPr>
                <w:rFonts w:cs="Cambria"/>
                <w:color w:val="000000" w:themeColor="text1"/>
                <w14:textFill>
                  <w14:solidFill>
                    <w14:schemeClr w14:val="tx1"/>
                  </w14:solidFill>
                </w14:textFill>
              </w:rPr>
            </w:pPr>
            <w:r>
              <w:rPr>
                <w:rFonts w:hint="eastAsia" w:ascii="宋体" w:hAnsi="宋体"/>
                <w:sz w:val="18"/>
                <w:szCs w:val="18"/>
              </w:rPr>
              <w:t>否</w:t>
            </w:r>
          </w:p>
        </w:tc>
      </w:tr>
      <w:tr w14:paraId="7816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12BAF6EF">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299FD7D0">
            <w:pPr>
              <w:jc w:val="right"/>
              <w:rPr>
                <w:rFonts w:cs="Cambria"/>
              </w:rPr>
            </w:pPr>
            <w:r>
              <w:rPr>
                <w:rFonts w:hint="eastAsia" w:ascii="宋体" w:hAnsi="宋体"/>
                <w:sz w:val="18"/>
                <w:szCs w:val="18"/>
              </w:rPr>
              <w:t>18,571,428.57</w:t>
            </w:r>
          </w:p>
        </w:tc>
        <w:tc>
          <w:tcPr>
            <w:tcW w:w="857" w:type="pct"/>
            <w:tcBorders>
              <w:top w:val="single" w:color="auto" w:sz="4" w:space="0"/>
              <w:left w:val="single" w:color="auto" w:sz="4" w:space="0"/>
              <w:bottom w:val="single" w:color="auto" w:sz="4" w:space="0"/>
              <w:right w:val="single" w:color="auto" w:sz="4" w:space="0"/>
            </w:tcBorders>
            <w:vAlign w:val="center"/>
          </w:tcPr>
          <w:p w14:paraId="742707BF">
            <w:pPr>
              <w:rPr>
                <w:rFonts w:cs="Cambria"/>
              </w:rPr>
            </w:pPr>
            <w:r>
              <w:rPr>
                <w:rFonts w:hint="eastAsia" w:ascii="宋体" w:hAnsi="宋体"/>
                <w:sz w:val="18"/>
                <w:szCs w:val="18"/>
              </w:rPr>
              <w:t>2024/6/29</w:t>
            </w:r>
          </w:p>
        </w:tc>
        <w:tc>
          <w:tcPr>
            <w:tcW w:w="714" w:type="pct"/>
            <w:tcBorders>
              <w:top w:val="single" w:color="auto" w:sz="4" w:space="0"/>
              <w:left w:val="single" w:color="auto" w:sz="4" w:space="0"/>
              <w:bottom w:val="single" w:color="auto" w:sz="4" w:space="0"/>
              <w:right w:val="single" w:color="auto" w:sz="4" w:space="0"/>
            </w:tcBorders>
            <w:vAlign w:val="center"/>
          </w:tcPr>
          <w:p w14:paraId="18612BA4">
            <w:pPr>
              <w:rPr>
                <w:rFonts w:cs="Cambria"/>
              </w:rPr>
            </w:pPr>
            <w:r>
              <w:rPr>
                <w:rFonts w:hint="eastAsia" w:ascii="宋体" w:hAnsi="宋体"/>
                <w:sz w:val="18"/>
                <w:szCs w:val="18"/>
              </w:rPr>
              <w:t>2032/1/5</w:t>
            </w:r>
          </w:p>
        </w:tc>
        <w:tc>
          <w:tcPr>
            <w:tcW w:w="643" w:type="pct"/>
            <w:tcBorders>
              <w:top w:val="single" w:color="auto" w:sz="4" w:space="0"/>
              <w:left w:val="single" w:color="auto" w:sz="4" w:space="0"/>
              <w:bottom w:val="single" w:color="auto" w:sz="4" w:space="0"/>
              <w:right w:val="single" w:color="auto" w:sz="4" w:space="0"/>
            </w:tcBorders>
            <w:vAlign w:val="center"/>
          </w:tcPr>
          <w:p w14:paraId="62D3F2CA">
            <w:pPr>
              <w:rPr>
                <w:rFonts w:cs="Cambria"/>
                <w:color w:val="000000" w:themeColor="text1"/>
                <w14:textFill>
                  <w14:solidFill>
                    <w14:schemeClr w14:val="tx1"/>
                  </w14:solidFill>
                </w14:textFill>
              </w:rPr>
            </w:pPr>
            <w:r>
              <w:rPr>
                <w:rFonts w:hint="eastAsia" w:ascii="宋体" w:hAnsi="宋体"/>
                <w:sz w:val="18"/>
                <w:szCs w:val="18"/>
              </w:rPr>
              <w:t>否</w:t>
            </w:r>
          </w:p>
        </w:tc>
      </w:tr>
      <w:tr w14:paraId="7D5A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0440D548">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4642EC6B">
            <w:pPr>
              <w:jc w:val="right"/>
              <w:rPr>
                <w:rFonts w:cs="Cambria"/>
              </w:rPr>
            </w:pPr>
            <w:r>
              <w:rPr>
                <w:rFonts w:hint="eastAsia" w:ascii="宋体" w:hAnsi="宋体"/>
                <w:sz w:val="18"/>
                <w:szCs w:val="18"/>
              </w:rPr>
              <w:t>44,500,000.00</w:t>
            </w:r>
          </w:p>
        </w:tc>
        <w:tc>
          <w:tcPr>
            <w:tcW w:w="857" w:type="pct"/>
            <w:tcBorders>
              <w:top w:val="single" w:color="auto" w:sz="4" w:space="0"/>
              <w:left w:val="single" w:color="auto" w:sz="4" w:space="0"/>
              <w:bottom w:val="single" w:color="auto" w:sz="4" w:space="0"/>
              <w:right w:val="single" w:color="auto" w:sz="4" w:space="0"/>
            </w:tcBorders>
            <w:vAlign w:val="center"/>
          </w:tcPr>
          <w:p w14:paraId="1074A6BB">
            <w:pPr>
              <w:rPr>
                <w:rFonts w:cs="Cambria"/>
              </w:rPr>
            </w:pPr>
            <w:r>
              <w:rPr>
                <w:rFonts w:hint="eastAsia" w:ascii="宋体" w:hAnsi="宋体"/>
                <w:sz w:val="18"/>
                <w:szCs w:val="18"/>
              </w:rPr>
              <w:t>2025/1/24</w:t>
            </w:r>
          </w:p>
        </w:tc>
        <w:tc>
          <w:tcPr>
            <w:tcW w:w="714" w:type="pct"/>
            <w:tcBorders>
              <w:top w:val="single" w:color="auto" w:sz="4" w:space="0"/>
              <w:left w:val="single" w:color="auto" w:sz="4" w:space="0"/>
              <w:bottom w:val="single" w:color="auto" w:sz="4" w:space="0"/>
              <w:right w:val="single" w:color="auto" w:sz="4" w:space="0"/>
            </w:tcBorders>
            <w:vAlign w:val="center"/>
          </w:tcPr>
          <w:p w14:paraId="662D0FF3">
            <w:pPr>
              <w:rPr>
                <w:rFonts w:cs="Cambria"/>
              </w:rPr>
            </w:pPr>
            <w:r>
              <w:rPr>
                <w:rFonts w:hint="eastAsia" w:ascii="宋体" w:hAnsi="宋体"/>
                <w:sz w:val="18"/>
                <w:szCs w:val="18"/>
              </w:rPr>
              <w:t>2032/1/5</w:t>
            </w:r>
          </w:p>
        </w:tc>
        <w:tc>
          <w:tcPr>
            <w:tcW w:w="643" w:type="pct"/>
            <w:tcBorders>
              <w:top w:val="single" w:color="auto" w:sz="4" w:space="0"/>
              <w:left w:val="single" w:color="auto" w:sz="4" w:space="0"/>
              <w:bottom w:val="single" w:color="auto" w:sz="4" w:space="0"/>
              <w:right w:val="single" w:color="auto" w:sz="4" w:space="0"/>
            </w:tcBorders>
            <w:vAlign w:val="center"/>
          </w:tcPr>
          <w:p w14:paraId="69C9CA12">
            <w:pPr>
              <w:rPr>
                <w:rFonts w:cs="Cambria"/>
                <w:color w:val="000000" w:themeColor="text1"/>
                <w14:textFill>
                  <w14:solidFill>
                    <w14:schemeClr w14:val="tx1"/>
                  </w14:solidFill>
                </w14:textFill>
              </w:rPr>
            </w:pPr>
            <w:r>
              <w:rPr>
                <w:rFonts w:hint="eastAsia" w:ascii="宋体" w:hAnsi="宋体"/>
                <w:sz w:val="18"/>
                <w:szCs w:val="18"/>
              </w:rPr>
              <w:t>否</w:t>
            </w:r>
          </w:p>
        </w:tc>
      </w:tr>
      <w:tr w14:paraId="1E2F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025F1FC5">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165282A4">
            <w:pPr>
              <w:jc w:val="right"/>
              <w:rPr>
                <w:rFonts w:cs="Cambria"/>
              </w:rPr>
            </w:pPr>
            <w:r>
              <w:rPr>
                <w:rFonts w:hint="eastAsia" w:ascii="宋体" w:hAnsi="宋体"/>
                <w:sz w:val="18"/>
                <w:szCs w:val="18"/>
              </w:rPr>
              <w:t>32,535,681.11</w:t>
            </w:r>
          </w:p>
        </w:tc>
        <w:tc>
          <w:tcPr>
            <w:tcW w:w="857" w:type="pct"/>
            <w:tcBorders>
              <w:top w:val="single" w:color="auto" w:sz="4" w:space="0"/>
              <w:left w:val="single" w:color="auto" w:sz="4" w:space="0"/>
              <w:bottom w:val="single" w:color="auto" w:sz="4" w:space="0"/>
              <w:right w:val="single" w:color="auto" w:sz="4" w:space="0"/>
            </w:tcBorders>
            <w:vAlign w:val="center"/>
          </w:tcPr>
          <w:p w14:paraId="766A7849">
            <w:pPr>
              <w:rPr>
                <w:rFonts w:cs="Cambria"/>
              </w:rPr>
            </w:pPr>
            <w:r>
              <w:rPr>
                <w:rFonts w:hint="eastAsia" w:ascii="宋体" w:hAnsi="宋体"/>
                <w:sz w:val="18"/>
                <w:szCs w:val="18"/>
              </w:rPr>
              <w:t>2024/1/24</w:t>
            </w:r>
          </w:p>
        </w:tc>
        <w:tc>
          <w:tcPr>
            <w:tcW w:w="714" w:type="pct"/>
            <w:tcBorders>
              <w:top w:val="single" w:color="auto" w:sz="4" w:space="0"/>
              <w:left w:val="single" w:color="auto" w:sz="4" w:space="0"/>
              <w:bottom w:val="single" w:color="auto" w:sz="4" w:space="0"/>
              <w:right w:val="single" w:color="auto" w:sz="4" w:space="0"/>
            </w:tcBorders>
            <w:vAlign w:val="center"/>
          </w:tcPr>
          <w:p w14:paraId="6D958DE4">
            <w:pPr>
              <w:rPr>
                <w:rFonts w:cs="Cambria"/>
              </w:rPr>
            </w:pPr>
            <w:r>
              <w:rPr>
                <w:rFonts w:hint="eastAsia" w:ascii="宋体" w:hAnsi="宋体"/>
                <w:sz w:val="18"/>
                <w:szCs w:val="18"/>
              </w:rPr>
              <w:t>2032/1/5</w:t>
            </w:r>
          </w:p>
        </w:tc>
        <w:tc>
          <w:tcPr>
            <w:tcW w:w="643" w:type="pct"/>
            <w:tcBorders>
              <w:top w:val="single" w:color="auto" w:sz="4" w:space="0"/>
              <w:left w:val="single" w:color="auto" w:sz="4" w:space="0"/>
              <w:bottom w:val="single" w:color="auto" w:sz="4" w:space="0"/>
              <w:right w:val="single" w:color="auto" w:sz="4" w:space="0"/>
            </w:tcBorders>
            <w:vAlign w:val="center"/>
          </w:tcPr>
          <w:p w14:paraId="1D7149F5">
            <w:pPr>
              <w:rPr>
                <w:rFonts w:cs="Cambria"/>
                <w:color w:val="000000" w:themeColor="text1"/>
                <w14:textFill>
                  <w14:solidFill>
                    <w14:schemeClr w14:val="tx1"/>
                  </w14:solidFill>
                </w14:textFill>
              </w:rPr>
            </w:pPr>
            <w:r>
              <w:rPr>
                <w:rFonts w:hint="eastAsia" w:ascii="宋体" w:hAnsi="宋体"/>
                <w:sz w:val="18"/>
                <w:szCs w:val="18"/>
              </w:rPr>
              <w:t>否</w:t>
            </w:r>
          </w:p>
        </w:tc>
      </w:tr>
      <w:tr w14:paraId="7FE1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0CF8ED14">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44ABD316">
            <w:pPr>
              <w:jc w:val="right"/>
              <w:rPr>
                <w:rFonts w:cs="Cambria"/>
              </w:rPr>
            </w:pPr>
            <w:r>
              <w:rPr>
                <w:rFonts w:hint="eastAsia" w:ascii="宋体" w:hAnsi="宋体"/>
                <w:sz w:val="18"/>
                <w:szCs w:val="18"/>
              </w:rPr>
              <w:t>20,000,000.00</w:t>
            </w:r>
          </w:p>
        </w:tc>
        <w:tc>
          <w:tcPr>
            <w:tcW w:w="857" w:type="pct"/>
            <w:tcBorders>
              <w:top w:val="single" w:color="auto" w:sz="4" w:space="0"/>
              <w:left w:val="single" w:color="auto" w:sz="4" w:space="0"/>
              <w:bottom w:val="single" w:color="auto" w:sz="4" w:space="0"/>
              <w:right w:val="single" w:color="auto" w:sz="4" w:space="0"/>
            </w:tcBorders>
            <w:vAlign w:val="center"/>
          </w:tcPr>
          <w:p w14:paraId="0ECDBD06">
            <w:pPr>
              <w:rPr>
                <w:rFonts w:cs="Cambria"/>
              </w:rPr>
            </w:pPr>
            <w:r>
              <w:rPr>
                <w:rFonts w:hint="eastAsia" w:ascii="宋体" w:hAnsi="宋体"/>
                <w:sz w:val="18"/>
                <w:szCs w:val="18"/>
              </w:rPr>
              <w:t>2024/6/28</w:t>
            </w:r>
          </w:p>
        </w:tc>
        <w:tc>
          <w:tcPr>
            <w:tcW w:w="714" w:type="pct"/>
            <w:tcBorders>
              <w:top w:val="single" w:color="auto" w:sz="4" w:space="0"/>
              <w:left w:val="single" w:color="auto" w:sz="4" w:space="0"/>
              <w:bottom w:val="single" w:color="auto" w:sz="4" w:space="0"/>
              <w:right w:val="single" w:color="auto" w:sz="4" w:space="0"/>
            </w:tcBorders>
            <w:vAlign w:val="center"/>
          </w:tcPr>
          <w:p w14:paraId="05D95458">
            <w:pPr>
              <w:rPr>
                <w:rFonts w:cs="Cambria"/>
              </w:rPr>
            </w:pPr>
            <w:r>
              <w:rPr>
                <w:rFonts w:hint="eastAsia" w:ascii="宋体" w:hAnsi="宋体"/>
                <w:sz w:val="18"/>
                <w:szCs w:val="18"/>
              </w:rPr>
              <w:t>2032/1/5</w:t>
            </w:r>
          </w:p>
        </w:tc>
        <w:tc>
          <w:tcPr>
            <w:tcW w:w="643" w:type="pct"/>
            <w:tcBorders>
              <w:top w:val="single" w:color="auto" w:sz="4" w:space="0"/>
              <w:left w:val="single" w:color="auto" w:sz="4" w:space="0"/>
              <w:bottom w:val="single" w:color="auto" w:sz="4" w:space="0"/>
              <w:right w:val="single" w:color="auto" w:sz="4" w:space="0"/>
            </w:tcBorders>
            <w:vAlign w:val="center"/>
          </w:tcPr>
          <w:p w14:paraId="7D855A2E">
            <w:pPr>
              <w:rPr>
                <w:rFonts w:cs="Cambria"/>
                <w:color w:val="000000" w:themeColor="text1"/>
                <w14:textFill>
                  <w14:solidFill>
                    <w14:schemeClr w14:val="tx1"/>
                  </w14:solidFill>
                </w14:textFill>
              </w:rPr>
            </w:pPr>
            <w:r>
              <w:rPr>
                <w:rFonts w:hint="eastAsia" w:ascii="宋体" w:hAnsi="宋体"/>
                <w:sz w:val="18"/>
                <w:szCs w:val="18"/>
              </w:rPr>
              <w:t>否</w:t>
            </w:r>
          </w:p>
        </w:tc>
      </w:tr>
      <w:tr w14:paraId="3501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0A50B8D0">
            <w:pPr>
              <w:rPr>
                <w:rFonts w:cs="Cambria"/>
              </w:rPr>
            </w:pPr>
            <w:r>
              <w:rPr>
                <w:rFonts w:hint="eastAsia" w:ascii="宋体" w:hAnsi="宋体"/>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55CEBCE2">
            <w:pPr>
              <w:jc w:val="right"/>
              <w:rPr>
                <w:rFonts w:cs="Cambria"/>
              </w:rPr>
            </w:pPr>
            <w:r>
              <w:rPr>
                <w:rFonts w:hint="eastAsia" w:ascii="宋体" w:hAnsi="宋体"/>
                <w:sz w:val="18"/>
                <w:szCs w:val="18"/>
              </w:rPr>
              <w:t>44,500,000.00</w:t>
            </w:r>
          </w:p>
        </w:tc>
        <w:tc>
          <w:tcPr>
            <w:tcW w:w="857" w:type="pct"/>
            <w:tcBorders>
              <w:top w:val="single" w:color="auto" w:sz="4" w:space="0"/>
              <w:left w:val="single" w:color="auto" w:sz="4" w:space="0"/>
              <w:bottom w:val="single" w:color="auto" w:sz="4" w:space="0"/>
              <w:right w:val="single" w:color="auto" w:sz="4" w:space="0"/>
            </w:tcBorders>
            <w:vAlign w:val="center"/>
          </w:tcPr>
          <w:p w14:paraId="77310237">
            <w:pPr>
              <w:rPr>
                <w:rFonts w:cs="Cambria"/>
              </w:rPr>
            </w:pPr>
            <w:r>
              <w:rPr>
                <w:rFonts w:hint="eastAsia" w:ascii="宋体" w:hAnsi="宋体"/>
                <w:sz w:val="18"/>
                <w:szCs w:val="18"/>
              </w:rPr>
              <w:t>2025/1/21</w:t>
            </w:r>
          </w:p>
        </w:tc>
        <w:tc>
          <w:tcPr>
            <w:tcW w:w="714" w:type="pct"/>
            <w:tcBorders>
              <w:top w:val="single" w:color="auto" w:sz="4" w:space="0"/>
              <w:left w:val="single" w:color="auto" w:sz="4" w:space="0"/>
              <w:bottom w:val="single" w:color="auto" w:sz="4" w:space="0"/>
              <w:right w:val="single" w:color="auto" w:sz="4" w:space="0"/>
            </w:tcBorders>
            <w:vAlign w:val="center"/>
          </w:tcPr>
          <w:p w14:paraId="2E2EE933">
            <w:pPr>
              <w:rPr>
                <w:rFonts w:cs="Cambria"/>
              </w:rPr>
            </w:pPr>
            <w:r>
              <w:rPr>
                <w:rFonts w:hint="eastAsia" w:ascii="宋体" w:hAnsi="宋体"/>
                <w:sz w:val="18"/>
                <w:szCs w:val="18"/>
              </w:rPr>
              <w:t>2032/1/5</w:t>
            </w:r>
          </w:p>
        </w:tc>
        <w:tc>
          <w:tcPr>
            <w:tcW w:w="643" w:type="pct"/>
            <w:tcBorders>
              <w:top w:val="single" w:color="auto" w:sz="4" w:space="0"/>
              <w:left w:val="single" w:color="auto" w:sz="4" w:space="0"/>
              <w:bottom w:val="single" w:color="auto" w:sz="4" w:space="0"/>
              <w:right w:val="single" w:color="auto" w:sz="4" w:space="0"/>
            </w:tcBorders>
            <w:vAlign w:val="center"/>
          </w:tcPr>
          <w:p w14:paraId="58B50EAF">
            <w:pPr>
              <w:rPr>
                <w:rFonts w:cs="Cambria"/>
                <w:color w:val="000000" w:themeColor="text1"/>
                <w14:textFill>
                  <w14:solidFill>
                    <w14:schemeClr w14:val="tx1"/>
                  </w14:solidFill>
                </w14:textFill>
              </w:rPr>
            </w:pPr>
            <w:r>
              <w:rPr>
                <w:rFonts w:hint="eastAsia" w:ascii="宋体" w:hAnsi="宋体"/>
                <w:sz w:val="18"/>
                <w:szCs w:val="18"/>
              </w:rPr>
              <w:t>否</w:t>
            </w:r>
          </w:p>
        </w:tc>
      </w:tr>
      <w:tr w14:paraId="56CF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0C618DDC">
            <w:pPr>
              <w:rPr>
                <w:rFonts w:cs="Cambria"/>
              </w:rPr>
            </w:pPr>
            <w:r>
              <w:rPr>
                <w:rFonts w:hint="eastAsia" w:ascii="宋体" w:hAnsi="宋体"/>
                <w:sz w:val="18"/>
                <w:szCs w:val="18"/>
              </w:rPr>
              <w:t>好当家集团有限公司、唐传勤、邱海峰、销售公司、海普盾</w:t>
            </w:r>
          </w:p>
        </w:tc>
        <w:tc>
          <w:tcPr>
            <w:tcW w:w="857" w:type="pct"/>
            <w:tcBorders>
              <w:top w:val="single" w:color="auto" w:sz="4" w:space="0"/>
              <w:left w:val="single" w:color="auto" w:sz="4" w:space="0"/>
              <w:bottom w:val="single" w:color="auto" w:sz="4" w:space="0"/>
              <w:right w:val="single" w:color="auto" w:sz="4" w:space="0"/>
            </w:tcBorders>
            <w:vAlign w:val="center"/>
          </w:tcPr>
          <w:p w14:paraId="158BE47A">
            <w:pPr>
              <w:jc w:val="right"/>
              <w:rPr>
                <w:rFonts w:cs="Cambria"/>
              </w:rPr>
            </w:pPr>
            <w:r>
              <w:rPr>
                <w:rFonts w:hint="eastAsia" w:ascii="宋体" w:hAnsi="宋体"/>
                <w:sz w:val="18"/>
                <w:szCs w:val="18"/>
              </w:rPr>
              <w:t>19,200,000.00</w:t>
            </w:r>
          </w:p>
        </w:tc>
        <w:tc>
          <w:tcPr>
            <w:tcW w:w="857" w:type="pct"/>
            <w:tcBorders>
              <w:top w:val="single" w:color="auto" w:sz="4" w:space="0"/>
              <w:left w:val="single" w:color="auto" w:sz="4" w:space="0"/>
              <w:bottom w:val="single" w:color="auto" w:sz="4" w:space="0"/>
              <w:right w:val="single" w:color="auto" w:sz="4" w:space="0"/>
            </w:tcBorders>
            <w:vAlign w:val="center"/>
          </w:tcPr>
          <w:p w14:paraId="32C8CE99">
            <w:pPr>
              <w:rPr>
                <w:rFonts w:cs="Cambria"/>
              </w:rPr>
            </w:pPr>
            <w:r>
              <w:rPr>
                <w:rFonts w:hint="eastAsia" w:ascii="宋体" w:hAnsi="宋体"/>
                <w:sz w:val="18"/>
                <w:szCs w:val="18"/>
              </w:rPr>
              <w:t>2023/6/28</w:t>
            </w:r>
          </w:p>
        </w:tc>
        <w:tc>
          <w:tcPr>
            <w:tcW w:w="714" w:type="pct"/>
            <w:tcBorders>
              <w:top w:val="single" w:color="auto" w:sz="4" w:space="0"/>
              <w:left w:val="single" w:color="auto" w:sz="4" w:space="0"/>
              <w:bottom w:val="single" w:color="auto" w:sz="4" w:space="0"/>
              <w:right w:val="single" w:color="auto" w:sz="4" w:space="0"/>
            </w:tcBorders>
            <w:vAlign w:val="center"/>
          </w:tcPr>
          <w:p w14:paraId="5CAA98D9">
            <w:pPr>
              <w:rPr>
                <w:rFonts w:cs="Cambria"/>
              </w:rPr>
            </w:pPr>
            <w:r>
              <w:rPr>
                <w:rFonts w:hint="eastAsia" w:ascii="宋体" w:hAnsi="宋体"/>
                <w:sz w:val="18"/>
                <w:szCs w:val="18"/>
              </w:rPr>
              <w:t>2026/6/25</w:t>
            </w:r>
          </w:p>
        </w:tc>
        <w:tc>
          <w:tcPr>
            <w:tcW w:w="643" w:type="pct"/>
            <w:tcBorders>
              <w:top w:val="single" w:color="auto" w:sz="4" w:space="0"/>
              <w:left w:val="single" w:color="auto" w:sz="4" w:space="0"/>
              <w:bottom w:val="single" w:color="auto" w:sz="4" w:space="0"/>
              <w:right w:val="single" w:color="auto" w:sz="4" w:space="0"/>
            </w:tcBorders>
            <w:vAlign w:val="center"/>
          </w:tcPr>
          <w:p w14:paraId="17B6B1CC">
            <w:pPr>
              <w:rPr>
                <w:rFonts w:cs="Cambria"/>
                <w:color w:val="000000" w:themeColor="text1"/>
                <w14:textFill>
                  <w14:solidFill>
                    <w14:schemeClr w14:val="tx1"/>
                  </w14:solidFill>
                </w14:textFill>
              </w:rPr>
            </w:pPr>
            <w:r>
              <w:rPr>
                <w:rFonts w:hint="eastAsia"/>
              </w:rPr>
              <w:t>是</w:t>
            </w:r>
          </w:p>
        </w:tc>
      </w:tr>
      <w:tr w14:paraId="312C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77539256">
            <w:pPr>
              <w:rPr>
                <w:rFonts w:cs="Cambria"/>
              </w:rPr>
            </w:pPr>
            <w:r>
              <w:rPr>
                <w:rFonts w:hint="eastAsia" w:ascii="宋体" w:hAnsi="宋体"/>
                <w:sz w:val="18"/>
                <w:szCs w:val="18"/>
              </w:rPr>
              <w:t>好当家集团有限公司、唐传勤、邱海峰、销售公司、海普盾</w:t>
            </w:r>
          </w:p>
        </w:tc>
        <w:tc>
          <w:tcPr>
            <w:tcW w:w="857" w:type="pct"/>
            <w:tcBorders>
              <w:top w:val="single" w:color="auto" w:sz="4" w:space="0"/>
              <w:left w:val="single" w:color="auto" w:sz="4" w:space="0"/>
              <w:bottom w:val="single" w:color="auto" w:sz="4" w:space="0"/>
              <w:right w:val="single" w:color="auto" w:sz="4" w:space="0"/>
            </w:tcBorders>
            <w:vAlign w:val="center"/>
          </w:tcPr>
          <w:p w14:paraId="5C21F65C">
            <w:pPr>
              <w:jc w:val="right"/>
              <w:rPr>
                <w:rFonts w:cs="Cambria"/>
              </w:rPr>
            </w:pPr>
            <w:r>
              <w:rPr>
                <w:rFonts w:hint="eastAsia" w:ascii="宋体" w:hAnsi="宋体"/>
                <w:sz w:val="18"/>
                <w:szCs w:val="18"/>
              </w:rPr>
              <w:t>4,800,000.00</w:t>
            </w:r>
          </w:p>
        </w:tc>
        <w:tc>
          <w:tcPr>
            <w:tcW w:w="857" w:type="pct"/>
            <w:tcBorders>
              <w:top w:val="single" w:color="auto" w:sz="4" w:space="0"/>
              <w:left w:val="single" w:color="auto" w:sz="4" w:space="0"/>
              <w:bottom w:val="single" w:color="auto" w:sz="4" w:space="0"/>
              <w:right w:val="single" w:color="auto" w:sz="4" w:space="0"/>
            </w:tcBorders>
            <w:vAlign w:val="center"/>
          </w:tcPr>
          <w:p w14:paraId="1DF510D9">
            <w:pPr>
              <w:rPr>
                <w:rFonts w:cs="Cambria"/>
              </w:rPr>
            </w:pPr>
            <w:r>
              <w:rPr>
                <w:rFonts w:hint="eastAsia" w:ascii="宋体" w:hAnsi="宋体"/>
                <w:sz w:val="18"/>
                <w:szCs w:val="18"/>
              </w:rPr>
              <w:t>2023/6/28</w:t>
            </w:r>
          </w:p>
        </w:tc>
        <w:tc>
          <w:tcPr>
            <w:tcW w:w="714" w:type="pct"/>
            <w:tcBorders>
              <w:top w:val="single" w:color="auto" w:sz="4" w:space="0"/>
              <w:left w:val="single" w:color="auto" w:sz="4" w:space="0"/>
              <w:bottom w:val="single" w:color="auto" w:sz="4" w:space="0"/>
              <w:right w:val="single" w:color="auto" w:sz="4" w:space="0"/>
            </w:tcBorders>
            <w:vAlign w:val="center"/>
          </w:tcPr>
          <w:p w14:paraId="5D941E1C">
            <w:pPr>
              <w:rPr>
                <w:rFonts w:cs="Cambria"/>
              </w:rPr>
            </w:pPr>
            <w:r>
              <w:rPr>
                <w:rFonts w:hint="eastAsia" w:ascii="宋体" w:hAnsi="宋体" w:cs="Cambria"/>
                <w:sz w:val="18"/>
                <w:szCs w:val="18"/>
              </w:rPr>
              <w:t>2026/6/25</w:t>
            </w:r>
          </w:p>
        </w:tc>
        <w:tc>
          <w:tcPr>
            <w:tcW w:w="643" w:type="pct"/>
            <w:tcBorders>
              <w:top w:val="single" w:color="auto" w:sz="4" w:space="0"/>
              <w:left w:val="single" w:color="auto" w:sz="4" w:space="0"/>
              <w:bottom w:val="single" w:color="auto" w:sz="4" w:space="0"/>
              <w:right w:val="single" w:color="auto" w:sz="4" w:space="0"/>
            </w:tcBorders>
            <w:vAlign w:val="center"/>
          </w:tcPr>
          <w:p w14:paraId="16540ABD">
            <w:pPr>
              <w:rPr>
                <w:rFonts w:cs="Cambria"/>
                <w:color w:val="000000" w:themeColor="text1"/>
                <w14:textFill>
                  <w14:solidFill>
                    <w14:schemeClr w14:val="tx1"/>
                  </w14:solidFill>
                </w14:textFill>
              </w:rPr>
            </w:pPr>
            <w:r>
              <w:rPr>
                <w:rFonts w:hint="eastAsia"/>
              </w:rPr>
              <w:t>是</w:t>
            </w:r>
          </w:p>
        </w:tc>
      </w:tr>
      <w:tr w14:paraId="678D7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1D99AB72">
            <w:pPr>
              <w:rPr>
                <w:rFonts w:cs="Cambria"/>
              </w:rPr>
            </w:pPr>
            <w:r>
              <w:rPr>
                <w:rFonts w:hint="eastAsia" w:ascii="宋体" w:hAnsi="宋体"/>
                <w:color w:val="000000"/>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2B5306FD">
            <w:pPr>
              <w:jc w:val="right"/>
              <w:rPr>
                <w:rFonts w:cs="Cambria"/>
              </w:rPr>
            </w:pPr>
            <w:r>
              <w:rPr>
                <w:rFonts w:hint="eastAsia"/>
                <w:color w:val="000000"/>
                <w:sz w:val="18"/>
                <w:szCs w:val="18"/>
              </w:rPr>
              <w:t>23,000,000.00</w:t>
            </w:r>
          </w:p>
        </w:tc>
        <w:tc>
          <w:tcPr>
            <w:tcW w:w="857" w:type="pct"/>
            <w:tcBorders>
              <w:top w:val="single" w:color="auto" w:sz="4" w:space="0"/>
              <w:left w:val="single" w:color="auto" w:sz="4" w:space="0"/>
              <w:bottom w:val="single" w:color="auto" w:sz="4" w:space="0"/>
              <w:right w:val="single" w:color="auto" w:sz="4" w:space="0"/>
            </w:tcBorders>
            <w:vAlign w:val="center"/>
          </w:tcPr>
          <w:p w14:paraId="2B3FD1D5">
            <w:pPr>
              <w:rPr>
                <w:rFonts w:cs="Cambria"/>
              </w:rPr>
            </w:pPr>
            <w:r>
              <w:rPr>
                <w:rFonts w:hint="eastAsia"/>
                <w:color w:val="000000"/>
                <w:sz w:val="18"/>
                <w:szCs w:val="18"/>
              </w:rPr>
              <w:t>2025/7/18</w:t>
            </w:r>
          </w:p>
        </w:tc>
        <w:tc>
          <w:tcPr>
            <w:tcW w:w="714" w:type="pct"/>
            <w:tcBorders>
              <w:top w:val="single" w:color="auto" w:sz="4" w:space="0"/>
              <w:left w:val="single" w:color="auto" w:sz="4" w:space="0"/>
              <w:bottom w:val="single" w:color="auto" w:sz="4" w:space="0"/>
              <w:right w:val="single" w:color="auto" w:sz="4" w:space="0"/>
            </w:tcBorders>
            <w:vAlign w:val="center"/>
          </w:tcPr>
          <w:p w14:paraId="4A619B84">
            <w:pPr>
              <w:rPr>
                <w:rFonts w:cs="Cambria"/>
              </w:rPr>
            </w:pPr>
            <w:r>
              <w:rPr>
                <w:rFonts w:hint="eastAsia"/>
                <w:color w:val="000000"/>
                <w:sz w:val="18"/>
                <w:szCs w:val="18"/>
              </w:rPr>
              <w:t>2026/1/18</w:t>
            </w:r>
          </w:p>
        </w:tc>
        <w:tc>
          <w:tcPr>
            <w:tcW w:w="643" w:type="pct"/>
            <w:tcBorders>
              <w:top w:val="single" w:color="auto" w:sz="4" w:space="0"/>
              <w:left w:val="single" w:color="auto" w:sz="4" w:space="0"/>
              <w:bottom w:val="single" w:color="auto" w:sz="4" w:space="0"/>
              <w:right w:val="single" w:color="auto" w:sz="4" w:space="0"/>
            </w:tcBorders>
          </w:tcPr>
          <w:p w14:paraId="1D97E734">
            <w:pPr>
              <w:rPr>
                <w:rFonts w:cs="Cambria"/>
                <w:color w:val="000000" w:themeColor="text1"/>
                <w14:textFill>
                  <w14:solidFill>
                    <w14:schemeClr w14:val="tx1"/>
                  </w14:solidFill>
                </w14:textFill>
              </w:rPr>
            </w:pPr>
            <w:r>
              <w:rPr>
                <w:rFonts w:hint="eastAsia"/>
              </w:rPr>
              <w:t>是</w:t>
            </w:r>
          </w:p>
        </w:tc>
      </w:tr>
      <w:tr w14:paraId="79A5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3A268942">
            <w:pPr>
              <w:rPr>
                <w:rFonts w:cs="Cambria"/>
              </w:rPr>
            </w:pPr>
            <w:r>
              <w:rPr>
                <w:rFonts w:hint="eastAsia" w:ascii="宋体" w:hAnsi="宋体"/>
                <w:color w:val="000000"/>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736C6D9C">
            <w:pPr>
              <w:jc w:val="right"/>
              <w:rPr>
                <w:rFonts w:cs="Cambria"/>
              </w:rPr>
            </w:pPr>
            <w:r>
              <w:rPr>
                <w:rFonts w:hint="eastAsia"/>
                <w:color w:val="000000"/>
                <w:sz w:val="18"/>
                <w:szCs w:val="18"/>
              </w:rPr>
              <w:t>30,000,000.00</w:t>
            </w:r>
          </w:p>
        </w:tc>
        <w:tc>
          <w:tcPr>
            <w:tcW w:w="857" w:type="pct"/>
            <w:tcBorders>
              <w:top w:val="single" w:color="auto" w:sz="4" w:space="0"/>
              <w:left w:val="single" w:color="auto" w:sz="4" w:space="0"/>
              <w:bottom w:val="single" w:color="auto" w:sz="4" w:space="0"/>
              <w:right w:val="single" w:color="auto" w:sz="4" w:space="0"/>
            </w:tcBorders>
            <w:vAlign w:val="center"/>
          </w:tcPr>
          <w:p w14:paraId="21B5E233">
            <w:pPr>
              <w:rPr>
                <w:rFonts w:cs="Cambria"/>
              </w:rPr>
            </w:pPr>
            <w:r>
              <w:rPr>
                <w:rFonts w:hint="eastAsia"/>
                <w:color w:val="000000"/>
                <w:sz w:val="18"/>
                <w:szCs w:val="18"/>
              </w:rPr>
              <w:t>2025/8/8</w:t>
            </w:r>
          </w:p>
        </w:tc>
        <w:tc>
          <w:tcPr>
            <w:tcW w:w="714" w:type="pct"/>
            <w:tcBorders>
              <w:top w:val="single" w:color="auto" w:sz="4" w:space="0"/>
              <w:left w:val="single" w:color="auto" w:sz="4" w:space="0"/>
              <w:bottom w:val="single" w:color="auto" w:sz="4" w:space="0"/>
              <w:right w:val="single" w:color="auto" w:sz="4" w:space="0"/>
            </w:tcBorders>
            <w:vAlign w:val="center"/>
          </w:tcPr>
          <w:p w14:paraId="59B380FD">
            <w:pPr>
              <w:rPr>
                <w:rFonts w:cs="Cambria"/>
              </w:rPr>
            </w:pPr>
            <w:r>
              <w:rPr>
                <w:rFonts w:hint="eastAsia"/>
                <w:color w:val="000000"/>
                <w:sz w:val="18"/>
                <w:szCs w:val="18"/>
              </w:rPr>
              <w:t>2026/2/8</w:t>
            </w:r>
          </w:p>
        </w:tc>
        <w:tc>
          <w:tcPr>
            <w:tcW w:w="643" w:type="pct"/>
            <w:tcBorders>
              <w:top w:val="single" w:color="auto" w:sz="4" w:space="0"/>
              <w:left w:val="single" w:color="auto" w:sz="4" w:space="0"/>
              <w:bottom w:val="single" w:color="auto" w:sz="4" w:space="0"/>
              <w:right w:val="single" w:color="auto" w:sz="4" w:space="0"/>
            </w:tcBorders>
          </w:tcPr>
          <w:p w14:paraId="5668482B">
            <w:pPr>
              <w:rPr>
                <w:rFonts w:cs="Cambria"/>
                <w:color w:val="000000" w:themeColor="text1"/>
                <w14:textFill>
                  <w14:solidFill>
                    <w14:schemeClr w14:val="tx1"/>
                  </w14:solidFill>
                </w14:textFill>
              </w:rPr>
            </w:pPr>
            <w:r>
              <w:rPr>
                <w:rFonts w:hint="eastAsia"/>
              </w:rPr>
              <w:t>是</w:t>
            </w:r>
          </w:p>
        </w:tc>
      </w:tr>
      <w:tr w14:paraId="0A05B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5E30E62C">
            <w:pPr>
              <w:rPr>
                <w:rFonts w:cs="Cambria"/>
              </w:rPr>
            </w:pPr>
            <w:r>
              <w:rPr>
                <w:rFonts w:hint="eastAsia" w:ascii="宋体" w:hAnsi="宋体"/>
                <w:color w:val="000000"/>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14FB0A51">
            <w:pPr>
              <w:jc w:val="right"/>
              <w:rPr>
                <w:rFonts w:cs="Cambria"/>
              </w:rPr>
            </w:pPr>
            <w:r>
              <w:rPr>
                <w:rFonts w:hint="eastAsia"/>
                <w:color w:val="000000"/>
                <w:sz w:val="18"/>
                <w:szCs w:val="18"/>
              </w:rPr>
              <w:t>40,000,000.00</w:t>
            </w:r>
          </w:p>
        </w:tc>
        <w:tc>
          <w:tcPr>
            <w:tcW w:w="857" w:type="pct"/>
            <w:tcBorders>
              <w:top w:val="single" w:color="auto" w:sz="4" w:space="0"/>
              <w:left w:val="single" w:color="auto" w:sz="4" w:space="0"/>
              <w:bottom w:val="single" w:color="auto" w:sz="4" w:space="0"/>
              <w:right w:val="single" w:color="auto" w:sz="4" w:space="0"/>
            </w:tcBorders>
            <w:vAlign w:val="center"/>
          </w:tcPr>
          <w:p w14:paraId="7DC78137">
            <w:pPr>
              <w:rPr>
                <w:rFonts w:cs="Cambria"/>
              </w:rPr>
            </w:pPr>
            <w:r>
              <w:rPr>
                <w:rFonts w:hint="eastAsia"/>
                <w:color w:val="000000"/>
                <w:sz w:val="18"/>
                <w:szCs w:val="18"/>
              </w:rPr>
              <w:t>2025/9/8</w:t>
            </w:r>
          </w:p>
        </w:tc>
        <w:tc>
          <w:tcPr>
            <w:tcW w:w="714" w:type="pct"/>
            <w:tcBorders>
              <w:top w:val="single" w:color="auto" w:sz="4" w:space="0"/>
              <w:left w:val="single" w:color="auto" w:sz="4" w:space="0"/>
              <w:bottom w:val="single" w:color="auto" w:sz="4" w:space="0"/>
              <w:right w:val="single" w:color="auto" w:sz="4" w:space="0"/>
            </w:tcBorders>
            <w:vAlign w:val="center"/>
          </w:tcPr>
          <w:p w14:paraId="69B5193C">
            <w:pPr>
              <w:rPr>
                <w:rFonts w:cs="Cambria"/>
              </w:rPr>
            </w:pPr>
            <w:r>
              <w:rPr>
                <w:rFonts w:hint="eastAsia"/>
                <w:color w:val="000000"/>
                <w:sz w:val="18"/>
                <w:szCs w:val="18"/>
              </w:rPr>
              <w:t>2026/3/8</w:t>
            </w:r>
          </w:p>
        </w:tc>
        <w:tc>
          <w:tcPr>
            <w:tcW w:w="643" w:type="pct"/>
            <w:tcBorders>
              <w:top w:val="single" w:color="auto" w:sz="4" w:space="0"/>
              <w:left w:val="single" w:color="auto" w:sz="4" w:space="0"/>
              <w:bottom w:val="single" w:color="auto" w:sz="4" w:space="0"/>
              <w:right w:val="single" w:color="auto" w:sz="4" w:space="0"/>
            </w:tcBorders>
          </w:tcPr>
          <w:p w14:paraId="6395EF2E">
            <w:pPr>
              <w:rPr>
                <w:rFonts w:cs="Cambria"/>
                <w:color w:val="000000" w:themeColor="text1"/>
                <w14:textFill>
                  <w14:solidFill>
                    <w14:schemeClr w14:val="tx1"/>
                  </w14:solidFill>
                </w14:textFill>
              </w:rPr>
            </w:pPr>
            <w:r>
              <w:rPr>
                <w:rFonts w:hint="eastAsia"/>
              </w:rPr>
              <w:t>是</w:t>
            </w:r>
          </w:p>
        </w:tc>
      </w:tr>
      <w:tr w14:paraId="2DD7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1836C024">
            <w:pPr>
              <w:rPr>
                <w:rFonts w:cs="Cambria"/>
              </w:rPr>
            </w:pPr>
            <w:r>
              <w:rPr>
                <w:rFonts w:hint="eastAsia" w:ascii="宋体" w:hAnsi="宋体"/>
                <w:color w:val="000000"/>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0775D9AE">
            <w:pPr>
              <w:jc w:val="right"/>
              <w:rPr>
                <w:rFonts w:cs="Cambria"/>
              </w:rPr>
            </w:pPr>
            <w:r>
              <w:rPr>
                <w:rFonts w:hint="eastAsia"/>
                <w:color w:val="000000"/>
                <w:sz w:val="18"/>
                <w:szCs w:val="18"/>
              </w:rPr>
              <w:t>60,000,000.00</w:t>
            </w:r>
          </w:p>
        </w:tc>
        <w:tc>
          <w:tcPr>
            <w:tcW w:w="857" w:type="pct"/>
            <w:tcBorders>
              <w:top w:val="single" w:color="auto" w:sz="4" w:space="0"/>
              <w:left w:val="single" w:color="auto" w:sz="4" w:space="0"/>
              <w:bottom w:val="single" w:color="auto" w:sz="4" w:space="0"/>
              <w:right w:val="single" w:color="auto" w:sz="4" w:space="0"/>
            </w:tcBorders>
            <w:vAlign w:val="center"/>
          </w:tcPr>
          <w:p w14:paraId="4F2CAF51">
            <w:pPr>
              <w:rPr>
                <w:rFonts w:cs="Cambria"/>
              </w:rPr>
            </w:pPr>
            <w:r>
              <w:rPr>
                <w:rFonts w:hint="eastAsia"/>
                <w:color w:val="000000"/>
                <w:sz w:val="18"/>
                <w:szCs w:val="18"/>
              </w:rPr>
              <w:t>2025/9/24</w:t>
            </w:r>
          </w:p>
        </w:tc>
        <w:tc>
          <w:tcPr>
            <w:tcW w:w="714" w:type="pct"/>
            <w:tcBorders>
              <w:top w:val="single" w:color="auto" w:sz="4" w:space="0"/>
              <w:left w:val="single" w:color="auto" w:sz="4" w:space="0"/>
              <w:bottom w:val="single" w:color="auto" w:sz="4" w:space="0"/>
              <w:right w:val="single" w:color="auto" w:sz="4" w:space="0"/>
            </w:tcBorders>
            <w:vAlign w:val="center"/>
          </w:tcPr>
          <w:p w14:paraId="004E9EBB">
            <w:pPr>
              <w:rPr>
                <w:rFonts w:cs="Cambria"/>
              </w:rPr>
            </w:pPr>
            <w:r>
              <w:rPr>
                <w:rFonts w:hint="eastAsia"/>
                <w:color w:val="000000"/>
                <w:sz w:val="18"/>
                <w:szCs w:val="18"/>
              </w:rPr>
              <w:t>2026/3/23</w:t>
            </w:r>
          </w:p>
        </w:tc>
        <w:tc>
          <w:tcPr>
            <w:tcW w:w="643" w:type="pct"/>
            <w:tcBorders>
              <w:top w:val="single" w:color="auto" w:sz="4" w:space="0"/>
              <w:left w:val="single" w:color="auto" w:sz="4" w:space="0"/>
              <w:bottom w:val="single" w:color="auto" w:sz="4" w:space="0"/>
              <w:right w:val="single" w:color="auto" w:sz="4" w:space="0"/>
            </w:tcBorders>
          </w:tcPr>
          <w:p w14:paraId="632C196A">
            <w:pPr>
              <w:rPr>
                <w:rFonts w:cs="Cambria"/>
                <w:color w:val="000000" w:themeColor="text1"/>
                <w14:textFill>
                  <w14:solidFill>
                    <w14:schemeClr w14:val="tx1"/>
                  </w14:solidFill>
                </w14:textFill>
              </w:rPr>
            </w:pPr>
            <w:r>
              <w:rPr>
                <w:rFonts w:hint="eastAsia"/>
              </w:rPr>
              <w:t>是</w:t>
            </w:r>
          </w:p>
        </w:tc>
      </w:tr>
      <w:tr w14:paraId="7792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4CFFB273">
            <w:pPr>
              <w:rPr>
                <w:rFonts w:cs="Cambria"/>
              </w:rPr>
            </w:pPr>
            <w:r>
              <w:rPr>
                <w:rFonts w:hint="eastAsia" w:ascii="宋体" w:hAnsi="宋体"/>
                <w:color w:val="000000"/>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086DB79A">
            <w:pPr>
              <w:jc w:val="right"/>
              <w:rPr>
                <w:rFonts w:cs="Cambria"/>
              </w:rPr>
            </w:pPr>
            <w:r>
              <w:rPr>
                <w:rFonts w:hint="eastAsia"/>
                <w:color w:val="000000"/>
                <w:sz w:val="18"/>
                <w:szCs w:val="18"/>
              </w:rPr>
              <w:t>62,000,000.00</w:t>
            </w:r>
          </w:p>
        </w:tc>
        <w:tc>
          <w:tcPr>
            <w:tcW w:w="857" w:type="pct"/>
            <w:tcBorders>
              <w:top w:val="single" w:color="auto" w:sz="4" w:space="0"/>
              <w:left w:val="single" w:color="auto" w:sz="4" w:space="0"/>
              <w:bottom w:val="single" w:color="auto" w:sz="4" w:space="0"/>
              <w:right w:val="single" w:color="auto" w:sz="4" w:space="0"/>
            </w:tcBorders>
            <w:vAlign w:val="center"/>
          </w:tcPr>
          <w:p w14:paraId="74294FE8">
            <w:pPr>
              <w:rPr>
                <w:rFonts w:cs="Cambria"/>
              </w:rPr>
            </w:pPr>
            <w:r>
              <w:rPr>
                <w:rFonts w:hint="eastAsia"/>
                <w:color w:val="000000"/>
                <w:sz w:val="18"/>
                <w:szCs w:val="18"/>
              </w:rPr>
              <w:t>2025/12/9</w:t>
            </w:r>
          </w:p>
        </w:tc>
        <w:tc>
          <w:tcPr>
            <w:tcW w:w="714" w:type="pct"/>
            <w:tcBorders>
              <w:top w:val="single" w:color="auto" w:sz="4" w:space="0"/>
              <w:left w:val="single" w:color="auto" w:sz="4" w:space="0"/>
              <w:bottom w:val="single" w:color="auto" w:sz="4" w:space="0"/>
              <w:right w:val="single" w:color="auto" w:sz="4" w:space="0"/>
            </w:tcBorders>
            <w:vAlign w:val="center"/>
          </w:tcPr>
          <w:p w14:paraId="6FEB63A0">
            <w:pPr>
              <w:rPr>
                <w:rFonts w:cs="Cambria"/>
              </w:rPr>
            </w:pPr>
            <w:r>
              <w:rPr>
                <w:rFonts w:hint="eastAsia"/>
                <w:color w:val="000000"/>
                <w:sz w:val="18"/>
                <w:szCs w:val="18"/>
              </w:rPr>
              <w:t>2026/6/9</w:t>
            </w:r>
          </w:p>
        </w:tc>
        <w:tc>
          <w:tcPr>
            <w:tcW w:w="643" w:type="pct"/>
            <w:tcBorders>
              <w:top w:val="single" w:color="auto" w:sz="4" w:space="0"/>
              <w:left w:val="single" w:color="auto" w:sz="4" w:space="0"/>
              <w:bottom w:val="single" w:color="auto" w:sz="4" w:space="0"/>
              <w:right w:val="single" w:color="auto" w:sz="4" w:space="0"/>
            </w:tcBorders>
          </w:tcPr>
          <w:p w14:paraId="3459E424">
            <w:pPr>
              <w:rPr>
                <w:rFonts w:cs="Cambria"/>
                <w:color w:val="000000" w:themeColor="text1"/>
                <w14:textFill>
                  <w14:solidFill>
                    <w14:schemeClr w14:val="tx1"/>
                  </w14:solidFill>
                </w14:textFill>
              </w:rPr>
            </w:pPr>
            <w:r>
              <w:rPr>
                <w:rFonts w:hint="eastAsia"/>
              </w:rPr>
              <w:t>是</w:t>
            </w:r>
          </w:p>
        </w:tc>
      </w:tr>
      <w:tr w14:paraId="7259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38E41EF1">
            <w:pPr>
              <w:rPr>
                <w:rFonts w:cs="Cambria"/>
              </w:rPr>
            </w:pPr>
            <w:r>
              <w:rPr>
                <w:rFonts w:hint="eastAsia" w:ascii="宋体" w:hAnsi="宋体"/>
                <w:color w:val="000000"/>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2283D899">
            <w:pPr>
              <w:jc w:val="right"/>
              <w:rPr>
                <w:rFonts w:cs="Cambria"/>
              </w:rPr>
            </w:pPr>
            <w:r>
              <w:rPr>
                <w:rFonts w:hint="eastAsia"/>
                <w:color w:val="000000"/>
                <w:sz w:val="18"/>
                <w:szCs w:val="18"/>
              </w:rPr>
              <w:t>58,000,000.00</w:t>
            </w:r>
          </w:p>
        </w:tc>
        <w:tc>
          <w:tcPr>
            <w:tcW w:w="857" w:type="pct"/>
            <w:tcBorders>
              <w:top w:val="single" w:color="auto" w:sz="4" w:space="0"/>
              <w:left w:val="single" w:color="auto" w:sz="4" w:space="0"/>
              <w:bottom w:val="single" w:color="auto" w:sz="4" w:space="0"/>
              <w:right w:val="single" w:color="auto" w:sz="4" w:space="0"/>
            </w:tcBorders>
            <w:vAlign w:val="center"/>
          </w:tcPr>
          <w:p w14:paraId="37191F47">
            <w:pPr>
              <w:rPr>
                <w:rFonts w:cs="Cambria"/>
              </w:rPr>
            </w:pPr>
            <w:r>
              <w:rPr>
                <w:rFonts w:hint="eastAsia"/>
                <w:color w:val="000000"/>
                <w:sz w:val="18"/>
                <w:szCs w:val="18"/>
              </w:rPr>
              <w:t>2025/12/11</w:t>
            </w:r>
          </w:p>
        </w:tc>
        <w:tc>
          <w:tcPr>
            <w:tcW w:w="714" w:type="pct"/>
            <w:tcBorders>
              <w:top w:val="single" w:color="auto" w:sz="4" w:space="0"/>
              <w:left w:val="single" w:color="auto" w:sz="4" w:space="0"/>
              <w:bottom w:val="single" w:color="auto" w:sz="4" w:space="0"/>
              <w:right w:val="single" w:color="auto" w:sz="4" w:space="0"/>
            </w:tcBorders>
            <w:vAlign w:val="center"/>
          </w:tcPr>
          <w:p w14:paraId="59D1BB63">
            <w:pPr>
              <w:rPr>
                <w:rFonts w:cs="Cambria"/>
              </w:rPr>
            </w:pPr>
            <w:r>
              <w:rPr>
                <w:rFonts w:hint="eastAsia"/>
                <w:color w:val="000000"/>
                <w:sz w:val="18"/>
                <w:szCs w:val="18"/>
              </w:rPr>
              <w:t>2026/6/10</w:t>
            </w:r>
          </w:p>
        </w:tc>
        <w:tc>
          <w:tcPr>
            <w:tcW w:w="643" w:type="pct"/>
            <w:tcBorders>
              <w:top w:val="single" w:color="auto" w:sz="4" w:space="0"/>
              <w:left w:val="single" w:color="auto" w:sz="4" w:space="0"/>
              <w:bottom w:val="single" w:color="auto" w:sz="4" w:space="0"/>
              <w:right w:val="single" w:color="auto" w:sz="4" w:space="0"/>
            </w:tcBorders>
          </w:tcPr>
          <w:p w14:paraId="5E0EA193">
            <w:pPr>
              <w:rPr>
                <w:rFonts w:cs="Cambria"/>
                <w:color w:val="000000" w:themeColor="text1"/>
                <w14:textFill>
                  <w14:solidFill>
                    <w14:schemeClr w14:val="tx1"/>
                  </w14:solidFill>
                </w14:textFill>
              </w:rPr>
            </w:pPr>
            <w:r>
              <w:rPr>
                <w:rFonts w:hint="eastAsia"/>
              </w:rPr>
              <w:t>是</w:t>
            </w:r>
          </w:p>
        </w:tc>
      </w:tr>
      <w:tr w14:paraId="62F6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6C6CA091">
            <w:pPr>
              <w:rPr>
                <w:rFonts w:cs="Cambria"/>
              </w:rPr>
            </w:pPr>
            <w:r>
              <w:rPr>
                <w:rFonts w:hint="eastAsia" w:ascii="宋体" w:hAnsi="宋体"/>
                <w:color w:val="000000"/>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1E58DD47">
            <w:pPr>
              <w:jc w:val="right"/>
              <w:rPr>
                <w:rFonts w:cs="Cambria"/>
              </w:rPr>
            </w:pPr>
            <w:r>
              <w:rPr>
                <w:rFonts w:hint="eastAsia"/>
                <w:color w:val="000000"/>
                <w:sz w:val="18"/>
                <w:szCs w:val="18"/>
              </w:rPr>
              <w:t>40,000,000.00</w:t>
            </w:r>
          </w:p>
        </w:tc>
        <w:tc>
          <w:tcPr>
            <w:tcW w:w="857" w:type="pct"/>
            <w:tcBorders>
              <w:top w:val="single" w:color="auto" w:sz="4" w:space="0"/>
              <w:left w:val="single" w:color="auto" w:sz="4" w:space="0"/>
              <w:bottom w:val="single" w:color="auto" w:sz="4" w:space="0"/>
              <w:right w:val="single" w:color="auto" w:sz="4" w:space="0"/>
            </w:tcBorders>
            <w:vAlign w:val="center"/>
          </w:tcPr>
          <w:p w14:paraId="522DB759">
            <w:pPr>
              <w:rPr>
                <w:rFonts w:cs="Cambria"/>
              </w:rPr>
            </w:pPr>
            <w:r>
              <w:rPr>
                <w:rFonts w:hint="eastAsia"/>
                <w:color w:val="000000"/>
                <w:sz w:val="18"/>
                <w:szCs w:val="18"/>
              </w:rPr>
              <w:t>2025/12/11</w:t>
            </w:r>
          </w:p>
        </w:tc>
        <w:tc>
          <w:tcPr>
            <w:tcW w:w="714" w:type="pct"/>
            <w:tcBorders>
              <w:top w:val="single" w:color="auto" w:sz="4" w:space="0"/>
              <w:left w:val="single" w:color="auto" w:sz="4" w:space="0"/>
              <w:bottom w:val="single" w:color="auto" w:sz="4" w:space="0"/>
              <w:right w:val="single" w:color="auto" w:sz="4" w:space="0"/>
            </w:tcBorders>
            <w:vAlign w:val="center"/>
          </w:tcPr>
          <w:p w14:paraId="3EDFA0E8">
            <w:pPr>
              <w:rPr>
                <w:rFonts w:cs="Cambria"/>
              </w:rPr>
            </w:pPr>
            <w:r>
              <w:rPr>
                <w:rFonts w:hint="eastAsia"/>
                <w:color w:val="000000"/>
                <w:sz w:val="18"/>
                <w:szCs w:val="18"/>
              </w:rPr>
              <w:t>2026/5/11</w:t>
            </w:r>
          </w:p>
        </w:tc>
        <w:tc>
          <w:tcPr>
            <w:tcW w:w="643" w:type="pct"/>
            <w:tcBorders>
              <w:top w:val="single" w:color="auto" w:sz="4" w:space="0"/>
              <w:left w:val="single" w:color="auto" w:sz="4" w:space="0"/>
              <w:bottom w:val="single" w:color="auto" w:sz="4" w:space="0"/>
              <w:right w:val="single" w:color="auto" w:sz="4" w:space="0"/>
            </w:tcBorders>
          </w:tcPr>
          <w:p w14:paraId="242CBA60">
            <w:pPr>
              <w:rPr>
                <w:rFonts w:cs="Cambria"/>
                <w:color w:val="000000" w:themeColor="text1"/>
                <w14:textFill>
                  <w14:solidFill>
                    <w14:schemeClr w14:val="tx1"/>
                  </w14:solidFill>
                </w14:textFill>
              </w:rPr>
            </w:pPr>
            <w:r>
              <w:rPr>
                <w:rFonts w:hint="eastAsia"/>
              </w:rPr>
              <w:t>是</w:t>
            </w:r>
          </w:p>
        </w:tc>
      </w:tr>
      <w:tr w14:paraId="012A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2FB307AF">
            <w:pPr>
              <w:rPr>
                <w:rFonts w:cs="Cambria"/>
              </w:rPr>
            </w:pPr>
            <w:bookmarkStart w:id="404" w:name="OLE_LINK15"/>
            <w:r>
              <w:rPr>
                <w:rFonts w:hint="eastAsia" w:ascii="宋体" w:hAnsi="宋体"/>
                <w:color w:val="000000"/>
                <w:sz w:val="18"/>
                <w:szCs w:val="18"/>
              </w:rPr>
              <w:t>山东好当家海洋发展股份有限公司</w:t>
            </w:r>
            <w:bookmarkEnd w:id="404"/>
          </w:p>
        </w:tc>
        <w:tc>
          <w:tcPr>
            <w:tcW w:w="857" w:type="pct"/>
            <w:tcBorders>
              <w:top w:val="single" w:color="auto" w:sz="4" w:space="0"/>
              <w:left w:val="single" w:color="auto" w:sz="4" w:space="0"/>
              <w:bottom w:val="single" w:color="auto" w:sz="4" w:space="0"/>
              <w:right w:val="single" w:color="auto" w:sz="4" w:space="0"/>
            </w:tcBorders>
            <w:vAlign w:val="center"/>
          </w:tcPr>
          <w:p w14:paraId="023A8012">
            <w:pPr>
              <w:jc w:val="right"/>
              <w:rPr>
                <w:rFonts w:cs="Cambria"/>
              </w:rPr>
            </w:pPr>
            <w:r>
              <w:rPr>
                <w:rFonts w:hint="eastAsia"/>
                <w:color w:val="000000"/>
                <w:sz w:val="18"/>
                <w:szCs w:val="18"/>
              </w:rPr>
              <w:t>10,000,000.00</w:t>
            </w:r>
          </w:p>
        </w:tc>
        <w:tc>
          <w:tcPr>
            <w:tcW w:w="857" w:type="pct"/>
            <w:tcBorders>
              <w:top w:val="single" w:color="auto" w:sz="4" w:space="0"/>
              <w:left w:val="single" w:color="auto" w:sz="4" w:space="0"/>
              <w:bottom w:val="single" w:color="auto" w:sz="4" w:space="0"/>
              <w:right w:val="single" w:color="auto" w:sz="4" w:space="0"/>
            </w:tcBorders>
            <w:vAlign w:val="center"/>
          </w:tcPr>
          <w:p w14:paraId="194FEE8F">
            <w:pPr>
              <w:rPr>
                <w:rFonts w:cs="Cambria"/>
              </w:rPr>
            </w:pPr>
            <w:r>
              <w:rPr>
                <w:rFonts w:hint="eastAsia"/>
                <w:color w:val="000000"/>
                <w:sz w:val="18"/>
                <w:szCs w:val="18"/>
              </w:rPr>
              <w:t>2025/11/3</w:t>
            </w:r>
          </w:p>
        </w:tc>
        <w:tc>
          <w:tcPr>
            <w:tcW w:w="714" w:type="pct"/>
            <w:tcBorders>
              <w:top w:val="single" w:color="auto" w:sz="4" w:space="0"/>
              <w:left w:val="single" w:color="auto" w:sz="4" w:space="0"/>
              <w:bottom w:val="single" w:color="auto" w:sz="4" w:space="0"/>
              <w:right w:val="single" w:color="auto" w:sz="4" w:space="0"/>
            </w:tcBorders>
            <w:vAlign w:val="center"/>
          </w:tcPr>
          <w:p w14:paraId="2A7FAA63">
            <w:pPr>
              <w:rPr>
                <w:rFonts w:cs="Cambria"/>
              </w:rPr>
            </w:pPr>
            <w:r>
              <w:rPr>
                <w:rFonts w:hint="eastAsia"/>
                <w:color w:val="000000"/>
                <w:sz w:val="18"/>
                <w:szCs w:val="18"/>
              </w:rPr>
              <w:t>2026/11/2</w:t>
            </w:r>
          </w:p>
        </w:tc>
        <w:tc>
          <w:tcPr>
            <w:tcW w:w="643" w:type="pct"/>
            <w:tcBorders>
              <w:top w:val="single" w:color="auto" w:sz="4" w:space="0"/>
              <w:left w:val="single" w:color="auto" w:sz="4" w:space="0"/>
              <w:bottom w:val="single" w:color="auto" w:sz="4" w:space="0"/>
              <w:right w:val="single" w:color="auto" w:sz="4" w:space="0"/>
            </w:tcBorders>
            <w:vAlign w:val="center"/>
          </w:tcPr>
          <w:p w14:paraId="7EB8588D">
            <w:pPr>
              <w:rPr>
                <w:rFonts w:cs="Cambria"/>
                <w:color w:val="000000" w:themeColor="text1"/>
                <w14:textFill>
                  <w14:solidFill>
                    <w14:schemeClr w14:val="tx1"/>
                  </w14:solidFill>
                </w14:textFill>
              </w:rPr>
            </w:pPr>
            <w:r>
              <w:rPr>
                <w:rFonts w:hint="eastAsia" w:ascii="宋体" w:hAnsi="宋体"/>
                <w:color w:val="000000"/>
                <w:sz w:val="18"/>
                <w:szCs w:val="18"/>
              </w:rPr>
              <w:t>否</w:t>
            </w:r>
          </w:p>
        </w:tc>
      </w:tr>
      <w:tr w14:paraId="0092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44AB988A">
            <w:pPr>
              <w:rPr>
                <w:rFonts w:cs="Cambria"/>
              </w:rPr>
            </w:pPr>
            <w:r>
              <w:rPr>
                <w:rFonts w:hint="eastAsia" w:ascii="宋体" w:hAnsi="宋体"/>
                <w:color w:val="000000"/>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0607B02B">
            <w:pPr>
              <w:jc w:val="right"/>
              <w:rPr>
                <w:rFonts w:cs="Cambria"/>
              </w:rPr>
            </w:pPr>
            <w:r>
              <w:rPr>
                <w:rFonts w:hint="eastAsia" w:ascii="宋体" w:hAnsi="宋体"/>
                <w:color w:val="000000"/>
                <w:sz w:val="18"/>
                <w:szCs w:val="18"/>
              </w:rPr>
              <w:t>14,000,000.00</w:t>
            </w:r>
          </w:p>
        </w:tc>
        <w:tc>
          <w:tcPr>
            <w:tcW w:w="857" w:type="pct"/>
            <w:tcBorders>
              <w:top w:val="single" w:color="auto" w:sz="4" w:space="0"/>
              <w:left w:val="single" w:color="auto" w:sz="4" w:space="0"/>
              <w:bottom w:val="single" w:color="auto" w:sz="4" w:space="0"/>
              <w:right w:val="single" w:color="auto" w:sz="4" w:space="0"/>
            </w:tcBorders>
            <w:vAlign w:val="center"/>
          </w:tcPr>
          <w:p w14:paraId="6FFE0BE1">
            <w:pPr>
              <w:rPr>
                <w:rFonts w:cs="Cambria"/>
              </w:rPr>
            </w:pPr>
            <w:r>
              <w:rPr>
                <w:rFonts w:hint="eastAsia"/>
                <w:color w:val="000000"/>
                <w:sz w:val="18"/>
                <w:szCs w:val="18"/>
              </w:rPr>
              <w:t>2025/11/11</w:t>
            </w:r>
          </w:p>
        </w:tc>
        <w:tc>
          <w:tcPr>
            <w:tcW w:w="714" w:type="pct"/>
            <w:tcBorders>
              <w:top w:val="single" w:color="auto" w:sz="4" w:space="0"/>
              <w:left w:val="single" w:color="auto" w:sz="4" w:space="0"/>
              <w:bottom w:val="single" w:color="auto" w:sz="4" w:space="0"/>
              <w:right w:val="single" w:color="auto" w:sz="4" w:space="0"/>
            </w:tcBorders>
            <w:vAlign w:val="center"/>
          </w:tcPr>
          <w:p w14:paraId="001AA1AA">
            <w:pPr>
              <w:rPr>
                <w:rFonts w:cs="Cambria"/>
              </w:rPr>
            </w:pPr>
            <w:r>
              <w:rPr>
                <w:rFonts w:hint="eastAsia"/>
                <w:color w:val="000000"/>
                <w:sz w:val="18"/>
                <w:szCs w:val="18"/>
              </w:rPr>
              <w:t>2026/5/8</w:t>
            </w:r>
          </w:p>
        </w:tc>
        <w:tc>
          <w:tcPr>
            <w:tcW w:w="643" w:type="pct"/>
            <w:tcBorders>
              <w:top w:val="single" w:color="auto" w:sz="4" w:space="0"/>
              <w:left w:val="single" w:color="auto" w:sz="4" w:space="0"/>
              <w:bottom w:val="single" w:color="auto" w:sz="4" w:space="0"/>
              <w:right w:val="single" w:color="auto" w:sz="4" w:space="0"/>
            </w:tcBorders>
          </w:tcPr>
          <w:p w14:paraId="18B8B207">
            <w:pPr>
              <w:rPr>
                <w:rFonts w:cs="Cambria"/>
                <w:color w:val="000000" w:themeColor="text1"/>
                <w14:textFill>
                  <w14:solidFill>
                    <w14:schemeClr w14:val="tx1"/>
                  </w14:solidFill>
                </w14:textFill>
              </w:rPr>
            </w:pPr>
            <w:r>
              <w:rPr>
                <w:rFonts w:hint="eastAsia"/>
              </w:rPr>
              <w:t>是</w:t>
            </w:r>
          </w:p>
        </w:tc>
      </w:tr>
      <w:tr w14:paraId="4AD9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0FDF94FC">
            <w:pPr>
              <w:rPr>
                <w:rFonts w:cs="Cambria"/>
              </w:rPr>
            </w:pPr>
            <w:bookmarkStart w:id="405" w:name="OLE_LINK14"/>
            <w:r>
              <w:rPr>
                <w:rFonts w:hint="eastAsia" w:ascii="宋体" w:hAnsi="宋体"/>
                <w:color w:val="000000"/>
                <w:sz w:val="18"/>
                <w:szCs w:val="18"/>
              </w:rPr>
              <w:t>唐传勤、山东邱家实业有限公司、荣成海盛纸业有限公司、好当家集团有限公司</w:t>
            </w:r>
            <w:bookmarkEnd w:id="405"/>
          </w:p>
        </w:tc>
        <w:tc>
          <w:tcPr>
            <w:tcW w:w="857" w:type="pct"/>
            <w:tcBorders>
              <w:top w:val="single" w:color="auto" w:sz="4" w:space="0"/>
              <w:left w:val="single" w:color="auto" w:sz="4" w:space="0"/>
              <w:bottom w:val="single" w:color="auto" w:sz="4" w:space="0"/>
              <w:right w:val="single" w:color="auto" w:sz="4" w:space="0"/>
            </w:tcBorders>
            <w:vAlign w:val="center"/>
          </w:tcPr>
          <w:p w14:paraId="0F633311">
            <w:pPr>
              <w:jc w:val="right"/>
              <w:rPr>
                <w:rFonts w:cs="Cambria"/>
              </w:rPr>
            </w:pPr>
            <w:r>
              <w:rPr>
                <w:rFonts w:hint="eastAsia" w:ascii="宋体" w:hAnsi="宋体"/>
                <w:color w:val="000000"/>
                <w:sz w:val="18"/>
                <w:szCs w:val="18"/>
              </w:rPr>
              <w:t>10,000,000.00</w:t>
            </w:r>
          </w:p>
        </w:tc>
        <w:tc>
          <w:tcPr>
            <w:tcW w:w="857" w:type="pct"/>
            <w:tcBorders>
              <w:top w:val="single" w:color="auto" w:sz="4" w:space="0"/>
              <w:left w:val="single" w:color="auto" w:sz="4" w:space="0"/>
              <w:bottom w:val="single" w:color="auto" w:sz="4" w:space="0"/>
              <w:right w:val="single" w:color="auto" w:sz="4" w:space="0"/>
            </w:tcBorders>
            <w:vAlign w:val="center"/>
          </w:tcPr>
          <w:p w14:paraId="6BAAC817">
            <w:pPr>
              <w:rPr>
                <w:rFonts w:cs="Cambria"/>
              </w:rPr>
            </w:pPr>
            <w:r>
              <w:rPr>
                <w:rFonts w:hint="eastAsia"/>
                <w:color w:val="000000"/>
                <w:sz w:val="18"/>
                <w:szCs w:val="18"/>
              </w:rPr>
              <w:t>2025/3/8</w:t>
            </w:r>
          </w:p>
        </w:tc>
        <w:tc>
          <w:tcPr>
            <w:tcW w:w="714" w:type="pct"/>
            <w:tcBorders>
              <w:top w:val="single" w:color="auto" w:sz="4" w:space="0"/>
              <w:left w:val="single" w:color="auto" w:sz="4" w:space="0"/>
              <w:bottom w:val="single" w:color="auto" w:sz="4" w:space="0"/>
              <w:right w:val="single" w:color="auto" w:sz="4" w:space="0"/>
            </w:tcBorders>
            <w:vAlign w:val="center"/>
          </w:tcPr>
          <w:p w14:paraId="11CB1BDA">
            <w:pPr>
              <w:rPr>
                <w:rFonts w:cs="Cambria"/>
              </w:rPr>
            </w:pPr>
            <w:r>
              <w:rPr>
                <w:rFonts w:hint="eastAsia"/>
                <w:color w:val="000000"/>
                <w:sz w:val="18"/>
                <w:szCs w:val="18"/>
              </w:rPr>
              <w:t>2026/3/6</w:t>
            </w:r>
          </w:p>
        </w:tc>
        <w:tc>
          <w:tcPr>
            <w:tcW w:w="643" w:type="pct"/>
            <w:tcBorders>
              <w:top w:val="single" w:color="auto" w:sz="4" w:space="0"/>
              <w:left w:val="single" w:color="auto" w:sz="4" w:space="0"/>
              <w:bottom w:val="single" w:color="auto" w:sz="4" w:space="0"/>
              <w:right w:val="single" w:color="auto" w:sz="4" w:space="0"/>
            </w:tcBorders>
            <w:vAlign w:val="center"/>
          </w:tcPr>
          <w:p w14:paraId="37F84772">
            <w:pPr>
              <w:rPr>
                <w:rFonts w:cs="Cambria"/>
                <w:color w:val="000000" w:themeColor="text1"/>
                <w14:textFill>
                  <w14:solidFill>
                    <w14:schemeClr w14:val="tx1"/>
                  </w14:solidFill>
                </w14:textFill>
              </w:rPr>
            </w:pPr>
            <w:r>
              <w:rPr>
                <w:rFonts w:hint="eastAsia"/>
              </w:rPr>
              <w:t>是</w:t>
            </w:r>
          </w:p>
        </w:tc>
      </w:tr>
      <w:tr w14:paraId="34BA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1F5AAF50">
            <w:pPr>
              <w:rPr>
                <w:rFonts w:cs="Cambria"/>
              </w:rPr>
            </w:pPr>
            <w:r>
              <w:rPr>
                <w:rFonts w:hint="eastAsia" w:ascii="宋体" w:hAnsi="宋体"/>
                <w:color w:val="000000"/>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750445B5">
            <w:pPr>
              <w:jc w:val="right"/>
              <w:rPr>
                <w:rFonts w:cs="Cambria"/>
              </w:rPr>
            </w:pPr>
            <w:r>
              <w:rPr>
                <w:rFonts w:hint="eastAsia"/>
                <w:color w:val="000000"/>
                <w:sz w:val="18"/>
                <w:szCs w:val="18"/>
              </w:rPr>
              <w:t>32,000,000.00</w:t>
            </w:r>
          </w:p>
        </w:tc>
        <w:tc>
          <w:tcPr>
            <w:tcW w:w="857" w:type="pct"/>
            <w:tcBorders>
              <w:top w:val="single" w:color="auto" w:sz="4" w:space="0"/>
              <w:left w:val="single" w:color="auto" w:sz="4" w:space="0"/>
              <w:bottom w:val="single" w:color="auto" w:sz="4" w:space="0"/>
              <w:right w:val="single" w:color="auto" w:sz="4" w:space="0"/>
            </w:tcBorders>
            <w:vAlign w:val="center"/>
          </w:tcPr>
          <w:p w14:paraId="3FF3330E">
            <w:pPr>
              <w:rPr>
                <w:rFonts w:cs="Cambria"/>
              </w:rPr>
            </w:pPr>
            <w:r>
              <w:rPr>
                <w:rFonts w:hint="eastAsia"/>
                <w:color w:val="000000"/>
                <w:sz w:val="18"/>
                <w:szCs w:val="18"/>
              </w:rPr>
              <w:t>2025/7/8</w:t>
            </w:r>
          </w:p>
        </w:tc>
        <w:tc>
          <w:tcPr>
            <w:tcW w:w="714" w:type="pct"/>
            <w:tcBorders>
              <w:top w:val="single" w:color="auto" w:sz="4" w:space="0"/>
              <w:left w:val="single" w:color="auto" w:sz="4" w:space="0"/>
              <w:bottom w:val="single" w:color="auto" w:sz="4" w:space="0"/>
              <w:right w:val="single" w:color="auto" w:sz="4" w:space="0"/>
            </w:tcBorders>
            <w:vAlign w:val="center"/>
          </w:tcPr>
          <w:p w14:paraId="6FFA7520">
            <w:pPr>
              <w:rPr>
                <w:rFonts w:cs="Cambria"/>
              </w:rPr>
            </w:pPr>
            <w:r>
              <w:rPr>
                <w:rFonts w:hint="eastAsia"/>
                <w:color w:val="000000"/>
                <w:sz w:val="18"/>
                <w:szCs w:val="18"/>
              </w:rPr>
              <w:t>2027/4/8</w:t>
            </w:r>
          </w:p>
        </w:tc>
        <w:tc>
          <w:tcPr>
            <w:tcW w:w="643" w:type="pct"/>
            <w:tcBorders>
              <w:top w:val="single" w:color="auto" w:sz="4" w:space="0"/>
              <w:left w:val="single" w:color="auto" w:sz="4" w:space="0"/>
              <w:bottom w:val="single" w:color="auto" w:sz="4" w:space="0"/>
              <w:right w:val="single" w:color="auto" w:sz="4" w:space="0"/>
            </w:tcBorders>
            <w:vAlign w:val="center"/>
          </w:tcPr>
          <w:p w14:paraId="766C530B">
            <w:pPr>
              <w:rPr>
                <w:rFonts w:cs="Cambria"/>
                <w:color w:val="000000" w:themeColor="text1"/>
                <w14:textFill>
                  <w14:solidFill>
                    <w14:schemeClr w14:val="tx1"/>
                  </w14:solidFill>
                </w14:textFill>
              </w:rPr>
            </w:pPr>
            <w:r>
              <w:rPr>
                <w:rFonts w:hint="eastAsia" w:ascii="宋体" w:hAnsi="宋体"/>
                <w:color w:val="000000"/>
                <w:sz w:val="18"/>
                <w:szCs w:val="18"/>
              </w:rPr>
              <w:t>否</w:t>
            </w:r>
          </w:p>
        </w:tc>
      </w:tr>
      <w:tr w14:paraId="640B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7C9B7811">
            <w:pPr>
              <w:rPr>
                <w:rFonts w:cs="Cambria"/>
              </w:rPr>
            </w:pPr>
            <w:r>
              <w:rPr>
                <w:rFonts w:hint="eastAsia" w:ascii="宋体" w:hAnsi="宋体"/>
                <w:color w:val="000000"/>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735A1038">
            <w:pPr>
              <w:jc w:val="right"/>
              <w:rPr>
                <w:rFonts w:cs="Cambria"/>
              </w:rPr>
            </w:pPr>
            <w:r>
              <w:rPr>
                <w:rFonts w:hint="eastAsia"/>
                <w:color w:val="000000"/>
                <w:sz w:val="18"/>
                <w:szCs w:val="18"/>
              </w:rPr>
              <w:t>50,000,000.00</w:t>
            </w:r>
          </w:p>
        </w:tc>
        <w:tc>
          <w:tcPr>
            <w:tcW w:w="857" w:type="pct"/>
            <w:tcBorders>
              <w:top w:val="single" w:color="auto" w:sz="4" w:space="0"/>
              <w:left w:val="single" w:color="auto" w:sz="4" w:space="0"/>
              <w:bottom w:val="single" w:color="auto" w:sz="4" w:space="0"/>
              <w:right w:val="single" w:color="auto" w:sz="4" w:space="0"/>
            </w:tcBorders>
            <w:vAlign w:val="center"/>
          </w:tcPr>
          <w:p w14:paraId="612D31D9">
            <w:pPr>
              <w:rPr>
                <w:rFonts w:cs="Cambria"/>
              </w:rPr>
            </w:pPr>
            <w:r>
              <w:rPr>
                <w:rFonts w:hint="eastAsia"/>
                <w:color w:val="000000"/>
                <w:sz w:val="18"/>
                <w:szCs w:val="18"/>
              </w:rPr>
              <w:t>2024/7/15</w:t>
            </w:r>
          </w:p>
        </w:tc>
        <w:tc>
          <w:tcPr>
            <w:tcW w:w="714" w:type="pct"/>
            <w:tcBorders>
              <w:top w:val="single" w:color="auto" w:sz="4" w:space="0"/>
              <w:left w:val="single" w:color="auto" w:sz="4" w:space="0"/>
              <w:bottom w:val="single" w:color="auto" w:sz="4" w:space="0"/>
              <w:right w:val="single" w:color="auto" w:sz="4" w:space="0"/>
            </w:tcBorders>
            <w:vAlign w:val="center"/>
          </w:tcPr>
          <w:p w14:paraId="1DDE3544">
            <w:pPr>
              <w:rPr>
                <w:rFonts w:cs="Cambria"/>
              </w:rPr>
            </w:pPr>
            <w:r>
              <w:rPr>
                <w:rFonts w:hint="eastAsia"/>
                <w:color w:val="000000"/>
                <w:sz w:val="18"/>
                <w:szCs w:val="18"/>
              </w:rPr>
              <w:t>2026/7/15</w:t>
            </w:r>
          </w:p>
        </w:tc>
        <w:tc>
          <w:tcPr>
            <w:tcW w:w="643" w:type="pct"/>
            <w:tcBorders>
              <w:top w:val="single" w:color="auto" w:sz="4" w:space="0"/>
              <w:left w:val="single" w:color="auto" w:sz="4" w:space="0"/>
              <w:bottom w:val="single" w:color="auto" w:sz="4" w:space="0"/>
              <w:right w:val="single" w:color="auto" w:sz="4" w:space="0"/>
            </w:tcBorders>
            <w:vAlign w:val="center"/>
          </w:tcPr>
          <w:p w14:paraId="70AE269A">
            <w:pPr>
              <w:rPr>
                <w:rFonts w:cs="Cambria"/>
                <w:color w:val="000000" w:themeColor="text1"/>
                <w14:textFill>
                  <w14:solidFill>
                    <w14:schemeClr w14:val="tx1"/>
                  </w14:solidFill>
                </w14:textFill>
              </w:rPr>
            </w:pPr>
            <w:r>
              <w:rPr>
                <w:rFonts w:hint="eastAsia" w:ascii="宋体" w:hAnsi="宋体"/>
                <w:color w:val="000000"/>
                <w:sz w:val="18"/>
                <w:szCs w:val="18"/>
              </w:rPr>
              <w:t>否</w:t>
            </w:r>
          </w:p>
        </w:tc>
      </w:tr>
      <w:tr w14:paraId="2542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328E8FFD">
            <w:pPr>
              <w:rPr>
                <w:rFonts w:cs="Cambria"/>
              </w:rPr>
            </w:pPr>
            <w:r>
              <w:rPr>
                <w:rFonts w:hint="eastAsia" w:ascii="宋体" w:hAnsi="宋体"/>
                <w:color w:val="000000"/>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2236B939">
            <w:pPr>
              <w:jc w:val="right"/>
              <w:rPr>
                <w:rFonts w:cs="Cambria"/>
              </w:rPr>
            </w:pPr>
            <w:r>
              <w:rPr>
                <w:rFonts w:hint="eastAsia"/>
                <w:color w:val="000000"/>
                <w:sz w:val="18"/>
                <w:szCs w:val="18"/>
              </w:rPr>
              <w:t>20,000,000.00</w:t>
            </w:r>
          </w:p>
        </w:tc>
        <w:tc>
          <w:tcPr>
            <w:tcW w:w="857" w:type="pct"/>
            <w:tcBorders>
              <w:top w:val="single" w:color="auto" w:sz="4" w:space="0"/>
              <w:left w:val="single" w:color="auto" w:sz="4" w:space="0"/>
              <w:bottom w:val="single" w:color="auto" w:sz="4" w:space="0"/>
              <w:right w:val="single" w:color="auto" w:sz="4" w:space="0"/>
            </w:tcBorders>
            <w:vAlign w:val="center"/>
          </w:tcPr>
          <w:p w14:paraId="286C9128">
            <w:pPr>
              <w:rPr>
                <w:rFonts w:cs="Cambria"/>
              </w:rPr>
            </w:pPr>
            <w:r>
              <w:rPr>
                <w:rFonts w:hint="eastAsia"/>
                <w:color w:val="000000"/>
                <w:sz w:val="18"/>
                <w:szCs w:val="18"/>
              </w:rPr>
              <w:t>2024/3/3</w:t>
            </w:r>
            <w:r>
              <w:rPr>
                <w:color w:val="000000"/>
                <w:sz w:val="18"/>
                <w:szCs w:val="18"/>
              </w:rPr>
              <w:t>1</w:t>
            </w:r>
          </w:p>
        </w:tc>
        <w:tc>
          <w:tcPr>
            <w:tcW w:w="714" w:type="pct"/>
            <w:tcBorders>
              <w:top w:val="single" w:color="auto" w:sz="4" w:space="0"/>
              <w:left w:val="single" w:color="auto" w:sz="4" w:space="0"/>
              <w:bottom w:val="single" w:color="auto" w:sz="4" w:space="0"/>
              <w:right w:val="single" w:color="auto" w:sz="4" w:space="0"/>
            </w:tcBorders>
            <w:vAlign w:val="center"/>
          </w:tcPr>
          <w:p w14:paraId="68097003">
            <w:pPr>
              <w:rPr>
                <w:rFonts w:cs="Cambria"/>
              </w:rPr>
            </w:pPr>
            <w:r>
              <w:rPr>
                <w:rFonts w:hint="eastAsia"/>
                <w:color w:val="000000"/>
                <w:sz w:val="18"/>
                <w:szCs w:val="18"/>
              </w:rPr>
              <w:t>2026/3/23</w:t>
            </w:r>
          </w:p>
        </w:tc>
        <w:tc>
          <w:tcPr>
            <w:tcW w:w="643" w:type="pct"/>
            <w:tcBorders>
              <w:top w:val="single" w:color="auto" w:sz="4" w:space="0"/>
              <w:left w:val="single" w:color="auto" w:sz="4" w:space="0"/>
              <w:bottom w:val="single" w:color="auto" w:sz="4" w:space="0"/>
              <w:right w:val="single" w:color="auto" w:sz="4" w:space="0"/>
            </w:tcBorders>
            <w:vAlign w:val="center"/>
          </w:tcPr>
          <w:p w14:paraId="4D1B240A">
            <w:pPr>
              <w:rPr>
                <w:rFonts w:cs="Cambria"/>
                <w:color w:val="000000" w:themeColor="text1"/>
                <w14:textFill>
                  <w14:solidFill>
                    <w14:schemeClr w14:val="tx1"/>
                  </w14:solidFill>
                </w14:textFill>
              </w:rPr>
            </w:pPr>
            <w:r>
              <w:rPr>
                <w:rFonts w:hint="eastAsia" w:ascii="宋体" w:hAnsi="宋体"/>
                <w:color w:val="000000"/>
                <w:sz w:val="18"/>
                <w:szCs w:val="18"/>
              </w:rPr>
              <w:t>是</w:t>
            </w:r>
          </w:p>
        </w:tc>
      </w:tr>
      <w:tr w14:paraId="242A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03E6C4AC">
            <w:pPr>
              <w:rPr>
                <w:rFonts w:cs="Cambria"/>
              </w:rPr>
            </w:pPr>
            <w:r>
              <w:rPr>
                <w:rFonts w:hint="eastAsia" w:ascii="宋体" w:hAnsi="宋体"/>
                <w:color w:val="000000"/>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4713A618">
            <w:pPr>
              <w:jc w:val="right"/>
              <w:rPr>
                <w:rFonts w:cs="Cambria"/>
              </w:rPr>
            </w:pPr>
            <w:r>
              <w:rPr>
                <w:rFonts w:hint="eastAsia"/>
                <w:color w:val="000000"/>
                <w:sz w:val="18"/>
                <w:szCs w:val="18"/>
              </w:rPr>
              <w:t>40,000,000.00</w:t>
            </w:r>
          </w:p>
        </w:tc>
        <w:tc>
          <w:tcPr>
            <w:tcW w:w="857" w:type="pct"/>
            <w:tcBorders>
              <w:top w:val="single" w:color="auto" w:sz="4" w:space="0"/>
              <w:left w:val="single" w:color="auto" w:sz="4" w:space="0"/>
              <w:bottom w:val="single" w:color="auto" w:sz="4" w:space="0"/>
              <w:right w:val="single" w:color="auto" w:sz="4" w:space="0"/>
            </w:tcBorders>
            <w:vAlign w:val="center"/>
          </w:tcPr>
          <w:p w14:paraId="57D7B59E">
            <w:pPr>
              <w:rPr>
                <w:rFonts w:cs="Cambria"/>
              </w:rPr>
            </w:pPr>
            <w:r>
              <w:rPr>
                <w:rFonts w:hint="eastAsia"/>
                <w:color w:val="000000"/>
                <w:sz w:val="18"/>
                <w:szCs w:val="18"/>
              </w:rPr>
              <w:t>2024/9/10</w:t>
            </w:r>
          </w:p>
        </w:tc>
        <w:tc>
          <w:tcPr>
            <w:tcW w:w="714" w:type="pct"/>
            <w:tcBorders>
              <w:top w:val="single" w:color="auto" w:sz="4" w:space="0"/>
              <w:left w:val="single" w:color="auto" w:sz="4" w:space="0"/>
              <w:bottom w:val="single" w:color="auto" w:sz="4" w:space="0"/>
              <w:right w:val="single" w:color="auto" w:sz="4" w:space="0"/>
            </w:tcBorders>
            <w:vAlign w:val="center"/>
          </w:tcPr>
          <w:p w14:paraId="095F5282">
            <w:pPr>
              <w:rPr>
                <w:rFonts w:cs="Cambria"/>
              </w:rPr>
            </w:pPr>
            <w:r>
              <w:rPr>
                <w:rFonts w:hint="eastAsia"/>
                <w:color w:val="000000"/>
                <w:sz w:val="18"/>
                <w:szCs w:val="18"/>
              </w:rPr>
              <w:t>2027/9/9</w:t>
            </w:r>
          </w:p>
        </w:tc>
        <w:tc>
          <w:tcPr>
            <w:tcW w:w="643" w:type="pct"/>
            <w:tcBorders>
              <w:top w:val="single" w:color="auto" w:sz="4" w:space="0"/>
              <w:left w:val="single" w:color="auto" w:sz="4" w:space="0"/>
              <w:bottom w:val="single" w:color="auto" w:sz="4" w:space="0"/>
              <w:right w:val="single" w:color="auto" w:sz="4" w:space="0"/>
            </w:tcBorders>
            <w:vAlign w:val="center"/>
          </w:tcPr>
          <w:p w14:paraId="28ECEC1E">
            <w:pPr>
              <w:rPr>
                <w:rFonts w:cs="Cambria"/>
                <w:color w:val="000000" w:themeColor="text1"/>
                <w14:textFill>
                  <w14:solidFill>
                    <w14:schemeClr w14:val="tx1"/>
                  </w14:solidFill>
                </w14:textFill>
              </w:rPr>
            </w:pPr>
            <w:r>
              <w:rPr>
                <w:rFonts w:hint="eastAsia" w:ascii="宋体" w:hAnsi="宋体"/>
                <w:color w:val="000000"/>
                <w:sz w:val="18"/>
                <w:szCs w:val="18"/>
              </w:rPr>
              <w:t>否</w:t>
            </w:r>
          </w:p>
        </w:tc>
      </w:tr>
      <w:tr w14:paraId="41D6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1F973893">
            <w:pPr>
              <w:rPr>
                <w:rFonts w:cs="Cambria"/>
              </w:rPr>
            </w:pPr>
            <w:r>
              <w:rPr>
                <w:rFonts w:hint="eastAsia" w:ascii="宋体" w:hAnsi="宋体"/>
                <w:color w:val="000000"/>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0762150E">
            <w:pPr>
              <w:jc w:val="right"/>
              <w:rPr>
                <w:rFonts w:cs="Cambria"/>
              </w:rPr>
            </w:pPr>
            <w:r>
              <w:rPr>
                <w:rFonts w:hint="eastAsia"/>
                <w:color w:val="000000"/>
                <w:sz w:val="18"/>
                <w:szCs w:val="18"/>
              </w:rPr>
              <w:t>80,000,000.00</w:t>
            </w:r>
          </w:p>
        </w:tc>
        <w:tc>
          <w:tcPr>
            <w:tcW w:w="857" w:type="pct"/>
            <w:tcBorders>
              <w:top w:val="single" w:color="auto" w:sz="4" w:space="0"/>
              <w:left w:val="single" w:color="auto" w:sz="4" w:space="0"/>
              <w:bottom w:val="single" w:color="auto" w:sz="4" w:space="0"/>
              <w:right w:val="single" w:color="auto" w:sz="4" w:space="0"/>
            </w:tcBorders>
            <w:vAlign w:val="center"/>
          </w:tcPr>
          <w:p w14:paraId="58CE6FA9">
            <w:pPr>
              <w:rPr>
                <w:rFonts w:cs="Cambria"/>
              </w:rPr>
            </w:pPr>
            <w:r>
              <w:rPr>
                <w:rFonts w:hint="eastAsia"/>
                <w:color w:val="000000"/>
                <w:sz w:val="18"/>
                <w:szCs w:val="18"/>
              </w:rPr>
              <w:t>2023/12/15</w:t>
            </w:r>
          </w:p>
        </w:tc>
        <w:tc>
          <w:tcPr>
            <w:tcW w:w="714" w:type="pct"/>
            <w:tcBorders>
              <w:top w:val="single" w:color="auto" w:sz="4" w:space="0"/>
              <w:left w:val="single" w:color="auto" w:sz="4" w:space="0"/>
              <w:bottom w:val="single" w:color="auto" w:sz="4" w:space="0"/>
              <w:right w:val="single" w:color="auto" w:sz="4" w:space="0"/>
            </w:tcBorders>
            <w:vAlign w:val="center"/>
          </w:tcPr>
          <w:p w14:paraId="029E7B5E">
            <w:pPr>
              <w:rPr>
                <w:rFonts w:cs="Cambria"/>
              </w:rPr>
            </w:pPr>
            <w:r>
              <w:rPr>
                <w:rFonts w:hint="eastAsia"/>
                <w:color w:val="000000"/>
                <w:sz w:val="18"/>
                <w:szCs w:val="18"/>
              </w:rPr>
              <w:t>2026/12/15</w:t>
            </w:r>
          </w:p>
        </w:tc>
        <w:tc>
          <w:tcPr>
            <w:tcW w:w="643" w:type="pct"/>
            <w:tcBorders>
              <w:top w:val="single" w:color="auto" w:sz="4" w:space="0"/>
              <w:left w:val="single" w:color="auto" w:sz="4" w:space="0"/>
              <w:bottom w:val="single" w:color="auto" w:sz="4" w:space="0"/>
              <w:right w:val="single" w:color="auto" w:sz="4" w:space="0"/>
            </w:tcBorders>
            <w:vAlign w:val="center"/>
          </w:tcPr>
          <w:p w14:paraId="14EF77E1">
            <w:pPr>
              <w:rPr>
                <w:rFonts w:cs="Cambria"/>
                <w:color w:val="000000" w:themeColor="text1"/>
                <w:sz w:val="18"/>
                <w:szCs w:val="18"/>
                <w14:textFill>
                  <w14:solidFill>
                    <w14:schemeClr w14:val="tx1"/>
                  </w14:solidFill>
                </w14:textFill>
              </w:rPr>
            </w:pPr>
            <w:r>
              <w:rPr>
                <w:rFonts w:hint="eastAsia" w:ascii="宋体" w:hAnsi="宋体"/>
                <w:color w:val="000000"/>
                <w:sz w:val="18"/>
                <w:szCs w:val="18"/>
              </w:rPr>
              <w:t>否</w:t>
            </w:r>
          </w:p>
        </w:tc>
      </w:tr>
      <w:tr w14:paraId="4BD6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62885698">
            <w:pPr>
              <w:rPr>
                <w:rFonts w:cs="Cambria"/>
              </w:rPr>
            </w:pPr>
            <w:r>
              <w:rPr>
                <w:rFonts w:hint="eastAsia" w:ascii="宋体" w:hAnsi="宋体"/>
                <w:color w:val="000000"/>
                <w:sz w:val="18"/>
                <w:szCs w:val="18"/>
              </w:rPr>
              <w:t>好当家集团有限公司、唐传勤、</w:t>
            </w:r>
            <w:bookmarkStart w:id="406" w:name="OLE_LINK17"/>
            <w:r>
              <w:rPr>
                <w:rFonts w:hint="eastAsia" w:ascii="宋体" w:hAnsi="宋体"/>
                <w:color w:val="000000"/>
                <w:sz w:val="18"/>
                <w:szCs w:val="18"/>
              </w:rPr>
              <w:t>田锦霞</w:t>
            </w:r>
            <w:bookmarkEnd w:id="406"/>
          </w:p>
        </w:tc>
        <w:tc>
          <w:tcPr>
            <w:tcW w:w="857" w:type="pct"/>
            <w:tcBorders>
              <w:top w:val="single" w:color="auto" w:sz="4" w:space="0"/>
              <w:left w:val="single" w:color="auto" w:sz="4" w:space="0"/>
              <w:bottom w:val="single" w:color="auto" w:sz="4" w:space="0"/>
              <w:right w:val="single" w:color="auto" w:sz="4" w:space="0"/>
            </w:tcBorders>
            <w:vAlign w:val="center"/>
          </w:tcPr>
          <w:p w14:paraId="236EECFF">
            <w:pPr>
              <w:jc w:val="right"/>
              <w:rPr>
                <w:rFonts w:cs="Cambria"/>
              </w:rPr>
            </w:pPr>
            <w:r>
              <w:rPr>
                <w:rFonts w:hint="eastAsia"/>
                <w:color w:val="000000"/>
                <w:sz w:val="18"/>
                <w:szCs w:val="18"/>
              </w:rPr>
              <w:t>30,000,000.00</w:t>
            </w:r>
          </w:p>
        </w:tc>
        <w:tc>
          <w:tcPr>
            <w:tcW w:w="857" w:type="pct"/>
            <w:tcBorders>
              <w:top w:val="single" w:color="auto" w:sz="4" w:space="0"/>
              <w:left w:val="single" w:color="auto" w:sz="4" w:space="0"/>
              <w:bottom w:val="single" w:color="auto" w:sz="4" w:space="0"/>
              <w:right w:val="single" w:color="auto" w:sz="4" w:space="0"/>
            </w:tcBorders>
            <w:vAlign w:val="center"/>
          </w:tcPr>
          <w:p w14:paraId="7186BC10">
            <w:pPr>
              <w:rPr>
                <w:rFonts w:cs="Cambria"/>
              </w:rPr>
            </w:pPr>
            <w:r>
              <w:rPr>
                <w:rFonts w:hint="eastAsia"/>
                <w:color w:val="000000"/>
                <w:sz w:val="18"/>
                <w:szCs w:val="18"/>
              </w:rPr>
              <w:t>2025/1/24</w:t>
            </w:r>
          </w:p>
        </w:tc>
        <w:tc>
          <w:tcPr>
            <w:tcW w:w="714" w:type="pct"/>
            <w:tcBorders>
              <w:top w:val="single" w:color="auto" w:sz="4" w:space="0"/>
              <w:left w:val="single" w:color="auto" w:sz="4" w:space="0"/>
              <w:bottom w:val="single" w:color="auto" w:sz="4" w:space="0"/>
              <w:right w:val="single" w:color="auto" w:sz="4" w:space="0"/>
            </w:tcBorders>
            <w:vAlign w:val="center"/>
          </w:tcPr>
          <w:p w14:paraId="58E9B250">
            <w:pPr>
              <w:rPr>
                <w:rFonts w:cs="Cambria"/>
              </w:rPr>
            </w:pPr>
            <w:r>
              <w:rPr>
                <w:rFonts w:hint="eastAsia"/>
                <w:color w:val="000000"/>
                <w:sz w:val="18"/>
                <w:szCs w:val="18"/>
              </w:rPr>
              <w:t>2027/1/24</w:t>
            </w:r>
          </w:p>
        </w:tc>
        <w:tc>
          <w:tcPr>
            <w:tcW w:w="643" w:type="pct"/>
            <w:tcBorders>
              <w:top w:val="single" w:color="auto" w:sz="4" w:space="0"/>
              <w:left w:val="single" w:color="auto" w:sz="4" w:space="0"/>
              <w:bottom w:val="single" w:color="auto" w:sz="4" w:space="0"/>
              <w:right w:val="single" w:color="auto" w:sz="4" w:space="0"/>
            </w:tcBorders>
            <w:vAlign w:val="center"/>
          </w:tcPr>
          <w:p w14:paraId="186A94AF">
            <w:pPr>
              <w:rPr>
                <w:rFonts w:cs="Cambria"/>
                <w:color w:val="000000" w:themeColor="text1"/>
                <w:sz w:val="18"/>
                <w:szCs w:val="18"/>
                <w14:textFill>
                  <w14:solidFill>
                    <w14:schemeClr w14:val="tx1"/>
                  </w14:solidFill>
                </w14:textFill>
              </w:rPr>
            </w:pPr>
            <w:r>
              <w:rPr>
                <w:rFonts w:hint="eastAsia" w:ascii="宋体" w:hAnsi="宋体"/>
                <w:color w:val="000000"/>
                <w:sz w:val="18"/>
                <w:szCs w:val="18"/>
              </w:rPr>
              <w:t>否</w:t>
            </w:r>
          </w:p>
        </w:tc>
      </w:tr>
      <w:tr w14:paraId="0167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0A948062">
            <w:pPr>
              <w:rPr>
                <w:rFonts w:cs="Cambria"/>
              </w:rPr>
            </w:pPr>
            <w:r>
              <w:rPr>
                <w:rFonts w:hint="eastAsia" w:ascii="宋体" w:hAnsi="宋体"/>
                <w:color w:val="000000"/>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7E0DEDA4">
            <w:pPr>
              <w:jc w:val="right"/>
              <w:rPr>
                <w:rFonts w:cs="Cambria"/>
              </w:rPr>
            </w:pPr>
            <w:r>
              <w:rPr>
                <w:rFonts w:hint="eastAsia"/>
                <w:color w:val="000000"/>
                <w:sz w:val="18"/>
                <w:szCs w:val="18"/>
              </w:rPr>
              <w:t>1,617,721.53</w:t>
            </w:r>
          </w:p>
        </w:tc>
        <w:tc>
          <w:tcPr>
            <w:tcW w:w="857" w:type="pct"/>
            <w:tcBorders>
              <w:top w:val="single" w:color="auto" w:sz="4" w:space="0"/>
              <w:left w:val="single" w:color="auto" w:sz="4" w:space="0"/>
              <w:bottom w:val="single" w:color="auto" w:sz="4" w:space="0"/>
              <w:right w:val="single" w:color="auto" w:sz="4" w:space="0"/>
            </w:tcBorders>
            <w:vAlign w:val="center"/>
          </w:tcPr>
          <w:p w14:paraId="776295B3">
            <w:pPr>
              <w:rPr>
                <w:rFonts w:cs="Cambria"/>
              </w:rPr>
            </w:pPr>
            <w:r>
              <w:rPr>
                <w:rFonts w:hint="eastAsia"/>
                <w:color w:val="000000"/>
                <w:sz w:val="18"/>
                <w:szCs w:val="18"/>
              </w:rPr>
              <w:t>2023/2/2</w:t>
            </w:r>
          </w:p>
        </w:tc>
        <w:tc>
          <w:tcPr>
            <w:tcW w:w="714" w:type="pct"/>
            <w:tcBorders>
              <w:top w:val="single" w:color="auto" w:sz="4" w:space="0"/>
              <w:left w:val="single" w:color="auto" w:sz="4" w:space="0"/>
              <w:bottom w:val="single" w:color="auto" w:sz="4" w:space="0"/>
              <w:right w:val="single" w:color="auto" w:sz="4" w:space="0"/>
            </w:tcBorders>
            <w:vAlign w:val="center"/>
          </w:tcPr>
          <w:p w14:paraId="1C15EE3D">
            <w:pPr>
              <w:rPr>
                <w:rFonts w:cs="Cambria"/>
              </w:rPr>
            </w:pPr>
            <w:r>
              <w:rPr>
                <w:rFonts w:hint="eastAsia"/>
                <w:color w:val="000000"/>
                <w:sz w:val="18"/>
                <w:szCs w:val="18"/>
              </w:rPr>
              <w:t>2026/4/4</w:t>
            </w:r>
          </w:p>
        </w:tc>
        <w:tc>
          <w:tcPr>
            <w:tcW w:w="643" w:type="pct"/>
            <w:tcBorders>
              <w:top w:val="single" w:color="auto" w:sz="4" w:space="0"/>
              <w:left w:val="single" w:color="auto" w:sz="4" w:space="0"/>
              <w:bottom w:val="single" w:color="auto" w:sz="4" w:space="0"/>
              <w:right w:val="single" w:color="auto" w:sz="4" w:space="0"/>
            </w:tcBorders>
          </w:tcPr>
          <w:p w14:paraId="10615788">
            <w:pPr>
              <w:rPr>
                <w:rFonts w:cs="Cambria"/>
                <w:color w:val="000000" w:themeColor="text1"/>
                <w:sz w:val="18"/>
                <w:szCs w:val="18"/>
                <w14:textFill>
                  <w14:solidFill>
                    <w14:schemeClr w14:val="tx1"/>
                  </w14:solidFill>
                </w14:textFill>
              </w:rPr>
            </w:pPr>
            <w:r>
              <w:rPr>
                <w:rFonts w:hint="eastAsia"/>
                <w:sz w:val="18"/>
                <w:szCs w:val="18"/>
              </w:rPr>
              <w:t>是</w:t>
            </w:r>
          </w:p>
        </w:tc>
      </w:tr>
      <w:tr w14:paraId="6157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vAlign w:val="center"/>
          </w:tcPr>
          <w:p w14:paraId="0077726D">
            <w:pPr>
              <w:rPr>
                <w:rFonts w:cs="Cambria"/>
              </w:rPr>
            </w:pPr>
            <w:bookmarkStart w:id="407" w:name="OLE_LINK13"/>
            <w:r>
              <w:rPr>
                <w:rFonts w:hint="eastAsia" w:ascii="宋体" w:hAnsi="宋体"/>
                <w:color w:val="000000"/>
                <w:sz w:val="18"/>
                <w:szCs w:val="18"/>
              </w:rPr>
              <w:t>好当家集团有限公司、唐传勤</w:t>
            </w:r>
            <w:bookmarkEnd w:id="407"/>
          </w:p>
        </w:tc>
        <w:tc>
          <w:tcPr>
            <w:tcW w:w="857" w:type="pct"/>
            <w:tcBorders>
              <w:top w:val="single" w:color="auto" w:sz="4" w:space="0"/>
              <w:left w:val="single" w:color="auto" w:sz="4" w:space="0"/>
              <w:bottom w:val="single" w:color="auto" w:sz="4" w:space="0"/>
              <w:right w:val="single" w:color="auto" w:sz="4" w:space="0"/>
            </w:tcBorders>
            <w:vAlign w:val="center"/>
          </w:tcPr>
          <w:p w14:paraId="016D728E">
            <w:pPr>
              <w:jc w:val="right"/>
              <w:rPr>
                <w:rFonts w:cs="Cambria"/>
              </w:rPr>
            </w:pPr>
            <w:r>
              <w:rPr>
                <w:rFonts w:hint="eastAsia"/>
                <w:color w:val="000000"/>
                <w:sz w:val="18"/>
                <w:szCs w:val="18"/>
              </w:rPr>
              <w:t>3,841,768.25</w:t>
            </w:r>
          </w:p>
        </w:tc>
        <w:tc>
          <w:tcPr>
            <w:tcW w:w="857" w:type="pct"/>
            <w:tcBorders>
              <w:top w:val="single" w:color="auto" w:sz="4" w:space="0"/>
              <w:left w:val="single" w:color="auto" w:sz="4" w:space="0"/>
              <w:bottom w:val="single" w:color="auto" w:sz="4" w:space="0"/>
              <w:right w:val="single" w:color="auto" w:sz="4" w:space="0"/>
            </w:tcBorders>
            <w:vAlign w:val="center"/>
          </w:tcPr>
          <w:p w14:paraId="5ED05DFA">
            <w:pPr>
              <w:rPr>
                <w:rFonts w:cs="Cambria"/>
              </w:rPr>
            </w:pPr>
            <w:r>
              <w:rPr>
                <w:rFonts w:hint="eastAsia"/>
                <w:color w:val="000000"/>
                <w:sz w:val="18"/>
                <w:szCs w:val="18"/>
              </w:rPr>
              <w:t>2023/2/2</w:t>
            </w:r>
          </w:p>
        </w:tc>
        <w:tc>
          <w:tcPr>
            <w:tcW w:w="714" w:type="pct"/>
            <w:tcBorders>
              <w:top w:val="single" w:color="auto" w:sz="4" w:space="0"/>
              <w:left w:val="single" w:color="auto" w:sz="4" w:space="0"/>
              <w:bottom w:val="single" w:color="auto" w:sz="4" w:space="0"/>
              <w:right w:val="single" w:color="auto" w:sz="4" w:space="0"/>
            </w:tcBorders>
            <w:vAlign w:val="center"/>
          </w:tcPr>
          <w:p w14:paraId="7AB22DB5">
            <w:pPr>
              <w:rPr>
                <w:rFonts w:cs="Cambria"/>
              </w:rPr>
            </w:pPr>
            <w:r>
              <w:rPr>
                <w:rFonts w:hint="eastAsia"/>
                <w:color w:val="000000"/>
                <w:sz w:val="18"/>
                <w:szCs w:val="18"/>
              </w:rPr>
              <w:t>2026/4/4</w:t>
            </w:r>
          </w:p>
        </w:tc>
        <w:tc>
          <w:tcPr>
            <w:tcW w:w="643" w:type="pct"/>
            <w:tcBorders>
              <w:top w:val="single" w:color="auto" w:sz="4" w:space="0"/>
              <w:left w:val="single" w:color="auto" w:sz="4" w:space="0"/>
              <w:bottom w:val="single" w:color="auto" w:sz="4" w:space="0"/>
              <w:right w:val="single" w:color="auto" w:sz="4" w:space="0"/>
            </w:tcBorders>
          </w:tcPr>
          <w:p w14:paraId="209077FC">
            <w:pPr>
              <w:rPr>
                <w:rFonts w:cs="Cambria"/>
                <w:color w:val="000000" w:themeColor="text1"/>
                <w:sz w:val="18"/>
                <w:szCs w:val="18"/>
                <w14:textFill>
                  <w14:solidFill>
                    <w14:schemeClr w14:val="tx1"/>
                  </w14:solidFill>
                </w14:textFill>
              </w:rPr>
            </w:pPr>
            <w:r>
              <w:rPr>
                <w:rFonts w:hint="eastAsia"/>
                <w:sz w:val="18"/>
                <w:szCs w:val="18"/>
              </w:rPr>
              <w:t>是</w:t>
            </w:r>
          </w:p>
        </w:tc>
      </w:tr>
      <w:tr w14:paraId="2087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3CEE6E4D">
            <w:pPr>
              <w:rPr>
                <w:rFonts w:hint="eastAsia" w:ascii="宋体" w:hAnsi="宋体"/>
                <w:color w:val="000000"/>
                <w:sz w:val="18"/>
                <w:szCs w:val="18"/>
              </w:rPr>
            </w:pPr>
            <w:r>
              <w:rPr>
                <w:rFonts w:hint="eastAsia" w:ascii="宋体" w:hAnsi="宋体"/>
                <w:color w:val="000000"/>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220A56AB">
            <w:pPr>
              <w:jc w:val="right"/>
              <w:rPr>
                <w:color w:val="000000"/>
                <w:sz w:val="18"/>
                <w:szCs w:val="18"/>
              </w:rPr>
            </w:pPr>
            <w:r>
              <w:rPr>
                <w:color w:val="000000"/>
                <w:sz w:val="18"/>
                <w:szCs w:val="18"/>
              </w:rPr>
              <w:t>28,500,000.00</w:t>
            </w:r>
          </w:p>
        </w:tc>
        <w:tc>
          <w:tcPr>
            <w:tcW w:w="857" w:type="pct"/>
            <w:tcBorders>
              <w:top w:val="single" w:color="auto" w:sz="4" w:space="0"/>
              <w:left w:val="single" w:color="auto" w:sz="4" w:space="0"/>
              <w:bottom w:val="single" w:color="auto" w:sz="4" w:space="0"/>
              <w:right w:val="single" w:color="auto" w:sz="4" w:space="0"/>
            </w:tcBorders>
            <w:vAlign w:val="center"/>
          </w:tcPr>
          <w:p w14:paraId="01AB97AC">
            <w:pPr>
              <w:rPr>
                <w:color w:val="000000"/>
                <w:sz w:val="18"/>
                <w:szCs w:val="18"/>
              </w:rPr>
            </w:pPr>
            <w:r>
              <w:rPr>
                <w:rFonts w:hint="eastAsia"/>
                <w:color w:val="000000"/>
                <w:sz w:val="18"/>
                <w:szCs w:val="18"/>
              </w:rPr>
              <w:t>2026/1/5</w:t>
            </w:r>
          </w:p>
        </w:tc>
        <w:tc>
          <w:tcPr>
            <w:tcW w:w="714" w:type="pct"/>
            <w:tcBorders>
              <w:top w:val="single" w:color="auto" w:sz="4" w:space="0"/>
              <w:left w:val="single" w:color="auto" w:sz="4" w:space="0"/>
              <w:bottom w:val="single" w:color="auto" w:sz="4" w:space="0"/>
              <w:right w:val="single" w:color="auto" w:sz="4" w:space="0"/>
            </w:tcBorders>
            <w:vAlign w:val="center"/>
          </w:tcPr>
          <w:p w14:paraId="2EE641C8">
            <w:pPr>
              <w:rPr>
                <w:color w:val="000000"/>
                <w:sz w:val="18"/>
                <w:szCs w:val="18"/>
              </w:rPr>
            </w:pPr>
            <w:r>
              <w:rPr>
                <w:rFonts w:hint="eastAsia"/>
                <w:color w:val="000000"/>
                <w:sz w:val="18"/>
                <w:szCs w:val="18"/>
              </w:rPr>
              <w:t>2026/12/30</w:t>
            </w:r>
          </w:p>
        </w:tc>
        <w:tc>
          <w:tcPr>
            <w:tcW w:w="643" w:type="pct"/>
            <w:tcBorders>
              <w:top w:val="single" w:color="auto" w:sz="4" w:space="0"/>
              <w:left w:val="single" w:color="auto" w:sz="4" w:space="0"/>
              <w:bottom w:val="single" w:color="auto" w:sz="4" w:space="0"/>
              <w:right w:val="single" w:color="auto" w:sz="4" w:space="0"/>
            </w:tcBorders>
            <w:vAlign w:val="center"/>
          </w:tcPr>
          <w:p w14:paraId="52765426">
            <w:pPr>
              <w:rPr>
                <w:sz w:val="18"/>
                <w:szCs w:val="18"/>
              </w:rPr>
            </w:pPr>
            <w:r>
              <w:rPr>
                <w:rFonts w:hint="eastAsia" w:ascii="宋体" w:hAnsi="宋体"/>
                <w:sz w:val="18"/>
                <w:szCs w:val="18"/>
              </w:rPr>
              <w:t>否</w:t>
            </w:r>
          </w:p>
        </w:tc>
      </w:tr>
      <w:tr w14:paraId="0D64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05B5EDA4">
            <w:pPr>
              <w:rPr>
                <w:rFonts w:hint="eastAsia" w:ascii="宋体" w:hAnsi="宋体"/>
                <w:color w:val="000000"/>
                <w:sz w:val="18"/>
                <w:szCs w:val="18"/>
              </w:rPr>
            </w:pPr>
            <w:bookmarkStart w:id="408" w:name="OLE_LINK27"/>
            <w:r>
              <w:rPr>
                <w:rFonts w:hint="eastAsia" w:ascii="宋体" w:hAnsi="宋体"/>
                <w:color w:val="000000"/>
                <w:sz w:val="18"/>
                <w:szCs w:val="18"/>
              </w:rPr>
              <w:t>好当家集团有限公司、唐传勤、田锦霞</w:t>
            </w:r>
            <w:bookmarkEnd w:id="408"/>
          </w:p>
        </w:tc>
        <w:tc>
          <w:tcPr>
            <w:tcW w:w="857" w:type="pct"/>
            <w:tcBorders>
              <w:top w:val="single" w:color="auto" w:sz="4" w:space="0"/>
              <w:left w:val="single" w:color="auto" w:sz="4" w:space="0"/>
              <w:bottom w:val="single" w:color="auto" w:sz="4" w:space="0"/>
              <w:right w:val="single" w:color="auto" w:sz="4" w:space="0"/>
            </w:tcBorders>
            <w:vAlign w:val="center"/>
          </w:tcPr>
          <w:p w14:paraId="2F6A61B4">
            <w:pPr>
              <w:jc w:val="right"/>
              <w:rPr>
                <w:color w:val="000000"/>
                <w:sz w:val="18"/>
                <w:szCs w:val="18"/>
              </w:rPr>
            </w:pPr>
            <w:r>
              <w:rPr>
                <w:color w:val="000000"/>
                <w:sz w:val="18"/>
                <w:szCs w:val="18"/>
              </w:rPr>
              <w:t>20,000,000.00</w:t>
            </w:r>
          </w:p>
        </w:tc>
        <w:tc>
          <w:tcPr>
            <w:tcW w:w="857" w:type="pct"/>
            <w:tcBorders>
              <w:top w:val="single" w:color="auto" w:sz="4" w:space="0"/>
              <w:left w:val="single" w:color="auto" w:sz="4" w:space="0"/>
              <w:bottom w:val="single" w:color="auto" w:sz="4" w:space="0"/>
              <w:right w:val="single" w:color="auto" w:sz="4" w:space="0"/>
            </w:tcBorders>
            <w:vAlign w:val="center"/>
          </w:tcPr>
          <w:p w14:paraId="1F3307EA">
            <w:pPr>
              <w:rPr>
                <w:color w:val="000000"/>
                <w:sz w:val="18"/>
                <w:szCs w:val="18"/>
              </w:rPr>
            </w:pPr>
            <w:r>
              <w:rPr>
                <w:rFonts w:hint="eastAsia"/>
                <w:color w:val="000000"/>
                <w:sz w:val="18"/>
                <w:szCs w:val="18"/>
              </w:rPr>
              <w:t>2026/1/12</w:t>
            </w:r>
          </w:p>
        </w:tc>
        <w:tc>
          <w:tcPr>
            <w:tcW w:w="714" w:type="pct"/>
            <w:tcBorders>
              <w:top w:val="single" w:color="auto" w:sz="4" w:space="0"/>
              <w:left w:val="single" w:color="auto" w:sz="4" w:space="0"/>
              <w:bottom w:val="single" w:color="auto" w:sz="4" w:space="0"/>
              <w:right w:val="single" w:color="auto" w:sz="4" w:space="0"/>
            </w:tcBorders>
            <w:vAlign w:val="center"/>
          </w:tcPr>
          <w:p w14:paraId="03C36777">
            <w:pPr>
              <w:rPr>
                <w:color w:val="000000"/>
                <w:sz w:val="18"/>
                <w:szCs w:val="18"/>
              </w:rPr>
            </w:pPr>
            <w:r>
              <w:rPr>
                <w:rFonts w:hint="eastAsia"/>
                <w:color w:val="000000"/>
                <w:sz w:val="18"/>
                <w:szCs w:val="18"/>
              </w:rPr>
              <w:t>2027/1/11</w:t>
            </w:r>
          </w:p>
        </w:tc>
        <w:tc>
          <w:tcPr>
            <w:tcW w:w="643" w:type="pct"/>
            <w:tcBorders>
              <w:top w:val="single" w:color="auto" w:sz="4" w:space="0"/>
              <w:left w:val="single" w:color="auto" w:sz="4" w:space="0"/>
              <w:bottom w:val="single" w:color="auto" w:sz="4" w:space="0"/>
              <w:right w:val="single" w:color="auto" w:sz="4" w:space="0"/>
            </w:tcBorders>
            <w:vAlign w:val="center"/>
          </w:tcPr>
          <w:p w14:paraId="7A64F055">
            <w:pPr>
              <w:rPr>
                <w:sz w:val="18"/>
                <w:szCs w:val="18"/>
              </w:rPr>
            </w:pPr>
            <w:r>
              <w:rPr>
                <w:rFonts w:hint="eastAsia" w:ascii="宋体" w:hAnsi="宋体"/>
                <w:sz w:val="18"/>
                <w:szCs w:val="18"/>
              </w:rPr>
              <w:t>否</w:t>
            </w:r>
          </w:p>
        </w:tc>
      </w:tr>
      <w:tr w14:paraId="0B73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326311EB">
            <w:pPr>
              <w:rPr>
                <w:rFonts w:hint="eastAsia" w:ascii="宋体" w:hAnsi="宋体"/>
                <w:color w:val="000000"/>
                <w:sz w:val="18"/>
                <w:szCs w:val="18"/>
              </w:rPr>
            </w:pPr>
            <w:r>
              <w:rPr>
                <w:rFonts w:hint="eastAsia" w:ascii="宋体" w:hAnsi="宋体"/>
                <w:color w:val="000000"/>
                <w:sz w:val="18"/>
                <w:szCs w:val="18"/>
              </w:rPr>
              <w:t>荣成市经济开发投资有限公司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1DB32197">
            <w:pPr>
              <w:jc w:val="right"/>
              <w:rPr>
                <w:color w:val="000000"/>
                <w:sz w:val="18"/>
                <w:szCs w:val="18"/>
              </w:rPr>
            </w:pPr>
            <w:r>
              <w:rPr>
                <w:color w:val="000000"/>
                <w:sz w:val="18"/>
                <w:szCs w:val="18"/>
              </w:rPr>
              <w:t>15,000,000.00</w:t>
            </w:r>
          </w:p>
        </w:tc>
        <w:tc>
          <w:tcPr>
            <w:tcW w:w="857" w:type="pct"/>
            <w:tcBorders>
              <w:top w:val="single" w:color="auto" w:sz="4" w:space="0"/>
              <w:left w:val="single" w:color="auto" w:sz="4" w:space="0"/>
              <w:bottom w:val="single" w:color="auto" w:sz="4" w:space="0"/>
              <w:right w:val="single" w:color="auto" w:sz="4" w:space="0"/>
            </w:tcBorders>
            <w:vAlign w:val="center"/>
          </w:tcPr>
          <w:p w14:paraId="7C1C60B0">
            <w:pPr>
              <w:rPr>
                <w:color w:val="000000"/>
                <w:sz w:val="18"/>
                <w:szCs w:val="18"/>
              </w:rPr>
            </w:pPr>
            <w:r>
              <w:rPr>
                <w:rFonts w:hint="eastAsia"/>
                <w:color w:val="000000"/>
                <w:sz w:val="18"/>
                <w:szCs w:val="18"/>
              </w:rPr>
              <w:t>2026/1/16</w:t>
            </w:r>
          </w:p>
        </w:tc>
        <w:tc>
          <w:tcPr>
            <w:tcW w:w="714" w:type="pct"/>
            <w:tcBorders>
              <w:top w:val="single" w:color="auto" w:sz="4" w:space="0"/>
              <w:left w:val="single" w:color="auto" w:sz="4" w:space="0"/>
              <w:bottom w:val="single" w:color="auto" w:sz="4" w:space="0"/>
              <w:right w:val="single" w:color="auto" w:sz="4" w:space="0"/>
            </w:tcBorders>
            <w:vAlign w:val="center"/>
          </w:tcPr>
          <w:p w14:paraId="67B64109">
            <w:pPr>
              <w:rPr>
                <w:color w:val="000000"/>
                <w:sz w:val="18"/>
                <w:szCs w:val="18"/>
              </w:rPr>
            </w:pPr>
            <w:r>
              <w:rPr>
                <w:rFonts w:hint="eastAsia"/>
                <w:color w:val="000000"/>
                <w:sz w:val="18"/>
                <w:szCs w:val="18"/>
              </w:rPr>
              <w:t>2027/1/12</w:t>
            </w:r>
          </w:p>
        </w:tc>
        <w:tc>
          <w:tcPr>
            <w:tcW w:w="643" w:type="pct"/>
            <w:tcBorders>
              <w:top w:val="single" w:color="auto" w:sz="4" w:space="0"/>
              <w:left w:val="single" w:color="auto" w:sz="4" w:space="0"/>
              <w:bottom w:val="single" w:color="auto" w:sz="4" w:space="0"/>
              <w:right w:val="single" w:color="auto" w:sz="4" w:space="0"/>
            </w:tcBorders>
            <w:vAlign w:val="center"/>
          </w:tcPr>
          <w:p w14:paraId="55E9F546">
            <w:pPr>
              <w:rPr>
                <w:sz w:val="18"/>
                <w:szCs w:val="18"/>
              </w:rPr>
            </w:pPr>
            <w:r>
              <w:rPr>
                <w:rFonts w:hint="eastAsia" w:ascii="宋体" w:hAnsi="宋体"/>
                <w:sz w:val="18"/>
                <w:szCs w:val="18"/>
              </w:rPr>
              <w:t>否</w:t>
            </w:r>
          </w:p>
        </w:tc>
      </w:tr>
      <w:tr w14:paraId="235A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3FB2AFC3">
            <w:pPr>
              <w:rPr>
                <w:rFonts w:hint="eastAsia" w:ascii="宋体" w:hAnsi="宋体"/>
                <w:color w:val="000000"/>
                <w:sz w:val="18"/>
                <w:szCs w:val="18"/>
              </w:rPr>
            </w:pPr>
            <w:r>
              <w:rPr>
                <w:rFonts w:hint="eastAsia" w:ascii="宋体" w:hAnsi="宋体"/>
                <w:color w:val="000000"/>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450DA228">
            <w:pPr>
              <w:jc w:val="right"/>
              <w:rPr>
                <w:color w:val="000000"/>
                <w:sz w:val="18"/>
                <w:szCs w:val="18"/>
              </w:rPr>
            </w:pPr>
            <w:r>
              <w:rPr>
                <w:color w:val="000000"/>
                <w:sz w:val="18"/>
                <w:szCs w:val="18"/>
              </w:rPr>
              <w:t>23,000,000.00</w:t>
            </w:r>
          </w:p>
        </w:tc>
        <w:tc>
          <w:tcPr>
            <w:tcW w:w="857" w:type="pct"/>
            <w:tcBorders>
              <w:top w:val="single" w:color="auto" w:sz="4" w:space="0"/>
              <w:left w:val="single" w:color="auto" w:sz="4" w:space="0"/>
              <w:bottom w:val="single" w:color="auto" w:sz="4" w:space="0"/>
              <w:right w:val="single" w:color="auto" w:sz="4" w:space="0"/>
            </w:tcBorders>
            <w:vAlign w:val="center"/>
          </w:tcPr>
          <w:p w14:paraId="3712BBF6">
            <w:pPr>
              <w:rPr>
                <w:color w:val="000000"/>
                <w:sz w:val="18"/>
                <w:szCs w:val="18"/>
              </w:rPr>
            </w:pPr>
            <w:r>
              <w:rPr>
                <w:rFonts w:hint="eastAsia"/>
                <w:color w:val="000000"/>
                <w:sz w:val="18"/>
                <w:szCs w:val="18"/>
              </w:rPr>
              <w:t>2026/1/20</w:t>
            </w:r>
          </w:p>
        </w:tc>
        <w:tc>
          <w:tcPr>
            <w:tcW w:w="714" w:type="pct"/>
            <w:tcBorders>
              <w:top w:val="single" w:color="auto" w:sz="4" w:space="0"/>
              <w:left w:val="single" w:color="auto" w:sz="4" w:space="0"/>
              <w:bottom w:val="single" w:color="auto" w:sz="4" w:space="0"/>
              <w:right w:val="single" w:color="auto" w:sz="4" w:space="0"/>
            </w:tcBorders>
            <w:vAlign w:val="center"/>
          </w:tcPr>
          <w:p w14:paraId="64C1A7A1">
            <w:pPr>
              <w:rPr>
                <w:color w:val="000000"/>
                <w:sz w:val="18"/>
                <w:szCs w:val="18"/>
              </w:rPr>
            </w:pPr>
            <w:r>
              <w:rPr>
                <w:rFonts w:hint="eastAsia"/>
                <w:color w:val="000000"/>
                <w:sz w:val="18"/>
                <w:szCs w:val="18"/>
              </w:rPr>
              <w:t>2026/7/20</w:t>
            </w:r>
          </w:p>
        </w:tc>
        <w:tc>
          <w:tcPr>
            <w:tcW w:w="643" w:type="pct"/>
            <w:tcBorders>
              <w:top w:val="single" w:color="auto" w:sz="4" w:space="0"/>
              <w:left w:val="single" w:color="auto" w:sz="4" w:space="0"/>
              <w:bottom w:val="single" w:color="auto" w:sz="4" w:space="0"/>
              <w:right w:val="single" w:color="auto" w:sz="4" w:space="0"/>
            </w:tcBorders>
            <w:vAlign w:val="center"/>
          </w:tcPr>
          <w:p w14:paraId="7448AE77">
            <w:pPr>
              <w:rPr>
                <w:sz w:val="18"/>
                <w:szCs w:val="18"/>
              </w:rPr>
            </w:pPr>
            <w:r>
              <w:rPr>
                <w:rFonts w:hint="eastAsia" w:ascii="宋体" w:hAnsi="宋体"/>
                <w:sz w:val="18"/>
                <w:szCs w:val="18"/>
              </w:rPr>
              <w:t>否</w:t>
            </w:r>
          </w:p>
        </w:tc>
      </w:tr>
      <w:tr w14:paraId="754C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4AF5D0B6">
            <w:pPr>
              <w:rPr>
                <w:rFonts w:hint="eastAsia" w:ascii="宋体" w:hAnsi="宋体"/>
                <w:color w:val="000000"/>
                <w:sz w:val="18"/>
                <w:szCs w:val="18"/>
              </w:rPr>
            </w:pPr>
            <w:bookmarkStart w:id="409" w:name="OLE_LINK19"/>
            <w:r>
              <w:rPr>
                <w:rFonts w:hint="eastAsia" w:ascii="宋体" w:hAnsi="宋体"/>
                <w:color w:val="000000"/>
                <w:sz w:val="18"/>
                <w:szCs w:val="18"/>
              </w:rPr>
              <w:t>唐传勤、田锦霞、山东邱家实业有限公司、荣成海盛纸业有限公司、好当家集团有限公司</w:t>
            </w:r>
            <w:bookmarkEnd w:id="409"/>
          </w:p>
        </w:tc>
        <w:tc>
          <w:tcPr>
            <w:tcW w:w="857" w:type="pct"/>
            <w:tcBorders>
              <w:top w:val="single" w:color="auto" w:sz="4" w:space="0"/>
              <w:left w:val="single" w:color="auto" w:sz="4" w:space="0"/>
              <w:bottom w:val="single" w:color="auto" w:sz="4" w:space="0"/>
              <w:right w:val="single" w:color="auto" w:sz="4" w:space="0"/>
            </w:tcBorders>
            <w:vAlign w:val="center"/>
          </w:tcPr>
          <w:p w14:paraId="5354B0C8">
            <w:pPr>
              <w:jc w:val="right"/>
              <w:rPr>
                <w:color w:val="000000"/>
                <w:sz w:val="18"/>
                <w:szCs w:val="18"/>
              </w:rPr>
            </w:pPr>
            <w:r>
              <w:rPr>
                <w:color w:val="000000"/>
                <w:sz w:val="18"/>
                <w:szCs w:val="18"/>
              </w:rPr>
              <w:t>58,950,000.00</w:t>
            </w:r>
          </w:p>
        </w:tc>
        <w:tc>
          <w:tcPr>
            <w:tcW w:w="857" w:type="pct"/>
            <w:tcBorders>
              <w:top w:val="single" w:color="auto" w:sz="4" w:space="0"/>
              <w:left w:val="single" w:color="auto" w:sz="4" w:space="0"/>
              <w:bottom w:val="single" w:color="auto" w:sz="4" w:space="0"/>
              <w:right w:val="single" w:color="auto" w:sz="4" w:space="0"/>
            </w:tcBorders>
            <w:vAlign w:val="center"/>
          </w:tcPr>
          <w:p w14:paraId="730EBA40">
            <w:pPr>
              <w:rPr>
                <w:color w:val="000000"/>
                <w:sz w:val="18"/>
                <w:szCs w:val="18"/>
              </w:rPr>
            </w:pPr>
            <w:r>
              <w:rPr>
                <w:rFonts w:hint="eastAsia"/>
                <w:color w:val="000000"/>
                <w:sz w:val="18"/>
                <w:szCs w:val="18"/>
              </w:rPr>
              <w:t>2026/1/28</w:t>
            </w:r>
          </w:p>
        </w:tc>
        <w:tc>
          <w:tcPr>
            <w:tcW w:w="714" w:type="pct"/>
            <w:tcBorders>
              <w:top w:val="single" w:color="auto" w:sz="4" w:space="0"/>
              <w:left w:val="single" w:color="auto" w:sz="4" w:space="0"/>
              <w:bottom w:val="single" w:color="auto" w:sz="4" w:space="0"/>
              <w:right w:val="single" w:color="auto" w:sz="4" w:space="0"/>
            </w:tcBorders>
            <w:vAlign w:val="center"/>
          </w:tcPr>
          <w:p w14:paraId="170C220A">
            <w:pPr>
              <w:rPr>
                <w:color w:val="000000"/>
                <w:sz w:val="18"/>
                <w:szCs w:val="18"/>
              </w:rPr>
            </w:pPr>
            <w:r>
              <w:rPr>
                <w:rFonts w:hint="eastAsia"/>
                <w:color w:val="000000"/>
                <w:sz w:val="18"/>
                <w:szCs w:val="18"/>
              </w:rPr>
              <w:t>2027/1/28</w:t>
            </w:r>
          </w:p>
        </w:tc>
        <w:tc>
          <w:tcPr>
            <w:tcW w:w="643" w:type="pct"/>
            <w:tcBorders>
              <w:top w:val="single" w:color="auto" w:sz="4" w:space="0"/>
              <w:left w:val="single" w:color="auto" w:sz="4" w:space="0"/>
              <w:bottom w:val="single" w:color="auto" w:sz="4" w:space="0"/>
              <w:right w:val="single" w:color="auto" w:sz="4" w:space="0"/>
            </w:tcBorders>
            <w:vAlign w:val="center"/>
          </w:tcPr>
          <w:p w14:paraId="4782859E">
            <w:pPr>
              <w:rPr>
                <w:sz w:val="18"/>
                <w:szCs w:val="18"/>
              </w:rPr>
            </w:pPr>
            <w:r>
              <w:rPr>
                <w:rFonts w:hint="eastAsia" w:ascii="宋体" w:hAnsi="宋体"/>
                <w:sz w:val="18"/>
                <w:szCs w:val="18"/>
              </w:rPr>
              <w:t>否</w:t>
            </w:r>
          </w:p>
        </w:tc>
      </w:tr>
      <w:tr w14:paraId="7222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53A221F2">
            <w:pPr>
              <w:rPr>
                <w:rFonts w:hint="eastAsia" w:ascii="宋体" w:hAnsi="宋体"/>
                <w:color w:val="000000"/>
                <w:sz w:val="18"/>
                <w:szCs w:val="18"/>
              </w:rPr>
            </w:pPr>
            <w:bookmarkStart w:id="410" w:name="_Hlk235689526"/>
            <w:r>
              <w:rPr>
                <w:rFonts w:hint="eastAsia" w:ascii="宋体" w:hAnsi="宋体"/>
                <w:color w:val="000000"/>
                <w:sz w:val="18"/>
                <w:szCs w:val="18"/>
              </w:rPr>
              <w:t>山东好当家海洋发展股份有限公司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0DFD1895">
            <w:pPr>
              <w:jc w:val="right"/>
              <w:rPr>
                <w:color w:val="000000"/>
                <w:sz w:val="18"/>
                <w:szCs w:val="18"/>
              </w:rPr>
            </w:pPr>
            <w:r>
              <w:rPr>
                <w:color w:val="000000"/>
                <w:sz w:val="18"/>
                <w:szCs w:val="18"/>
              </w:rPr>
              <w:t>5,200,000.00</w:t>
            </w:r>
          </w:p>
        </w:tc>
        <w:tc>
          <w:tcPr>
            <w:tcW w:w="857" w:type="pct"/>
            <w:tcBorders>
              <w:top w:val="single" w:color="auto" w:sz="4" w:space="0"/>
              <w:left w:val="single" w:color="auto" w:sz="4" w:space="0"/>
              <w:bottom w:val="single" w:color="auto" w:sz="4" w:space="0"/>
              <w:right w:val="single" w:color="auto" w:sz="4" w:space="0"/>
            </w:tcBorders>
            <w:vAlign w:val="center"/>
          </w:tcPr>
          <w:p w14:paraId="41A4D389">
            <w:pPr>
              <w:rPr>
                <w:color w:val="000000"/>
                <w:sz w:val="18"/>
                <w:szCs w:val="18"/>
              </w:rPr>
            </w:pPr>
            <w:r>
              <w:rPr>
                <w:rFonts w:hint="eastAsia"/>
                <w:color w:val="000000"/>
                <w:sz w:val="18"/>
                <w:szCs w:val="18"/>
              </w:rPr>
              <w:t>2026/1/28</w:t>
            </w:r>
          </w:p>
        </w:tc>
        <w:tc>
          <w:tcPr>
            <w:tcW w:w="714" w:type="pct"/>
            <w:tcBorders>
              <w:top w:val="single" w:color="auto" w:sz="4" w:space="0"/>
              <w:left w:val="single" w:color="auto" w:sz="4" w:space="0"/>
              <w:bottom w:val="single" w:color="auto" w:sz="4" w:space="0"/>
              <w:right w:val="single" w:color="auto" w:sz="4" w:space="0"/>
            </w:tcBorders>
            <w:vAlign w:val="center"/>
          </w:tcPr>
          <w:p w14:paraId="6B540C94">
            <w:pPr>
              <w:rPr>
                <w:color w:val="000000"/>
                <w:sz w:val="18"/>
                <w:szCs w:val="18"/>
              </w:rPr>
            </w:pPr>
            <w:r>
              <w:rPr>
                <w:rFonts w:hint="eastAsia"/>
                <w:color w:val="000000"/>
                <w:sz w:val="18"/>
                <w:szCs w:val="18"/>
              </w:rPr>
              <w:t>2030/12/29</w:t>
            </w:r>
          </w:p>
        </w:tc>
        <w:tc>
          <w:tcPr>
            <w:tcW w:w="643" w:type="pct"/>
            <w:tcBorders>
              <w:top w:val="single" w:color="auto" w:sz="4" w:space="0"/>
              <w:left w:val="single" w:color="auto" w:sz="4" w:space="0"/>
              <w:bottom w:val="single" w:color="auto" w:sz="4" w:space="0"/>
              <w:right w:val="single" w:color="auto" w:sz="4" w:space="0"/>
            </w:tcBorders>
            <w:vAlign w:val="center"/>
          </w:tcPr>
          <w:p w14:paraId="1273737E">
            <w:pPr>
              <w:rPr>
                <w:sz w:val="18"/>
                <w:szCs w:val="18"/>
              </w:rPr>
            </w:pPr>
            <w:r>
              <w:rPr>
                <w:rFonts w:hint="eastAsia" w:ascii="宋体" w:hAnsi="宋体"/>
                <w:sz w:val="18"/>
                <w:szCs w:val="18"/>
              </w:rPr>
              <w:t>否</w:t>
            </w:r>
          </w:p>
        </w:tc>
      </w:tr>
      <w:bookmarkEnd w:id="410"/>
      <w:tr w14:paraId="0A78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36C04E25">
            <w:pPr>
              <w:rPr>
                <w:rFonts w:hint="eastAsia" w:ascii="宋体" w:hAnsi="宋体"/>
                <w:color w:val="000000"/>
                <w:sz w:val="18"/>
                <w:szCs w:val="18"/>
              </w:rPr>
            </w:pPr>
            <w:r>
              <w:rPr>
                <w:rFonts w:hint="eastAsia" w:ascii="宋体" w:hAnsi="宋体"/>
                <w:color w:val="000000"/>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0A82C254">
            <w:pPr>
              <w:jc w:val="right"/>
              <w:rPr>
                <w:color w:val="000000"/>
                <w:sz w:val="18"/>
                <w:szCs w:val="18"/>
              </w:rPr>
            </w:pPr>
            <w:r>
              <w:rPr>
                <w:color w:val="000000"/>
                <w:sz w:val="18"/>
                <w:szCs w:val="18"/>
              </w:rPr>
              <w:t>37,500,000.00</w:t>
            </w:r>
          </w:p>
        </w:tc>
        <w:tc>
          <w:tcPr>
            <w:tcW w:w="857" w:type="pct"/>
            <w:tcBorders>
              <w:top w:val="single" w:color="auto" w:sz="4" w:space="0"/>
              <w:left w:val="single" w:color="auto" w:sz="4" w:space="0"/>
              <w:bottom w:val="single" w:color="auto" w:sz="4" w:space="0"/>
              <w:right w:val="single" w:color="auto" w:sz="4" w:space="0"/>
            </w:tcBorders>
            <w:vAlign w:val="center"/>
          </w:tcPr>
          <w:p w14:paraId="5565BEAC">
            <w:pPr>
              <w:rPr>
                <w:color w:val="000000"/>
                <w:sz w:val="18"/>
                <w:szCs w:val="18"/>
              </w:rPr>
            </w:pPr>
            <w:r>
              <w:rPr>
                <w:rFonts w:hint="eastAsia"/>
                <w:color w:val="000000"/>
                <w:sz w:val="18"/>
                <w:szCs w:val="18"/>
              </w:rPr>
              <w:t>2026/2/9</w:t>
            </w:r>
          </w:p>
        </w:tc>
        <w:tc>
          <w:tcPr>
            <w:tcW w:w="714" w:type="pct"/>
            <w:tcBorders>
              <w:top w:val="single" w:color="auto" w:sz="4" w:space="0"/>
              <w:left w:val="single" w:color="auto" w:sz="4" w:space="0"/>
              <w:bottom w:val="single" w:color="auto" w:sz="4" w:space="0"/>
              <w:right w:val="single" w:color="auto" w:sz="4" w:space="0"/>
            </w:tcBorders>
            <w:vAlign w:val="center"/>
          </w:tcPr>
          <w:p w14:paraId="3B50A221">
            <w:pPr>
              <w:rPr>
                <w:color w:val="000000"/>
                <w:sz w:val="18"/>
                <w:szCs w:val="18"/>
              </w:rPr>
            </w:pPr>
            <w:r>
              <w:rPr>
                <w:rFonts w:hint="eastAsia"/>
                <w:color w:val="000000"/>
                <w:sz w:val="18"/>
                <w:szCs w:val="18"/>
              </w:rPr>
              <w:t>2027/1/25</w:t>
            </w:r>
          </w:p>
        </w:tc>
        <w:tc>
          <w:tcPr>
            <w:tcW w:w="643" w:type="pct"/>
            <w:tcBorders>
              <w:top w:val="single" w:color="auto" w:sz="4" w:space="0"/>
              <w:left w:val="single" w:color="auto" w:sz="4" w:space="0"/>
              <w:bottom w:val="single" w:color="auto" w:sz="4" w:space="0"/>
              <w:right w:val="single" w:color="auto" w:sz="4" w:space="0"/>
            </w:tcBorders>
            <w:vAlign w:val="center"/>
          </w:tcPr>
          <w:p w14:paraId="1F689712">
            <w:pPr>
              <w:rPr>
                <w:sz w:val="18"/>
                <w:szCs w:val="18"/>
              </w:rPr>
            </w:pPr>
            <w:r>
              <w:rPr>
                <w:rFonts w:hint="eastAsia" w:ascii="宋体" w:hAnsi="宋体"/>
                <w:sz w:val="18"/>
                <w:szCs w:val="18"/>
              </w:rPr>
              <w:t>否</w:t>
            </w:r>
          </w:p>
        </w:tc>
      </w:tr>
      <w:tr w14:paraId="398F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24B40AF3">
            <w:pPr>
              <w:rPr>
                <w:rFonts w:hint="eastAsia" w:ascii="宋体" w:hAnsi="宋体"/>
                <w:color w:val="000000"/>
                <w:sz w:val="18"/>
                <w:szCs w:val="18"/>
              </w:rPr>
            </w:pPr>
            <w:r>
              <w:rPr>
                <w:rFonts w:hint="eastAsia" w:ascii="宋体" w:hAnsi="宋体"/>
                <w:color w:val="000000"/>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2A14D0FD">
            <w:pPr>
              <w:jc w:val="right"/>
              <w:rPr>
                <w:color w:val="000000"/>
                <w:sz w:val="18"/>
                <w:szCs w:val="18"/>
              </w:rPr>
            </w:pPr>
            <w:r>
              <w:rPr>
                <w:color w:val="000000"/>
                <w:sz w:val="18"/>
                <w:szCs w:val="18"/>
              </w:rPr>
              <w:t>30,000,000.00</w:t>
            </w:r>
          </w:p>
        </w:tc>
        <w:tc>
          <w:tcPr>
            <w:tcW w:w="857" w:type="pct"/>
            <w:tcBorders>
              <w:top w:val="single" w:color="auto" w:sz="4" w:space="0"/>
              <w:left w:val="single" w:color="auto" w:sz="4" w:space="0"/>
              <w:bottom w:val="single" w:color="auto" w:sz="4" w:space="0"/>
              <w:right w:val="single" w:color="auto" w:sz="4" w:space="0"/>
            </w:tcBorders>
            <w:vAlign w:val="center"/>
          </w:tcPr>
          <w:p w14:paraId="7BA24309">
            <w:pPr>
              <w:rPr>
                <w:color w:val="000000"/>
                <w:sz w:val="18"/>
                <w:szCs w:val="18"/>
              </w:rPr>
            </w:pPr>
            <w:r>
              <w:rPr>
                <w:rFonts w:hint="eastAsia"/>
                <w:color w:val="000000"/>
                <w:sz w:val="18"/>
                <w:szCs w:val="18"/>
              </w:rPr>
              <w:t>2026/2/10</w:t>
            </w:r>
          </w:p>
        </w:tc>
        <w:tc>
          <w:tcPr>
            <w:tcW w:w="714" w:type="pct"/>
            <w:tcBorders>
              <w:top w:val="single" w:color="auto" w:sz="4" w:space="0"/>
              <w:left w:val="single" w:color="auto" w:sz="4" w:space="0"/>
              <w:bottom w:val="single" w:color="auto" w:sz="4" w:space="0"/>
              <w:right w:val="single" w:color="auto" w:sz="4" w:space="0"/>
            </w:tcBorders>
            <w:vAlign w:val="center"/>
          </w:tcPr>
          <w:p w14:paraId="1AF2BB44">
            <w:pPr>
              <w:rPr>
                <w:color w:val="000000"/>
                <w:sz w:val="18"/>
                <w:szCs w:val="18"/>
              </w:rPr>
            </w:pPr>
            <w:r>
              <w:rPr>
                <w:rFonts w:hint="eastAsia"/>
                <w:color w:val="000000"/>
                <w:sz w:val="18"/>
                <w:szCs w:val="18"/>
              </w:rPr>
              <w:t>2026/8/10</w:t>
            </w:r>
          </w:p>
        </w:tc>
        <w:tc>
          <w:tcPr>
            <w:tcW w:w="643" w:type="pct"/>
            <w:tcBorders>
              <w:top w:val="single" w:color="auto" w:sz="4" w:space="0"/>
              <w:left w:val="single" w:color="auto" w:sz="4" w:space="0"/>
              <w:bottom w:val="single" w:color="auto" w:sz="4" w:space="0"/>
              <w:right w:val="single" w:color="auto" w:sz="4" w:space="0"/>
            </w:tcBorders>
            <w:vAlign w:val="center"/>
          </w:tcPr>
          <w:p w14:paraId="6D06D114">
            <w:r>
              <w:rPr>
                <w:rFonts w:hint="eastAsia" w:ascii="宋体" w:hAnsi="宋体"/>
                <w:sz w:val="18"/>
                <w:szCs w:val="18"/>
              </w:rPr>
              <w:t>否</w:t>
            </w:r>
          </w:p>
        </w:tc>
      </w:tr>
      <w:tr w14:paraId="02EA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69546570">
            <w:pPr>
              <w:rPr>
                <w:rFonts w:hint="eastAsia" w:ascii="宋体" w:hAnsi="宋体"/>
                <w:color w:val="000000"/>
                <w:sz w:val="18"/>
                <w:szCs w:val="18"/>
              </w:rPr>
            </w:pPr>
            <w:r>
              <w:rPr>
                <w:rFonts w:hint="eastAsia" w:ascii="宋体" w:hAnsi="宋体"/>
                <w:color w:val="000000"/>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65C46EE0">
            <w:pPr>
              <w:jc w:val="right"/>
              <w:rPr>
                <w:color w:val="000000"/>
                <w:sz w:val="18"/>
                <w:szCs w:val="18"/>
              </w:rPr>
            </w:pPr>
            <w:r>
              <w:rPr>
                <w:color w:val="000000"/>
                <w:sz w:val="18"/>
                <w:szCs w:val="18"/>
              </w:rPr>
              <w:t>50,000,000.00</w:t>
            </w:r>
          </w:p>
        </w:tc>
        <w:tc>
          <w:tcPr>
            <w:tcW w:w="857" w:type="pct"/>
            <w:tcBorders>
              <w:top w:val="single" w:color="auto" w:sz="4" w:space="0"/>
              <w:left w:val="single" w:color="auto" w:sz="4" w:space="0"/>
              <w:bottom w:val="single" w:color="auto" w:sz="4" w:space="0"/>
              <w:right w:val="single" w:color="auto" w:sz="4" w:space="0"/>
            </w:tcBorders>
            <w:vAlign w:val="center"/>
          </w:tcPr>
          <w:p w14:paraId="3BDE6483">
            <w:pPr>
              <w:rPr>
                <w:color w:val="000000"/>
                <w:sz w:val="18"/>
                <w:szCs w:val="18"/>
              </w:rPr>
            </w:pPr>
            <w:r>
              <w:rPr>
                <w:rFonts w:hint="eastAsia"/>
                <w:color w:val="000000"/>
                <w:sz w:val="18"/>
                <w:szCs w:val="18"/>
              </w:rPr>
              <w:t>2026/2/11</w:t>
            </w:r>
          </w:p>
        </w:tc>
        <w:tc>
          <w:tcPr>
            <w:tcW w:w="714" w:type="pct"/>
            <w:tcBorders>
              <w:top w:val="single" w:color="auto" w:sz="4" w:space="0"/>
              <w:left w:val="single" w:color="auto" w:sz="4" w:space="0"/>
              <w:bottom w:val="single" w:color="auto" w:sz="4" w:space="0"/>
              <w:right w:val="single" w:color="auto" w:sz="4" w:space="0"/>
            </w:tcBorders>
            <w:vAlign w:val="center"/>
          </w:tcPr>
          <w:p w14:paraId="5DC2C6F6">
            <w:pPr>
              <w:rPr>
                <w:color w:val="000000"/>
                <w:sz w:val="18"/>
                <w:szCs w:val="18"/>
              </w:rPr>
            </w:pPr>
            <w:r>
              <w:rPr>
                <w:rFonts w:hint="eastAsia"/>
                <w:color w:val="000000"/>
                <w:sz w:val="18"/>
                <w:szCs w:val="18"/>
              </w:rPr>
              <w:t>2027/2/10</w:t>
            </w:r>
          </w:p>
        </w:tc>
        <w:tc>
          <w:tcPr>
            <w:tcW w:w="643" w:type="pct"/>
            <w:tcBorders>
              <w:top w:val="single" w:color="auto" w:sz="4" w:space="0"/>
              <w:left w:val="single" w:color="auto" w:sz="4" w:space="0"/>
              <w:bottom w:val="single" w:color="auto" w:sz="4" w:space="0"/>
              <w:right w:val="single" w:color="auto" w:sz="4" w:space="0"/>
            </w:tcBorders>
            <w:vAlign w:val="center"/>
          </w:tcPr>
          <w:p w14:paraId="1457AF40">
            <w:r>
              <w:rPr>
                <w:rFonts w:hint="eastAsia" w:ascii="宋体" w:hAnsi="宋体"/>
                <w:sz w:val="18"/>
                <w:szCs w:val="18"/>
              </w:rPr>
              <w:t>否</w:t>
            </w:r>
          </w:p>
        </w:tc>
      </w:tr>
      <w:tr w14:paraId="3B0E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3631B75F">
            <w:pPr>
              <w:rPr>
                <w:rFonts w:hint="eastAsia" w:ascii="宋体" w:hAnsi="宋体"/>
                <w:color w:val="000000"/>
                <w:sz w:val="18"/>
                <w:szCs w:val="18"/>
              </w:rPr>
            </w:pPr>
            <w:r>
              <w:rPr>
                <w:rFonts w:hint="eastAsia" w:ascii="宋体" w:hAnsi="宋体"/>
                <w:color w:val="000000"/>
                <w:sz w:val="18"/>
                <w:szCs w:val="18"/>
              </w:rPr>
              <w:t>唐传勤、田锦霞、山东邱家实业有限公司、荣成海盛纸业有限公司、好当家集团有限公司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2C5495FF">
            <w:pPr>
              <w:jc w:val="right"/>
              <w:rPr>
                <w:color w:val="000000"/>
                <w:sz w:val="18"/>
                <w:szCs w:val="18"/>
              </w:rPr>
            </w:pPr>
            <w:r>
              <w:rPr>
                <w:color w:val="000000"/>
                <w:sz w:val="18"/>
                <w:szCs w:val="18"/>
              </w:rPr>
              <w:t>40,000,000.00</w:t>
            </w:r>
          </w:p>
        </w:tc>
        <w:tc>
          <w:tcPr>
            <w:tcW w:w="857" w:type="pct"/>
            <w:tcBorders>
              <w:top w:val="single" w:color="auto" w:sz="4" w:space="0"/>
              <w:left w:val="single" w:color="auto" w:sz="4" w:space="0"/>
              <w:bottom w:val="single" w:color="auto" w:sz="4" w:space="0"/>
              <w:right w:val="single" w:color="auto" w:sz="4" w:space="0"/>
            </w:tcBorders>
            <w:vAlign w:val="center"/>
          </w:tcPr>
          <w:p w14:paraId="440B3359">
            <w:pPr>
              <w:rPr>
                <w:color w:val="000000"/>
                <w:sz w:val="18"/>
                <w:szCs w:val="18"/>
              </w:rPr>
            </w:pPr>
            <w:r>
              <w:rPr>
                <w:rFonts w:hint="eastAsia"/>
                <w:color w:val="000000"/>
                <w:sz w:val="18"/>
                <w:szCs w:val="18"/>
              </w:rPr>
              <w:t>2026/2/26</w:t>
            </w:r>
          </w:p>
        </w:tc>
        <w:tc>
          <w:tcPr>
            <w:tcW w:w="714" w:type="pct"/>
            <w:tcBorders>
              <w:top w:val="single" w:color="auto" w:sz="4" w:space="0"/>
              <w:left w:val="single" w:color="auto" w:sz="4" w:space="0"/>
              <w:bottom w:val="single" w:color="auto" w:sz="4" w:space="0"/>
              <w:right w:val="single" w:color="auto" w:sz="4" w:space="0"/>
            </w:tcBorders>
            <w:vAlign w:val="center"/>
          </w:tcPr>
          <w:p w14:paraId="7CBDC3C1">
            <w:pPr>
              <w:rPr>
                <w:color w:val="000000"/>
                <w:sz w:val="18"/>
                <w:szCs w:val="18"/>
              </w:rPr>
            </w:pPr>
            <w:r>
              <w:rPr>
                <w:rFonts w:hint="eastAsia"/>
                <w:color w:val="000000"/>
                <w:sz w:val="18"/>
                <w:szCs w:val="18"/>
              </w:rPr>
              <w:t>2027/2/26</w:t>
            </w:r>
          </w:p>
        </w:tc>
        <w:tc>
          <w:tcPr>
            <w:tcW w:w="643" w:type="pct"/>
            <w:tcBorders>
              <w:top w:val="single" w:color="auto" w:sz="4" w:space="0"/>
              <w:left w:val="single" w:color="auto" w:sz="4" w:space="0"/>
              <w:bottom w:val="single" w:color="auto" w:sz="4" w:space="0"/>
              <w:right w:val="single" w:color="auto" w:sz="4" w:space="0"/>
            </w:tcBorders>
            <w:vAlign w:val="center"/>
          </w:tcPr>
          <w:p w14:paraId="170BCEEF">
            <w:r>
              <w:rPr>
                <w:rFonts w:hint="eastAsia" w:ascii="宋体" w:hAnsi="宋体"/>
                <w:sz w:val="18"/>
                <w:szCs w:val="18"/>
              </w:rPr>
              <w:t>否</w:t>
            </w:r>
          </w:p>
        </w:tc>
      </w:tr>
      <w:tr w14:paraId="0AF7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70A9860D">
            <w:pPr>
              <w:rPr>
                <w:rFonts w:hint="eastAsia" w:ascii="宋体" w:hAnsi="宋体"/>
                <w:color w:val="000000"/>
                <w:sz w:val="18"/>
                <w:szCs w:val="18"/>
              </w:rPr>
            </w:pPr>
            <w:r>
              <w:rPr>
                <w:rFonts w:hint="eastAsia" w:ascii="宋体" w:hAnsi="宋体"/>
                <w:color w:val="000000"/>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32889F21">
            <w:pPr>
              <w:jc w:val="right"/>
              <w:rPr>
                <w:color w:val="000000"/>
                <w:sz w:val="18"/>
                <w:szCs w:val="18"/>
              </w:rPr>
            </w:pPr>
            <w:r>
              <w:rPr>
                <w:color w:val="000000"/>
                <w:sz w:val="18"/>
                <w:szCs w:val="18"/>
              </w:rPr>
              <w:t>20,000,000.00</w:t>
            </w:r>
          </w:p>
        </w:tc>
        <w:tc>
          <w:tcPr>
            <w:tcW w:w="857" w:type="pct"/>
            <w:tcBorders>
              <w:top w:val="single" w:color="auto" w:sz="4" w:space="0"/>
              <w:left w:val="single" w:color="auto" w:sz="4" w:space="0"/>
              <w:bottom w:val="single" w:color="auto" w:sz="4" w:space="0"/>
              <w:right w:val="single" w:color="auto" w:sz="4" w:space="0"/>
            </w:tcBorders>
            <w:vAlign w:val="center"/>
          </w:tcPr>
          <w:p w14:paraId="3E4D78F3">
            <w:pPr>
              <w:rPr>
                <w:color w:val="000000"/>
                <w:sz w:val="18"/>
                <w:szCs w:val="18"/>
              </w:rPr>
            </w:pPr>
            <w:r>
              <w:rPr>
                <w:rFonts w:hint="eastAsia"/>
                <w:color w:val="000000"/>
                <w:sz w:val="18"/>
                <w:szCs w:val="18"/>
              </w:rPr>
              <w:t>2026/3/3</w:t>
            </w:r>
          </w:p>
        </w:tc>
        <w:tc>
          <w:tcPr>
            <w:tcW w:w="714" w:type="pct"/>
            <w:tcBorders>
              <w:top w:val="single" w:color="auto" w:sz="4" w:space="0"/>
              <w:left w:val="single" w:color="auto" w:sz="4" w:space="0"/>
              <w:bottom w:val="single" w:color="auto" w:sz="4" w:space="0"/>
              <w:right w:val="single" w:color="auto" w:sz="4" w:space="0"/>
            </w:tcBorders>
            <w:vAlign w:val="center"/>
          </w:tcPr>
          <w:p w14:paraId="3D25D273">
            <w:pPr>
              <w:rPr>
                <w:color w:val="000000"/>
                <w:sz w:val="18"/>
                <w:szCs w:val="18"/>
              </w:rPr>
            </w:pPr>
            <w:r>
              <w:rPr>
                <w:rFonts w:hint="eastAsia"/>
                <w:color w:val="000000"/>
                <w:sz w:val="18"/>
                <w:szCs w:val="18"/>
              </w:rPr>
              <w:t>2027/3/3</w:t>
            </w:r>
          </w:p>
        </w:tc>
        <w:tc>
          <w:tcPr>
            <w:tcW w:w="643" w:type="pct"/>
            <w:tcBorders>
              <w:top w:val="single" w:color="auto" w:sz="4" w:space="0"/>
              <w:left w:val="single" w:color="auto" w:sz="4" w:space="0"/>
              <w:bottom w:val="single" w:color="auto" w:sz="4" w:space="0"/>
              <w:right w:val="single" w:color="auto" w:sz="4" w:space="0"/>
            </w:tcBorders>
            <w:vAlign w:val="center"/>
          </w:tcPr>
          <w:p w14:paraId="6F076D40">
            <w:r>
              <w:rPr>
                <w:rFonts w:hint="eastAsia" w:ascii="宋体" w:hAnsi="宋体"/>
                <w:sz w:val="18"/>
                <w:szCs w:val="18"/>
              </w:rPr>
              <w:t>否</w:t>
            </w:r>
          </w:p>
        </w:tc>
      </w:tr>
      <w:tr w14:paraId="7BA1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71A8B959">
            <w:pPr>
              <w:rPr>
                <w:rFonts w:hint="eastAsia" w:ascii="宋体" w:hAnsi="宋体"/>
                <w:color w:val="000000"/>
                <w:sz w:val="18"/>
                <w:szCs w:val="18"/>
              </w:rPr>
            </w:pPr>
            <w:r>
              <w:rPr>
                <w:rFonts w:hint="eastAsia" w:ascii="宋体" w:hAnsi="宋体"/>
                <w:color w:val="000000"/>
                <w:sz w:val="18"/>
                <w:szCs w:val="18"/>
              </w:rPr>
              <w:t>唐传勤、山东邱家实业有限公司、荣成海盛纸业有限公司、好当家集团有限公司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70DB79D9">
            <w:pPr>
              <w:jc w:val="right"/>
              <w:rPr>
                <w:color w:val="000000"/>
                <w:sz w:val="18"/>
                <w:szCs w:val="18"/>
              </w:rPr>
            </w:pPr>
            <w:r>
              <w:rPr>
                <w:color w:val="000000"/>
                <w:sz w:val="18"/>
                <w:szCs w:val="18"/>
              </w:rPr>
              <w:t>10,000,000.00</w:t>
            </w:r>
          </w:p>
        </w:tc>
        <w:tc>
          <w:tcPr>
            <w:tcW w:w="857" w:type="pct"/>
            <w:tcBorders>
              <w:top w:val="single" w:color="auto" w:sz="4" w:space="0"/>
              <w:left w:val="single" w:color="auto" w:sz="4" w:space="0"/>
              <w:bottom w:val="single" w:color="auto" w:sz="4" w:space="0"/>
              <w:right w:val="single" w:color="auto" w:sz="4" w:space="0"/>
            </w:tcBorders>
            <w:vAlign w:val="center"/>
          </w:tcPr>
          <w:p w14:paraId="2EDE770A">
            <w:pPr>
              <w:rPr>
                <w:color w:val="000000"/>
                <w:sz w:val="18"/>
                <w:szCs w:val="18"/>
              </w:rPr>
            </w:pPr>
            <w:r>
              <w:rPr>
                <w:rFonts w:hint="eastAsia"/>
                <w:color w:val="000000"/>
                <w:sz w:val="18"/>
                <w:szCs w:val="18"/>
              </w:rPr>
              <w:t>2026/3/5</w:t>
            </w:r>
          </w:p>
        </w:tc>
        <w:tc>
          <w:tcPr>
            <w:tcW w:w="714" w:type="pct"/>
            <w:tcBorders>
              <w:top w:val="single" w:color="auto" w:sz="4" w:space="0"/>
              <w:left w:val="single" w:color="auto" w:sz="4" w:space="0"/>
              <w:bottom w:val="single" w:color="auto" w:sz="4" w:space="0"/>
              <w:right w:val="single" w:color="auto" w:sz="4" w:space="0"/>
            </w:tcBorders>
            <w:vAlign w:val="center"/>
          </w:tcPr>
          <w:p w14:paraId="27898231">
            <w:pPr>
              <w:rPr>
                <w:color w:val="000000"/>
                <w:sz w:val="18"/>
                <w:szCs w:val="18"/>
              </w:rPr>
            </w:pPr>
            <w:r>
              <w:rPr>
                <w:rFonts w:hint="eastAsia"/>
                <w:color w:val="000000"/>
                <w:sz w:val="18"/>
                <w:szCs w:val="18"/>
              </w:rPr>
              <w:t>2027/3/5</w:t>
            </w:r>
          </w:p>
        </w:tc>
        <w:tc>
          <w:tcPr>
            <w:tcW w:w="643" w:type="pct"/>
            <w:tcBorders>
              <w:top w:val="single" w:color="auto" w:sz="4" w:space="0"/>
              <w:left w:val="single" w:color="auto" w:sz="4" w:space="0"/>
              <w:bottom w:val="single" w:color="auto" w:sz="4" w:space="0"/>
              <w:right w:val="single" w:color="auto" w:sz="4" w:space="0"/>
            </w:tcBorders>
            <w:vAlign w:val="center"/>
          </w:tcPr>
          <w:p w14:paraId="6154572F">
            <w:r>
              <w:rPr>
                <w:rFonts w:hint="eastAsia" w:ascii="宋体" w:hAnsi="宋体"/>
                <w:sz w:val="18"/>
                <w:szCs w:val="18"/>
              </w:rPr>
              <w:t>否</w:t>
            </w:r>
          </w:p>
        </w:tc>
      </w:tr>
      <w:tr w14:paraId="3022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0C60E4D8">
            <w:pPr>
              <w:rPr>
                <w:rFonts w:hint="eastAsia" w:ascii="宋体" w:hAnsi="宋体"/>
                <w:color w:val="000000"/>
                <w:sz w:val="18"/>
                <w:szCs w:val="18"/>
              </w:rPr>
            </w:pPr>
            <w:r>
              <w:rPr>
                <w:rFonts w:hint="eastAsia" w:ascii="宋体" w:hAnsi="宋体"/>
                <w:color w:val="000000"/>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7C37DE00">
            <w:pPr>
              <w:jc w:val="right"/>
              <w:rPr>
                <w:color w:val="000000"/>
                <w:sz w:val="18"/>
                <w:szCs w:val="18"/>
              </w:rPr>
            </w:pPr>
            <w:r>
              <w:rPr>
                <w:color w:val="000000"/>
                <w:sz w:val="18"/>
                <w:szCs w:val="18"/>
              </w:rPr>
              <w:t>28,500,000.00</w:t>
            </w:r>
          </w:p>
        </w:tc>
        <w:tc>
          <w:tcPr>
            <w:tcW w:w="857" w:type="pct"/>
            <w:tcBorders>
              <w:top w:val="single" w:color="auto" w:sz="4" w:space="0"/>
              <w:left w:val="single" w:color="auto" w:sz="4" w:space="0"/>
              <w:bottom w:val="single" w:color="auto" w:sz="4" w:space="0"/>
              <w:right w:val="single" w:color="auto" w:sz="4" w:space="0"/>
            </w:tcBorders>
            <w:vAlign w:val="center"/>
          </w:tcPr>
          <w:p w14:paraId="064C944C">
            <w:pPr>
              <w:rPr>
                <w:color w:val="000000"/>
                <w:sz w:val="18"/>
                <w:szCs w:val="18"/>
              </w:rPr>
            </w:pPr>
            <w:r>
              <w:rPr>
                <w:rFonts w:hint="eastAsia"/>
                <w:color w:val="000000"/>
                <w:sz w:val="18"/>
                <w:szCs w:val="18"/>
              </w:rPr>
              <w:t>2026/3/10</w:t>
            </w:r>
          </w:p>
        </w:tc>
        <w:tc>
          <w:tcPr>
            <w:tcW w:w="714" w:type="pct"/>
            <w:tcBorders>
              <w:top w:val="single" w:color="auto" w:sz="4" w:space="0"/>
              <w:left w:val="single" w:color="auto" w:sz="4" w:space="0"/>
              <w:bottom w:val="single" w:color="auto" w:sz="4" w:space="0"/>
              <w:right w:val="single" w:color="auto" w:sz="4" w:space="0"/>
            </w:tcBorders>
            <w:vAlign w:val="center"/>
          </w:tcPr>
          <w:p w14:paraId="42E1E979">
            <w:pPr>
              <w:rPr>
                <w:color w:val="000000"/>
                <w:sz w:val="18"/>
                <w:szCs w:val="18"/>
              </w:rPr>
            </w:pPr>
            <w:r>
              <w:rPr>
                <w:rFonts w:hint="eastAsia"/>
                <w:color w:val="000000"/>
                <w:sz w:val="18"/>
                <w:szCs w:val="18"/>
              </w:rPr>
              <w:t>2026/9/10</w:t>
            </w:r>
          </w:p>
        </w:tc>
        <w:tc>
          <w:tcPr>
            <w:tcW w:w="643" w:type="pct"/>
            <w:tcBorders>
              <w:top w:val="single" w:color="auto" w:sz="4" w:space="0"/>
              <w:left w:val="single" w:color="auto" w:sz="4" w:space="0"/>
              <w:bottom w:val="single" w:color="auto" w:sz="4" w:space="0"/>
              <w:right w:val="single" w:color="auto" w:sz="4" w:space="0"/>
            </w:tcBorders>
            <w:vAlign w:val="center"/>
          </w:tcPr>
          <w:p w14:paraId="6FC693D5">
            <w:r>
              <w:rPr>
                <w:rFonts w:hint="eastAsia" w:ascii="宋体" w:hAnsi="宋体"/>
                <w:sz w:val="18"/>
                <w:szCs w:val="18"/>
              </w:rPr>
              <w:t>否</w:t>
            </w:r>
          </w:p>
        </w:tc>
      </w:tr>
      <w:tr w14:paraId="2AF6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2627245C">
            <w:pPr>
              <w:rPr>
                <w:rFonts w:hint="eastAsia" w:ascii="宋体" w:hAnsi="宋体"/>
                <w:color w:val="000000"/>
                <w:sz w:val="18"/>
                <w:szCs w:val="18"/>
              </w:rPr>
            </w:pPr>
            <w:r>
              <w:rPr>
                <w:rFonts w:hint="eastAsia" w:ascii="宋体" w:hAnsi="宋体"/>
                <w:color w:val="000000"/>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46AA9B50">
            <w:pPr>
              <w:jc w:val="right"/>
              <w:rPr>
                <w:color w:val="000000"/>
                <w:sz w:val="18"/>
                <w:szCs w:val="18"/>
              </w:rPr>
            </w:pPr>
            <w:r>
              <w:rPr>
                <w:color w:val="000000"/>
                <w:sz w:val="18"/>
                <w:szCs w:val="18"/>
              </w:rPr>
              <w:t>11,500,000.00</w:t>
            </w:r>
          </w:p>
        </w:tc>
        <w:tc>
          <w:tcPr>
            <w:tcW w:w="857" w:type="pct"/>
            <w:tcBorders>
              <w:top w:val="single" w:color="auto" w:sz="4" w:space="0"/>
              <w:left w:val="single" w:color="auto" w:sz="4" w:space="0"/>
              <w:bottom w:val="single" w:color="auto" w:sz="4" w:space="0"/>
              <w:right w:val="single" w:color="auto" w:sz="4" w:space="0"/>
            </w:tcBorders>
            <w:vAlign w:val="center"/>
          </w:tcPr>
          <w:p w14:paraId="1A152741">
            <w:pPr>
              <w:rPr>
                <w:color w:val="000000"/>
                <w:sz w:val="18"/>
                <w:szCs w:val="18"/>
              </w:rPr>
            </w:pPr>
            <w:r>
              <w:rPr>
                <w:rFonts w:hint="eastAsia"/>
                <w:color w:val="000000"/>
                <w:sz w:val="18"/>
                <w:szCs w:val="18"/>
              </w:rPr>
              <w:t>2026/3/11</w:t>
            </w:r>
          </w:p>
        </w:tc>
        <w:tc>
          <w:tcPr>
            <w:tcW w:w="714" w:type="pct"/>
            <w:tcBorders>
              <w:top w:val="single" w:color="auto" w:sz="4" w:space="0"/>
              <w:left w:val="single" w:color="auto" w:sz="4" w:space="0"/>
              <w:bottom w:val="single" w:color="auto" w:sz="4" w:space="0"/>
              <w:right w:val="single" w:color="auto" w:sz="4" w:space="0"/>
            </w:tcBorders>
            <w:vAlign w:val="center"/>
          </w:tcPr>
          <w:p w14:paraId="388F9E43">
            <w:pPr>
              <w:rPr>
                <w:color w:val="000000"/>
                <w:sz w:val="18"/>
                <w:szCs w:val="18"/>
              </w:rPr>
            </w:pPr>
            <w:r>
              <w:rPr>
                <w:rFonts w:hint="eastAsia"/>
                <w:color w:val="000000"/>
                <w:sz w:val="18"/>
                <w:szCs w:val="18"/>
              </w:rPr>
              <w:t>2026/12/4</w:t>
            </w:r>
          </w:p>
        </w:tc>
        <w:tc>
          <w:tcPr>
            <w:tcW w:w="643" w:type="pct"/>
            <w:tcBorders>
              <w:top w:val="single" w:color="auto" w:sz="4" w:space="0"/>
              <w:left w:val="single" w:color="auto" w:sz="4" w:space="0"/>
              <w:bottom w:val="single" w:color="auto" w:sz="4" w:space="0"/>
              <w:right w:val="single" w:color="auto" w:sz="4" w:space="0"/>
            </w:tcBorders>
            <w:vAlign w:val="center"/>
          </w:tcPr>
          <w:p w14:paraId="78B74C46">
            <w:r>
              <w:rPr>
                <w:rFonts w:hint="eastAsia" w:ascii="宋体" w:hAnsi="宋体"/>
                <w:sz w:val="18"/>
                <w:szCs w:val="18"/>
              </w:rPr>
              <w:t>否</w:t>
            </w:r>
          </w:p>
        </w:tc>
      </w:tr>
      <w:tr w14:paraId="13DD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331AA86C">
            <w:pPr>
              <w:rPr>
                <w:rFonts w:hint="eastAsia" w:ascii="宋体" w:hAnsi="宋体"/>
                <w:color w:val="000000"/>
                <w:sz w:val="18"/>
                <w:szCs w:val="18"/>
              </w:rPr>
            </w:pPr>
            <w:r>
              <w:rPr>
                <w:rFonts w:hint="eastAsia" w:ascii="宋体" w:hAnsi="宋体"/>
                <w:color w:val="000000"/>
                <w:sz w:val="18"/>
                <w:szCs w:val="18"/>
              </w:rPr>
              <w:t>山东好当家海洋发展股份有限公司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20BC02EA">
            <w:pPr>
              <w:jc w:val="right"/>
              <w:rPr>
                <w:color w:val="000000"/>
                <w:sz w:val="18"/>
                <w:szCs w:val="18"/>
              </w:rPr>
            </w:pPr>
            <w:r>
              <w:rPr>
                <w:color w:val="000000"/>
                <w:sz w:val="18"/>
                <w:szCs w:val="18"/>
              </w:rPr>
              <w:t>10,000,000.00</w:t>
            </w:r>
          </w:p>
        </w:tc>
        <w:tc>
          <w:tcPr>
            <w:tcW w:w="857" w:type="pct"/>
            <w:tcBorders>
              <w:top w:val="single" w:color="auto" w:sz="4" w:space="0"/>
              <w:left w:val="single" w:color="auto" w:sz="4" w:space="0"/>
              <w:bottom w:val="single" w:color="auto" w:sz="4" w:space="0"/>
              <w:right w:val="single" w:color="auto" w:sz="4" w:space="0"/>
            </w:tcBorders>
            <w:vAlign w:val="center"/>
          </w:tcPr>
          <w:p w14:paraId="67C89004">
            <w:pPr>
              <w:rPr>
                <w:color w:val="000000"/>
                <w:sz w:val="18"/>
                <w:szCs w:val="18"/>
              </w:rPr>
            </w:pPr>
            <w:r>
              <w:rPr>
                <w:rFonts w:hint="eastAsia"/>
                <w:color w:val="000000"/>
                <w:sz w:val="18"/>
                <w:szCs w:val="18"/>
              </w:rPr>
              <w:t>2026/3/13</w:t>
            </w:r>
          </w:p>
        </w:tc>
        <w:tc>
          <w:tcPr>
            <w:tcW w:w="714" w:type="pct"/>
            <w:tcBorders>
              <w:top w:val="single" w:color="auto" w:sz="4" w:space="0"/>
              <w:left w:val="single" w:color="auto" w:sz="4" w:space="0"/>
              <w:bottom w:val="single" w:color="auto" w:sz="4" w:space="0"/>
              <w:right w:val="single" w:color="auto" w:sz="4" w:space="0"/>
            </w:tcBorders>
            <w:vAlign w:val="center"/>
          </w:tcPr>
          <w:p w14:paraId="1449CE76">
            <w:pPr>
              <w:rPr>
                <w:color w:val="000000"/>
                <w:sz w:val="18"/>
                <w:szCs w:val="18"/>
              </w:rPr>
            </w:pPr>
            <w:r>
              <w:rPr>
                <w:rFonts w:hint="eastAsia"/>
                <w:color w:val="000000"/>
                <w:sz w:val="18"/>
                <w:szCs w:val="18"/>
              </w:rPr>
              <w:t>2027/3/13</w:t>
            </w:r>
          </w:p>
        </w:tc>
        <w:tc>
          <w:tcPr>
            <w:tcW w:w="643" w:type="pct"/>
            <w:tcBorders>
              <w:top w:val="single" w:color="auto" w:sz="4" w:space="0"/>
              <w:left w:val="single" w:color="auto" w:sz="4" w:space="0"/>
              <w:bottom w:val="single" w:color="auto" w:sz="4" w:space="0"/>
              <w:right w:val="single" w:color="auto" w:sz="4" w:space="0"/>
            </w:tcBorders>
            <w:vAlign w:val="center"/>
          </w:tcPr>
          <w:p w14:paraId="6E8232A5">
            <w:r>
              <w:rPr>
                <w:rFonts w:hint="eastAsia" w:ascii="宋体" w:hAnsi="宋体"/>
                <w:sz w:val="18"/>
                <w:szCs w:val="18"/>
              </w:rPr>
              <w:t>否</w:t>
            </w:r>
          </w:p>
        </w:tc>
      </w:tr>
      <w:tr w14:paraId="4C3A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6DDE19C1">
            <w:pPr>
              <w:rPr>
                <w:rFonts w:hint="eastAsia" w:ascii="宋体" w:hAnsi="宋体"/>
                <w:color w:val="000000"/>
                <w:sz w:val="18"/>
                <w:szCs w:val="18"/>
              </w:rPr>
            </w:pPr>
            <w:bookmarkStart w:id="411" w:name="OLE_LINK24"/>
            <w:bookmarkStart w:id="412" w:name="_Hlk235689536"/>
            <w:r>
              <w:rPr>
                <w:rFonts w:hint="eastAsia" w:ascii="宋体" w:hAnsi="宋体"/>
                <w:color w:val="000000"/>
                <w:sz w:val="18"/>
                <w:szCs w:val="18"/>
              </w:rPr>
              <w:t>好当家集团有限公司</w:t>
            </w:r>
            <w:bookmarkEnd w:id="411"/>
            <w:r>
              <w:rPr>
                <w:rFonts w:hint="eastAsia" w:ascii="宋体" w:hAnsi="宋体"/>
                <w:color w:val="000000"/>
                <w:sz w:val="18"/>
                <w:szCs w:val="18"/>
              </w:rPr>
              <w:t>、唐传勤、田锦霞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7C8EF027">
            <w:pPr>
              <w:jc w:val="right"/>
              <w:rPr>
                <w:color w:val="000000"/>
                <w:sz w:val="18"/>
                <w:szCs w:val="18"/>
              </w:rPr>
            </w:pPr>
            <w:r>
              <w:rPr>
                <w:color w:val="000000"/>
                <w:sz w:val="18"/>
                <w:szCs w:val="18"/>
              </w:rPr>
              <w:t>40,000,000.00</w:t>
            </w:r>
          </w:p>
        </w:tc>
        <w:tc>
          <w:tcPr>
            <w:tcW w:w="857" w:type="pct"/>
            <w:tcBorders>
              <w:top w:val="single" w:color="auto" w:sz="4" w:space="0"/>
              <w:left w:val="single" w:color="auto" w:sz="4" w:space="0"/>
              <w:bottom w:val="single" w:color="auto" w:sz="4" w:space="0"/>
              <w:right w:val="single" w:color="auto" w:sz="4" w:space="0"/>
            </w:tcBorders>
            <w:vAlign w:val="center"/>
          </w:tcPr>
          <w:p w14:paraId="12A00FDE">
            <w:pPr>
              <w:rPr>
                <w:color w:val="000000"/>
                <w:sz w:val="18"/>
                <w:szCs w:val="18"/>
              </w:rPr>
            </w:pPr>
            <w:r>
              <w:rPr>
                <w:rFonts w:hint="eastAsia"/>
                <w:color w:val="000000"/>
                <w:sz w:val="18"/>
                <w:szCs w:val="18"/>
              </w:rPr>
              <w:t>2026/3/16</w:t>
            </w:r>
          </w:p>
        </w:tc>
        <w:tc>
          <w:tcPr>
            <w:tcW w:w="714" w:type="pct"/>
            <w:tcBorders>
              <w:top w:val="single" w:color="auto" w:sz="4" w:space="0"/>
              <w:left w:val="single" w:color="auto" w:sz="4" w:space="0"/>
              <w:bottom w:val="single" w:color="auto" w:sz="4" w:space="0"/>
              <w:right w:val="single" w:color="auto" w:sz="4" w:space="0"/>
            </w:tcBorders>
            <w:vAlign w:val="center"/>
          </w:tcPr>
          <w:p w14:paraId="218D6954">
            <w:pPr>
              <w:rPr>
                <w:color w:val="000000"/>
                <w:sz w:val="18"/>
                <w:szCs w:val="18"/>
              </w:rPr>
            </w:pPr>
            <w:r>
              <w:rPr>
                <w:rFonts w:hint="eastAsia"/>
                <w:color w:val="000000"/>
                <w:sz w:val="18"/>
                <w:szCs w:val="18"/>
              </w:rPr>
              <w:t>2027/3/16</w:t>
            </w:r>
          </w:p>
        </w:tc>
        <w:tc>
          <w:tcPr>
            <w:tcW w:w="643" w:type="pct"/>
            <w:tcBorders>
              <w:top w:val="single" w:color="auto" w:sz="4" w:space="0"/>
              <w:left w:val="single" w:color="auto" w:sz="4" w:space="0"/>
              <w:bottom w:val="single" w:color="auto" w:sz="4" w:space="0"/>
              <w:right w:val="single" w:color="auto" w:sz="4" w:space="0"/>
            </w:tcBorders>
            <w:vAlign w:val="center"/>
          </w:tcPr>
          <w:p w14:paraId="490E7F67">
            <w:r>
              <w:rPr>
                <w:rFonts w:hint="eastAsia" w:ascii="宋体" w:hAnsi="宋体"/>
                <w:sz w:val="18"/>
                <w:szCs w:val="18"/>
              </w:rPr>
              <w:t>否</w:t>
            </w:r>
          </w:p>
        </w:tc>
      </w:tr>
      <w:tr w14:paraId="5BBF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4FCFB771">
            <w:pPr>
              <w:rPr>
                <w:rFonts w:hint="eastAsia" w:ascii="宋体" w:hAnsi="宋体"/>
                <w:color w:val="000000"/>
                <w:sz w:val="18"/>
                <w:szCs w:val="18"/>
              </w:rPr>
            </w:pPr>
            <w:r>
              <w:rPr>
                <w:rFonts w:hint="eastAsia" w:ascii="宋体" w:hAnsi="宋体"/>
                <w:color w:val="000000"/>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6EBD3C78">
            <w:pPr>
              <w:jc w:val="right"/>
              <w:rPr>
                <w:color w:val="000000"/>
                <w:sz w:val="18"/>
                <w:szCs w:val="18"/>
              </w:rPr>
            </w:pPr>
            <w:r>
              <w:rPr>
                <w:color w:val="000000"/>
                <w:sz w:val="18"/>
                <w:szCs w:val="18"/>
              </w:rPr>
              <w:t>9,700,000.00</w:t>
            </w:r>
          </w:p>
        </w:tc>
        <w:tc>
          <w:tcPr>
            <w:tcW w:w="857" w:type="pct"/>
            <w:tcBorders>
              <w:top w:val="single" w:color="auto" w:sz="4" w:space="0"/>
              <w:left w:val="single" w:color="auto" w:sz="4" w:space="0"/>
              <w:bottom w:val="single" w:color="auto" w:sz="4" w:space="0"/>
              <w:right w:val="single" w:color="auto" w:sz="4" w:space="0"/>
            </w:tcBorders>
            <w:vAlign w:val="center"/>
          </w:tcPr>
          <w:p w14:paraId="6CC5C04D">
            <w:pPr>
              <w:rPr>
                <w:color w:val="000000"/>
                <w:sz w:val="18"/>
                <w:szCs w:val="18"/>
              </w:rPr>
            </w:pPr>
            <w:r>
              <w:rPr>
                <w:rFonts w:hint="eastAsia"/>
                <w:color w:val="000000"/>
                <w:sz w:val="18"/>
                <w:szCs w:val="18"/>
              </w:rPr>
              <w:t>2026/3/13</w:t>
            </w:r>
          </w:p>
        </w:tc>
        <w:tc>
          <w:tcPr>
            <w:tcW w:w="714" w:type="pct"/>
            <w:tcBorders>
              <w:top w:val="single" w:color="auto" w:sz="4" w:space="0"/>
              <w:left w:val="single" w:color="auto" w:sz="4" w:space="0"/>
              <w:bottom w:val="single" w:color="auto" w:sz="4" w:space="0"/>
              <w:right w:val="single" w:color="auto" w:sz="4" w:space="0"/>
            </w:tcBorders>
            <w:vAlign w:val="center"/>
          </w:tcPr>
          <w:p w14:paraId="796F3BC9">
            <w:pPr>
              <w:rPr>
                <w:color w:val="000000"/>
                <w:sz w:val="18"/>
                <w:szCs w:val="18"/>
              </w:rPr>
            </w:pPr>
            <w:r>
              <w:rPr>
                <w:rFonts w:hint="eastAsia"/>
                <w:color w:val="000000"/>
                <w:sz w:val="18"/>
                <w:szCs w:val="18"/>
              </w:rPr>
              <w:t>2026/9/12</w:t>
            </w:r>
          </w:p>
        </w:tc>
        <w:tc>
          <w:tcPr>
            <w:tcW w:w="643" w:type="pct"/>
            <w:tcBorders>
              <w:top w:val="single" w:color="auto" w:sz="4" w:space="0"/>
              <w:left w:val="single" w:color="auto" w:sz="4" w:space="0"/>
              <w:bottom w:val="single" w:color="auto" w:sz="4" w:space="0"/>
              <w:right w:val="single" w:color="auto" w:sz="4" w:space="0"/>
            </w:tcBorders>
            <w:vAlign w:val="center"/>
          </w:tcPr>
          <w:p w14:paraId="3B558AED">
            <w:pPr>
              <w:rPr>
                <w:rFonts w:hint="eastAsia" w:ascii="宋体" w:hAnsi="宋体"/>
                <w:sz w:val="18"/>
                <w:szCs w:val="18"/>
              </w:rPr>
            </w:pPr>
            <w:r>
              <w:rPr>
                <w:rFonts w:hint="eastAsia" w:ascii="宋体" w:hAnsi="宋体"/>
                <w:sz w:val="18"/>
                <w:szCs w:val="18"/>
              </w:rPr>
              <w:t>否</w:t>
            </w:r>
          </w:p>
        </w:tc>
      </w:tr>
      <w:bookmarkEnd w:id="412"/>
      <w:tr w14:paraId="3FBF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50325480">
            <w:pPr>
              <w:rPr>
                <w:rFonts w:hint="eastAsia" w:ascii="宋体" w:hAnsi="宋体"/>
                <w:color w:val="000000"/>
                <w:sz w:val="18"/>
                <w:szCs w:val="18"/>
              </w:rPr>
            </w:pPr>
            <w:r>
              <w:rPr>
                <w:rFonts w:hint="eastAsia" w:ascii="宋体" w:hAnsi="宋体"/>
                <w:color w:val="000000"/>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35E0A345">
            <w:pPr>
              <w:jc w:val="right"/>
              <w:rPr>
                <w:color w:val="000000"/>
                <w:sz w:val="18"/>
                <w:szCs w:val="18"/>
              </w:rPr>
            </w:pPr>
            <w:r>
              <w:rPr>
                <w:color w:val="000000"/>
                <w:sz w:val="18"/>
                <w:szCs w:val="18"/>
              </w:rPr>
              <w:t>60,000,000.00</w:t>
            </w:r>
          </w:p>
        </w:tc>
        <w:tc>
          <w:tcPr>
            <w:tcW w:w="857" w:type="pct"/>
            <w:tcBorders>
              <w:top w:val="single" w:color="auto" w:sz="4" w:space="0"/>
              <w:left w:val="single" w:color="auto" w:sz="4" w:space="0"/>
              <w:bottom w:val="single" w:color="auto" w:sz="4" w:space="0"/>
              <w:right w:val="single" w:color="auto" w:sz="4" w:space="0"/>
            </w:tcBorders>
            <w:vAlign w:val="center"/>
          </w:tcPr>
          <w:p w14:paraId="05E44FB5">
            <w:pPr>
              <w:rPr>
                <w:color w:val="000000"/>
                <w:sz w:val="18"/>
                <w:szCs w:val="18"/>
              </w:rPr>
            </w:pPr>
            <w:r>
              <w:rPr>
                <w:rFonts w:hint="eastAsia"/>
                <w:color w:val="000000"/>
                <w:sz w:val="18"/>
                <w:szCs w:val="18"/>
              </w:rPr>
              <w:t>2026/3/24</w:t>
            </w:r>
          </w:p>
        </w:tc>
        <w:tc>
          <w:tcPr>
            <w:tcW w:w="714" w:type="pct"/>
            <w:tcBorders>
              <w:top w:val="single" w:color="auto" w:sz="4" w:space="0"/>
              <w:left w:val="single" w:color="auto" w:sz="4" w:space="0"/>
              <w:bottom w:val="single" w:color="auto" w:sz="4" w:space="0"/>
              <w:right w:val="single" w:color="auto" w:sz="4" w:space="0"/>
            </w:tcBorders>
            <w:vAlign w:val="center"/>
          </w:tcPr>
          <w:p w14:paraId="22D28ABA">
            <w:pPr>
              <w:rPr>
                <w:color w:val="000000"/>
                <w:sz w:val="18"/>
                <w:szCs w:val="18"/>
              </w:rPr>
            </w:pPr>
            <w:r>
              <w:rPr>
                <w:rFonts w:hint="eastAsia"/>
                <w:color w:val="000000"/>
                <w:sz w:val="18"/>
                <w:szCs w:val="18"/>
              </w:rPr>
              <w:t>2026/8/24</w:t>
            </w:r>
          </w:p>
        </w:tc>
        <w:tc>
          <w:tcPr>
            <w:tcW w:w="643" w:type="pct"/>
            <w:tcBorders>
              <w:top w:val="single" w:color="auto" w:sz="4" w:space="0"/>
              <w:left w:val="single" w:color="auto" w:sz="4" w:space="0"/>
              <w:bottom w:val="single" w:color="auto" w:sz="4" w:space="0"/>
              <w:right w:val="single" w:color="auto" w:sz="4" w:space="0"/>
            </w:tcBorders>
            <w:vAlign w:val="center"/>
          </w:tcPr>
          <w:p w14:paraId="0220CF5A">
            <w:r>
              <w:rPr>
                <w:rFonts w:hint="eastAsia" w:ascii="宋体" w:hAnsi="宋体"/>
                <w:sz w:val="18"/>
                <w:szCs w:val="18"/>
              </w:rPr>
              <w:t>否</w:t>
            </w:r>
          </w:p>
        </w:tc>
      </w:tr>
      <w:tr w14:paraId="56D7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7B4CCF74">
            <w:pPr>
              <w:rPr>
                <w:rFonts w:hint="eastAsia" w:ascii="宋体" w:hAnsi="宋体"/>
                <w:color w:val="000000"/>
                <w:sz w:val="18"/>
                <w:szCs w:val="18"/>
              </w:rPr>
            </w:pPr>
            <w:r>
              <w:rPr>
                <w:rFonts w:hint="eastAsia" w:ascii="宋体" w:hAnsi="宋体"/>
                <w:color w:val="000000"/>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4CBF7DD1">
            <w:pPr>
              <w:jc w:val="right"/>
              <w:rPr>
                <w:color w:val="000000"/>
                <w:sz w:val="18"/>
                <w:szCs w:val="18"/>
              </w:rPr>
            </w:pPr>
            <w:r>
              <w:rPr>
                <w:color w:val="000000"/>
                <w:sz w:val="18"/>
                <w:szCs w:val="18"/>
              </w:rPr>
              <w:t>90,000,000.00</w:t>
            </w:r>
          </w:p>
        </w:tc>
        <w:tc>
          <w:tcPr>
            <w:tcW w:w="857" w:type="pct"/>
            <w:tcBorders>
              <w:top w:val="single" w:color="auto" w:sz="4" w:space="0"/>
              <w:left w:val="single" w:color="auto" w:sz="4" w:space="0"/>
              <w:bottom w:val="single" w:color="auto" w:sz="4" w:space="0"/>
              <w:right w:val="single" w:color="auto" w:sz="4" w:space="0"/>
            </w:tcBorders>
            <w:vAlign w:val="center"/>
          </w:tcPr>
          <w:p w14:paraId="694A8B52">
            <w:pPr>
              <w:rPr>
                <w:color w:val="000000"/>
                <w:sz w:val="18"/>
                <w:szCs w:val="18"/>
              </w:rPr>
            </w:pPr>
            <w:r>
              <w:rPr>
                <w:rFonts w:hint="eastAsia"/>
                <w:color w:val="000000"/>
                <w:sz w:val="18"/>
                <w:szCs w:val="18"/>
              </w:rPr>
              <w:t>2026/3/25</w:t>
            </w:r>
          </w:p>
        </w:tc>
        <w:tc>
          <w:tcPr>
            <w:tcW w:w="714" w:type="pct"/>
            <w:tcBorders>
              <w:top w:val="single" w:color="auto" w:sz="4" w:space="0"/>
              <w:left w:val="single" w:color="auto" w:sz="4" w:space="0"/>
              <w:bottom w:val="single" w:color="auto" w:sz="4" w:space="0"/>
              <w:right w:val="single" w:color="auto" w:sz="4" w:space="0"/>
            </w:tcBorders>
            <w:vAlign w:val="center"/>
          </w:tcPr>
          <w:p w14:paraId="6BCFC52B">
            <w:pPr>
              <w:rPr>
                <w:color w:val="000000"/>
                <w:sz w:val="18"/>
                <w:szCs w:val="18"/>
              </w:rPr>
            </w:pPr>
            <w:r>
              <w:rPr>
                <w:rFonts w:hint="eastAsia"/>
                <w:color w:val="000000"/>
                <w:sz w:val="18"/>
                <w:szCs w:val="18"/>
              </w:rPr>
              <w:t>2026/11/20</w:t>
            </w:r>
          </w:p>
        </w:tc>
        <w:tc>
          <w:tcPr>
            <w:tcW w:w="643" w:type="pct"/>
            <w:tcBorders>
              <w:top w:val="single" w:color="auto" w:sz="4" w:space="0"/>
              <w:left w:val="single" w:color="auto" w:sz="4" w:space="0"/>
              <w:bottom w:val="single" w:color="auto" w:sz="4" w:space="0"/>
              <w:right w:val="single" w:color="auto" w:sz="4" w:space="0"/>
            </w:tcBorders>
            <w:vAlign w:val="center"/>
          </w:tcPr>
          <w:p w14:paraId="1CCBF08B">
            <w:r>
              <w:rPr>
                <w:rFonts w:hint="eastAsia" w:ascii="宋体" w:hAnsi="宋体"/>
                <w:sz w:val="18"/>
                <w:szCs w:val="18"/>
              </w:rPr>
              <w:t>否</w:t>
            </w:r>
          </w:p>
        </w:tc>
      </w:tr>
      <w:tr w14:paraId="2804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40BE6EDC">
            <w:pPr>
              <w:rPr>
                <w:rFonts w:hint="eastAsia" w:ascii="宋体" w:hAnsi="宋体"/>
                <w:color w:val="000000"/>
                <w:sz w:val="18"/>
                <w:szCs w:val="18"/>
              </w:rPr>
            </w:pPr>
            <w:bookmarkStart w:id="413" w:name="OLE_LINK26"/>
            <w:r>
              <w:rPr>
                <w:rFonts w:hint="eastAsia" w:ascii="宋体" w:hAnsi="宋体"/>
                <w:color w:val="000000"/>
                <w:sz w:val="18"/>
                <w:szCs w:val="18"/>
              </w:rPr>
              <w:t>好当家集团有限公司</w:t>
            </w:r>
            <w:bookmarkEnd w:id="413"/>
          </w:p>
        </w:tc>
        <w:tc>
          <w:tcPr>
            <w:tcW w:w="857" w:type="pct"/>
            <w:tcBorders>
              <w:top w:val="single" w:color="auto" w:sz="4" w:space="0"/>
              <w:left w:val="single" w:color="auto" w:sz="4" w:space="0"/>
              <w:bottom w:val="single" w:color="auto" w:sz="4" w:space="0"/>
              <w:right w:val="single" w:color="auto" w:sz="4" w:space="0"/>
            </w:tcBorders>
            <w:vAlign w:val="center"/>
          </w:tcPr>
          <w:p w14:paraId="64AFC357">
            <w:pPr>
              <w:jc w:val="right"/>
              <w:rPr>
                <w:color w:val="000000"/>
                <w:sz w:val="18"/>
                <w:szCs w:val="18"/>
              </w:rPr>
            </w:pPr>
            <w:r>
              <w:rPr>
                <w:color w:val="000000"/>
                <w:sz w:val="18"/>
                <w:szCs w:val="18"/>
              </w:rPr>
              <w:t>40,000,000.00</w:t>
            </w:r>
          </w:p>
        </w:tc>
        <w:tc>
          <w:tcPr>
            <w:tcW w:w="857" w:type="pct"/>
            <w:tcBorders>
              <w:top w:val="single" w:color="auto" w:sz="4" w:space="0"/>
              <w:left w:val="single" w:color="auto" w:sz="4" w:space="0"/>
              <w:bottom w:val="single" w:color="auto" w:sz="4" w:space="0"/>
              <w:right w:val="single" w:color="auto" w:sz="4" w:space="0"/>
            </w:tcBorders>
            <w:vAlign w:val="center"/>
          </w:tcPr>
          <w:p w14:paraId="45E5BD24">
            <w:pPr>
              <w:rPr>
                <w:color w:val="000000"/>
                <w:sz w:val="18"/>
                <w:szCs w:val="18"/>
              </w:rPr>
            </w:pPr>
            <w:r>
              <w:rPr>
                <w:rFonts w:hint="eastAsia"/>
                <w:color w:val="000000"/>
                <w:sz w:val="18"/>
                <w:szCs w:val="18"/>
              </w:rPr>
              <w:t>2026/4/8</w:t>
            </w:r>
          </w:p>
        </w:tc>
        <w:tc>
          <w:tcPr>
            <w:tcW w:w="714" w:type="pct"/>
            <w:tcBorders>
              <w:top w:val="single" w:color="auto" w:sz="4" w:space="0"/>
              <w:left w:val="single" w:color="auto" w:sz="4" w:space="0"/>
              <w:bottom w:val="single" w:color="auto" w:sz="4" w:space="0"/>
              <w:right w:val="single" w:color="auto" w:sz="4" w:space="0"/>
            </w:tcBorders>
            <w:vAlign w:val="center"/>
          </w:tcPr>
          <w:p w14:paraId="1995F46F">
            <w:pPr>
              <w:rPr>
                <w:color w:val="000000"/>
                <w:sz w:val="18"/>
                <w:szCs w:val="18"/>
              </w:rPr>
            </w:pPr>
            <w:r>
              <w:rPr>
                <w:rFonts w:hint="eastAsia"/>
                <w:color w:val="000000"/>
                <w:sz w:val="18"/>
                <w:szCs w:val="18"/>
              </w:rPr>
              <w:t>2027/4/8</w:t>
            </w:r>
          </w:p>
        </w:tc>
        <w:tc>
          <w:tcPr>
            <w:tcW w:w="643" w:type="pct"/>
            <w:tcBorders>
              <w:top w:val="single" w:color="auto" w:sz="4" w:space="0"/>
              <w:left w:val="single" w:color="auto" w:sz="4" w:space="0"/>
              <w:bottom w:val="single" w:color="auto" w:sz="4" w:space="0"/>
              <w:right w:val="single" w:color="auto" w:sz="4" w:space="0"/>
            </w:tcBorders>
            <w:vAlign w:val="center"/>
          </w:tcPr>
          <w:p w14:paraId="28CEFE72">
            <w:r>
              <w:rPr>
                <w:rFonts w:hint="eastAsia" w:ascii="宋体" w:hAnsi="宋体"/>
                <w:sz w:val="18"/>
                <w:szCs w:val="18"/>
              </w:rPr>
              <w:t>否</w:t>
            </w:r>
          </w:p>
        </w:tc>
      </w:tr>
      <w:tr w14:paraId="4561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19EDB09E">
            <w:pPr>
              <w:rPr>
                <w:rFonts w:hint="eastAsia" w:ascii="宋体" w:hAnsi="宋体"/>
                <w:color w:val="000000"/>
                <w:sz w:val="18"/>
                <w:szCs w:val="18"/>
              </w:rPr>
            </w:pPr>
            <w:bookmarkStart w:id="414" w:name="OLE_LINK25"/>
            <w:r>
              <w:rPr>
                <w:rFonts w:hint="eastAsia" w:ascii="宋体" w:hAnsi="宋体"/>
                <w:color w:val="000000"/>
                <w:sz w:val="18"/>
                <w:szCs w:val="18"/>
              </w:rPr>
              <w:t>唐传勤、田锦霞</w:t>
            </w:r>
            <w:bookmarkEnd w:id="414"/>
          </w:p>
        </w:tc>
        <w:tc>
          <w:tcPr>
            <w:tcW w:w="857" w:type="pct"/>
            <w:tcBorders>
              <w:top w:val="single" w:color="auto" w:sz="4" w:space="0"/>
              <w:left w:val="single" w:color="auto" w:sz="4" w:space="0"/>
              <w:bottom w:val="single" w:color="auto" w:sz="4" w:space="0"/>
              <w:right w:val="single" w:color="auto" w:sz="4" w:space="0"/>
            </w:tcBorders>
            <w:vAlign w:val="center"/>
          </w:tcPr>
          <w:p w14:paraId="4E9D52AC">
            <w:pPr>
              <w:jc w:val="right"/>
              <w:rPr>
                <w:color w:val="000000"/>
                <w:sz w:val="18"/>
                <w:szCs w:val="18"/>
              </w:rPr>
            </w:pPr>
            <w:r>
              <w:rPr>
                <w:color w:val="000000"/>
                <w:sz w:val="18"/>
                <w:szCs w:val="18"/>
              </w:rPr>
              <w:t>47,000,000.00</w:t>
            </w:r>
          </w:p>
        </w:tc>
        <w:tc>
          <w:tcPr>
            <w:tcW w:w="857" w:type="pct"/>
            <w:tcBorders>
              <w:top w:val="single" w:color="auto" w:sz="4" w:space="0"/>
              <w:left w:val="single" w:color="auto" w:sz="4" w:space="0"/>
              <w:bottom w:val="single" w:color="auto" w:sz="4" w:space="0"/>
              <w:right w:val="single" w:color="auto" w:sz="4" w:space="0"/>
            </w:tcBorders>
            <w:vAlign w:val="center"/>
          </w:tcPr>
          <w:p w14:paraId="04796FF2">
            <w:pPr>
              <w:rPr>
                <w:color w:val="000000"/>
                <w:sz w:val="18"/>
                <w:szCs w:val="18"/>
              </w:rPr>
            </w:pPr>
            <w:r>
              <w:rPr>
                <w:rFonts w:hint="eastAsia"/>
                <w:color w:val="000000"/>
                <w:sz w:val="18"/>
                <w:szCs w:val="18"/>
              </w:rPr>
              <w:t>2026/4/20</w:t>
            </w:r>
          </w:p>
        </w:tc>
        <w:tc>
          <w:tcPr>
            <w:tcW w:w="714" w:type="pct"/>
            <w:tcBorders>
              <w:top w:val="single" w:color="auto" w:sz="4" w:space="0"/>
              <w:left w:val="single" w:color="auto" w:sz="4" w:space="0"/>
              <w:bottom w:val="single" w:color="auto" w:sz="4" w:space="0"/>
              <w:right w:val="single" w:color="auto" w:sz="4" w:space="0"/>
            </w:tcBorders>
            <w:vAlign w:val="center"/>
          </w:tcPr>
          <w:p w14:paraId="41C85A20">
            <w:pPr>
              <w:rPr>
                <w:color w:val="000000"/>
                <w:sz w:val="18"/>
                <w:szCs w:val="18"/>
              </w:rPr>
            </w:pPr>
            <w:r>
              <w:rPr>
                <w:rFonts w:hint="eastAsia"/>
                <w:color w:val="000000"/>
                <w:sz w:val="18"/>
                <w:szCs w:val="18"/>
              </w:rPr>
              <w:t>2027/4/29</w:t>
            </w:r>
          </w:p>
        </w:tc>
        <w:tc>
          <w:tcPr>
            <w:tcW w:w="643" w:type="pct"/>
            <w:tcBorders>
              <w:top w:val="single" w:color="auto" w:sz="4" w:space="0"/>
              <w:left w:val="single" w:color="auto" w:sz="4" w:space="0"/>
              <w:bottom w:val="single" w:color="auto" w:sz="4" w:space="0"/>
              <w:right w:val="single" w:color="auto" w:sz="4" w:space="0"/>
            </w:tcBorders>
            <w:vAlign w:val="center"/>
          </w:tcPr>
          <w:p w14:paraId="3E3654D8">
            <w:r>
              <w:rPr>
                <w:rFonts w:hint="eastAsia" w:ascii="宋体" w:hAnsi="宋体"/>
                <w:sz w:val="18"/>
                <w:szCs w:val="18"/>
              </w:rPr>
              <w:t>否</w:t>
            </w:r>
          </w:p>
        </w:tc>
      </w:tr>
      <w:tr w14:paraId="6124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24430656">
            <w:pPr>
              <w:rPr>
                <w:rFonts w:hint="eastAsia" w:ascii="宋体" w:hAnsi="宋体"/>
                <w:color w:val="000000"/>
                <w:sz w:val="18"/>
                <w:szCs w:val="18"/>
              </w:rPr>
            </w:pPr>
            <w:r>
              <w:rPr>
                <w:rFonts w:hint="eastAsia" w:ascii="宋体" w:hAnsi="宋体"/>
                <w:color w:val="000000"/>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3A56D4AE">
            <w:pPr>
              <w:jc w:val="right"/>
              <w:rPr>
                <w:color w:val="000000"/>
                <w:sz w:val="18"/>
                <w:szCs w:val="18"/>
              </w:rPr>
            </w:pPr>
            <w:r>
              <w:rPr>
                <w:color w:val="000000"/>
                <w:sz w:val="18"/>
                <w:szCs w:val="18"/>
              </w:rPr>
              <w:t>50,000,000.00</w:t>
            </w:r>
          </w:p>
        </w:tc>
        <w:tc>
          <w:tcPr>
            <w:tcW w:w="857" w:type="pct"/>
            <w:tcBorders>
              <w:top w:val="single" w:color="auto" w:sz="4" w:space="0"/>
              <w:left w:val="single" w:color="auto" w:sz="4" w:space="0"/>
              <w:bottom w:val="single" w:color="auto" w:sz="4" w:space="0"/>
              <w:right w:val="single" w:color="auto" w:sz="4" w:space="0"/>
            </w:tcBorders>
            <w:vAlign w:val="center"/>
          </w:tcPr>
          <w:p w14:paraId="3029DCF8">
            <w:pPr>
              <w:rPr>
                <w:color w:val="000000"/>
                <w:sz w:val="18"/>
                <w:szCs w:val="18"/>
              </w:rPr>
            </w:pPr>
            <w:r>
              <w:rPr>
                <w:rFonts w:hint="eastAsia"/>
                <w:color w:val="000000"/>
                <w:sz w:val="18"/>
                <w:szCs w:val="18"/>
              </w:rPr>
              <w:t>2026/4/21</w:t>
            </w:r>
          </w:p>
        </w:tc>
        <w:tc>
          <w:tcPr>
            <w:tcW w:w="714" w:type="pct"/>
            <w:tcBorders>
              <w:top w:val="single" w:color="auto" w:sz="4" w:space="0"/>
              <w:left w:val="single" w:color="auto" w:sz="4" w:space="0"/>
              <w:bottom w:val="single" w:color="auto" w:sz="4" w:space="0"/>
              <w:right w:val="single" w:color="auto" w:sz="4" w:space="0"/>
            </w:tcBorders>
            <w:vAlign w:val="center"/>
          </w:tcPr>
          <w:p w14:paraId="510EF40E">
            <w:pPr>
              <w:rPr>
                <w:color w:val="000000"/>
                <w:sz w:val="18"/>
                <w:szCs w:val="18"/>
              </w:rPr>
            </w:pPr>
            <w:r>
              <w:rPr>
                <w:rFonts w:hint="eastAsia"/>
                <w:color w:val="000000"/>
                <w:sz w:val="18"/>
                <w:szCs w:val="18"/>
              </w:rPr>
              <w:t>2027/4/21</w:t>
            </w:r>
          </w:p>
        </w:tc>
        <w:tc>
          <w:tcPr>
            <w:tcW w:w="643" w:type="pct"/>
            <w:tcBorders>
              <w:top w:val="single" w:color="auto" w:sz="4" w:space="0"/>
              <w:left w:val="single" w:color="auto" w:sz="4" w:space="0"/>
              <w:bottom w:val="single" w:color="auto" w:sz="4" w:space="0"/>
              <w:right w:val="single" w:color="auto" w:sz="4" w:space="0"/>
            </w:tcBorders>
            <w:vAlign w:val="center"/>
          </w:tcPr>
          <w:p w14:paraId="45B58E62">
            <w:r>
              <w:rPr>
                <w:rFonts w:hint="eastAsia" w:ascii="宋体" w:hAnsi="宋体"/>
                <w:sz w:val="18"/>
                <w:szCs w:val="18"/>
              </w:rPr>
              <w:t>否</w:t>
            </w:r>
          </w:p>
        </w:tc>
      </w:tr>
      <w:tr w14:paraId="5965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104F10BF">
            <w:pPr>
              <w:rPr>
                <w:rFonts w:hint="eastAsia" w:ascii="宋体" w:hAnsi="宋体"/>
                <w:color w:val="000000"/>
                <w:sz w:val="18"/>
                <w:szCs w:val="18"/>
              </w:rPr>
            </w:pPr>
            <w:r>
              <w:rPr>
                <w:rFonts w:hint="eastAsia" w:ascii="宋体" w:hAnsi="宋体"/>
                <w:color w:val="000000"/>
                <w:sz w:val="18"/>
                <w:szCs w:val="18"/>
              </w:rPr>
              <w:t>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44422110">
            <w:pPr>
              <w:jc w:val="right"/>
              <w:rPr>
                <w:color w:val="000000"/>
                <w:sz w:val="18"/>
                <w:szCs w:val="18"/>
              </w:rPr>
            </w:pPr>
            <w:r>
              <w:rPr>
                <w:color w:val="000000"/>
                <w:sz w:val="18"/>
                <w:szCs w:val="18"/>
              </w:rPr>
              <w:t>49,000,000.00</w:t>
            </w:r>
          </w:p>
        </w:tc>
        <w:tc>
          <w:tcPr>
            <w:tcW w:w="857" w:type="pct"/>
            <w:tcBorders>
              <w:top w:val="single" w:color="auto" w:sz="4" w:space="0"/>
              <w:left w:val="single" w:color="auto" w:sz="4" w:space="0"/>
              <w:bottom w:val="single" w:color="auto" w:sz="4" w:space="0"/>
              <w:right w:val="single" w:color="auto" w:sz="4" w:space="0"/>
            </w:tcBorders>
            <w:vAlign w:val="center"/>
          </w:tcPr>
          <w:p w14:paraId="37FB4D10">
            <w:pPr>
              <w:rPr>
                <w:color w:val="000000"/>
                <w:sz w:val="18"/>
                <w:szCs w:val="18"/>
              </w:rPr>
            </w:pPr>
            <w:r>
              <w:rPr>
                <w:rFonts w:hint="eastAsia"/>
                <w:color w:val="000000"/>
                <w:sz w:val="18"/>
                <w:szCs w:val="18"/>
              </w:rPr>
              <w:t>2026/4/27</w:t>
            </w:r>
          </w:p>
        </w:tc>
        <w:tc>
          <w:tcPr>
            <w:tcW w:w="714" w:type="pct"/>
            <w:tcBorders>
              <w:top w:val="single" w:color="auto" w:sz="4" w:space="0"/>
              <w:left w:val="single" w:color="auto" w:sz="4" w:space="0"/>
              <w:bottom w:val="single" w:color="auto" w:sz="4" w:space="0"/>
              <w:right w:val="single" w:color="auto" w:sz="4" w:space="0"/>
            </w:tcBorders>
            <w:vAlign w:val="center"/>
          </w:tcPr>
          <w:p w14:paraId="3EC82805">
            <w:pPr>
              <w:rPr>
                <w:color w:val="000000"/>
                <w:sz w:val="18"/>
                <w:szCs w:val="18"/>
              </w:rPr>
            </w:pPr>
            <w:r>
              <w:rPr>
                <w:rFonts w:hint="eastAsia"/>
                <w:color w:val="000000"/>
                <w:sz w:val="18"/>
                <w:szCs w:val="18"/>
              </w:rPr>
              <w:t>2026/9/26</w:t>
            </w:r>
          </w:p>
        </w:tc>
        <w:tc>
          <w:tcPr>
            <w:tcW w:w="643" w:type="pct"/>
            <w:tcBorders>
              <w:top w:val="single" w:color="auto" w:sz="4" w:space="0"/>
              <w:left w:val="single" w:color="auto" w:sz="4" w:space="0"/>
              <w:bottom w:val="single" w:color="auto" w:sz="4" w:space="0"/>
              <w:right w:val="single" w:color="auto" w:sz="4" w:space="0"/>
            </w:tcBorders>
            <w:vAlign w:val="center"/>
          </w:tcPr>
          <w:p w14:paraId="1FB40D0D">
            <w:r>
              <w:rPr>
                <w:rFonts w:hint="eastAsia" w:ascii="宋体" w:hAnsi="宋体"/>
                <w:sz w:val="18"/>
                <w:szCs w:val="18"/>
              </w:rPr>
              <w:t>否</w:t>
            </w:r>
          </w:p>
        </w:tc>
      </w:tr>
      <w:tr w14:paraId="2D40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27478B23">
            <w:pPr>
              <w:rPr>
                <w:rFonts w:hint="eastAsia" w:ascii="宋体" w:hAnsi="宋体"/>
                <w:color w:val="000000"/>
                <w:sz w:val="18"/>
                <w:szCs w:val="18"/>
              </w:rPr>
            </w:pPr>
            <w:r>
              <w:rPr>
                <w:rFonts w:hint="eastAsia" w:ascii="宋体" w:hAnsi="宋体"/>
                <w:color w:val="000000"/>
                <w:sz w:val="18"/>
                <w:szCs w:val="18"/>
              </w:rPr>
              <w:t>荣成市城市发展投资有限公司、唐传勤、田锦霞、好当家集团有限公司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7EB18412">
            <w:pPr>
              <w:jc w:val="right"/>
              <w:rPr>
                <w:color w:val="000000"/>
                <w:sz w:val="18"/>
                <w:szCs w:val="18"/>
              </w:rPr>
            </w:pPr>
            <w:r>
              <w:rPr>
                <w:color w:val="000000"/>
                <w:sz w:val="18"/>
                <w:szCs w:val="18"/>
              </w:rPr>
              <w:t>7,500,000.00</w:t>
            </w:r>
          </w:p>
        </w:tc>
        <w:tc>
          <w:tcPr>
            <w:tcW w:w="857" w:type="pct"/>
            <w:tcBorders>
              <w:top w:val="single" w:color="auto" w:sz="4" w:space="0"/>
              <w:left w:val="single" w:color="auto" w:sz="4" w:space="0"/>
              <w:bottom w:val="single" w:color="auto" w:sz="4" w:space="0"/>
              <w:right w:val="single" w:color="auto" w:sz="4" w:space="0"/>
            </w:tcBorders>
            <w:vAlign w:val="center"/>
          </w:tcPr>
          <w:p w14:paraId="7B2495E1">
            <w:pPr>
              <w:rPr>
                <w:color w:val="000000"/>
                <w:sz w:val="18"/>
                <w:szCs w:val="18"/>
              </w:rPr>
            </w:pPr>
            <w:r>
              <w:rPr>
                <w:rFonts w:hint="eastAsia"/>
                <w:color w:val="000000"/>
                <w:sz w:val="18"/>
                <w:szCs w:val="18"/>
              </w:rPr>
              <w:t>2026/5/8</w:t>
            </w:r>
          </w:p>
        </w:tc>
        <w:tc>
          <w:tcPr>
            <w:tcW w:w="714" w:type="pct"/>
            <w:tcBorders>
              <w:top w:val="single" w:color="auto" w:sz="4" w:space="0"/>
              <w:left w:val="single" w:color="auto" w:sz="4" w:space="0"/>
              <w:bottom w:val="single" w:color="auto" w:sz="4" w:space="0"/>
              <w:right w:val="single" w:color="auto" w:sz="4" w:space="0"/>
            </w:tcBorders>
            <w:vAlign w:val="center"/>
          </w:tcPr>
          <w:p w14:paraId="4596D5F2">
            <w:pPr>
              <w:rPr>
                <w:color w:val="000000"/>
                <w:sz w:val="18"/>
                <w:szCs w:val="18"/>
              </w:rPr>
            </w:pPr>
            <w:r>
              <w:rPr>
                <w:rFonts w:hint="eastAsia"/>
                <w:color w:val="000000"/>
                <w:sz w:val="18"/>
                <w:szCs w:val="18"/>
              </w:rPr>
              <w:t>2027/5/7</w:t>
            </w:r>
          </w:p>
        </w:tc>
        <w:tc>
          <w:tcPr>
            <w:tcW w:w="643" w:type="pct"/>
            <w:tcBorders>
              <w:top w:val="single" w:color="auto" w:sz="4" w:space="0"/>
              <w:left w:val="single" w:color="auto" w:sz="4" w:space="0"/>
              <w:bottom w:val="single" w:color="auto" w:sz="4" w:space="0"/>
              <w:right w:val="single" w:color="auto" w:sz="4" w:space="0"/>
            </w:tcBorders>
            <w:vAlign w:val="center"/>
          </w:tcPr>
          <w:p w14:paraId="469A6C78">
            <w:r>
              <w:rPr>
                <w:rFonts w:hint="eastAsia" w:ascii="宋体" w:hAnsi="宋体"/>
                <w:sz w:val="18"/>
                <w:szCs w:val="18"/>
              </w:rPr>
              <w:t>否</w:t>
            </w:r>
          </w:p>
        </w:tc>
      </w:tr>
      <w:tr w14:paraId="2043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0882F96A">
            <w:pPr>
              <w:rPr>
                <w:rFonts w:hint="eastAsia" w:ascii="宋体" w:hAnsi="宋体"/>
                <w:color w:val="000000"/>
                <w:sz w:val="18"/>
                <w:szCs w:val="18"/>
              </w:rPr>
            </w:pPr>
            <w:r>
              <w:rPr>
                <w:rFonts w:hint="eastAsia" w:ascii="宋体" w:hAnsi="宋体"/>
                <w:color w:val="000000"/>
                <w:sz w:val="18"/>
                <w:szCs w:val="18"/>
              </w:rPr>
              <w:t>好当家集团有限公司、唐传勤、田锦霞</w:t>
            </w:r>
          </w:p>
        </w:tc>
        <w:tc>
          <w:tcPr>
            <w:tcW w:w="857" w:type="pct"/>
            <w:tcBorders>
              <w:top w:val="single" w:color="auto" w:sz="4" w:space="0"/>
              <w:left w:val="single" w:color="auto" w:sz="4" w:space="0"/>
              <w:bottom w:val="single" w:color="auto" w:sz="4" w:space="0"/>
              <w:right w:val="single" w:color="auto" w:sz="4" w:space="0"/>
            </w:tcBorders>
            <w:vAlign w:val="center"/>
          </w:tcPr>
          <w:p w14:paraId="23A6FFF9">
            <w:pPr>
              <w:jc w:val="right"/>
              <w:rPr>
                <w:color w:val="000000"/>
                <w:sz w:val="18"/>
                <w:szCs w:val="18"/>
              </w:rPr>
            </w:pPr>
            <w:r>
              <w:rPr>
                <w:color w:val="000000"/>
                <w:sz w:val="18"/>
                <w:szCs w:val="18"/>
              </w:rPr>
              <w:t>30,000,000.00</w:t>
            </w:r>
          </w:p>
        </w:tc>
        <w:tc>
          <w:tcPr>
            <w:tcW w:w="857" w:type="pct"/>
            <w:tcBorders>
              <w:top w:val="single" w:color="auto" w:sz="4" w:space="0"/>
              <w:left w:val="single" w:color="auto" w:sz="4" w:space="0"/>
              <w:bottom w:val="single" w:color="auto" w:sz="4" w:space="0"/>
              <w:right w:val="single" w:color="auto" w:sz="4" w:space="0"/>
            </w:tcBorders>
            <w:vAlign w:val="center"/>
          </w:tcPr>
          <w:p w14:paraId="58B6AA3A">
            <w:pPr>
              <w:rPr>
                <w:color w:val="000000"/>
                <w:sz w:val="18"/>
                <w:szCs w:val="18"/>
              </w:rPr>
            </w:pPr>
            <w:r>
              <w:rPr>
                <w:rFonts w:hint="eastAsia"/>
                <w:color w:val="000000"/>
                <w:sz w:val="18"/>
                <w:szCs w:val="18"/>
              </w:rPr>
              <w:t>2026/5/9</w:t>
            </w:r>
          </w:p>
        </w:tc>
        <w:tc>
          <w:tcPr>
            <w:tcW w:w="714" w:type="pct"/>
            <w:tcBorders>
              <w:top w:val="single" w:color="auto" w:sz="4" w:space="0"/>
              <w:left w:val="single" w:color="auto" w:sz="4" w:space="0"/>
              <w:bottom w:val="single" w:color="auto" w:sz="4" w:space="0"/>
              <w:right w:val="single" w:color="auto" w:sz="4" w:space="0"/>
            </w:tcBorders>
            <w:vAlign w:val="center"/>
          </w:tcPr>
          <w:p w14:paraId="72AD6ACE">
            <w:pPr>
              <w:rPr>
                <w:color w:val="000000"/>
                <w:sz w:val="18"/>
                <w:szCs w:val="18"/>
              </w:rPr>
            </w:pPr>
            <w:r>
              <w:rPr>
                <w:rFonts w:hint="eastAsia"/>
                <w:color w:val="000000"/>
                <w:sz w:val="18"/>
                <w:szCs w:val="18"/>
              </w:rPr>
              <w:t>2027/5/8</w:t>
            </w:r>
          </w:p>
        </w:tc>
        <w:tc>
          <w:tcPr>
            <w:tcW w:w="643" w:type="pct"/>
            <w:tcBorders>
              <w:top w:val="single" w:color="auto" w:sz="4" w:space="0"/>
              <w:left w:val="single" w:color="auto" w:sz="4" w:space="0"/>
              <w:bottom w:val="single" w:color="auto" w:sz="4" w:space="0"/>
              <w:right w:val="single" w:color="auto" w:sz="4" w:space="0"/>
            </w:tcBorders>
            <w:vAlign w:val="center"/>
          </w:tcPr>
          <w:p w14:paraId="01E744B8">
            <w:r>
              <w:rPr>
                <w:rFonts w:hint="eastAsia" w:ascii="宋体" w:hAnsi="宋体"/>
                <w:sz w:val="18"/>
                <w:szCs w:val="18"/>
              </w:rPr>
              <w:t>否</w:t>
            </w:r>
          </w:p>
        </w:tc>
      </w:tr>
      <w:tr w14:paraId="074F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04562BD3">
            <w:pPr>
              <w:rPr>
                <w:rFonts w:hint="eastAsia" w:ascii="宋体" w:hAnsi="宋体"/>
                <w:color w:val="000000"/>
                <w:sz w:val="18"/>
                <w:szCs w:val="18"/>
              </w:rPr>
            </w:pPr>
            <w:r>
              <w:rPr>
                <w:rFonts w:hint="eastAsia" w:ascii="宋体" w:hAnsi="宋体"/>
                <w:color w:val="000000"/>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78DBF40C">
            <w:pPr>
              <w:jc w:val="right"/>
              <w:rPr>
                <w:color w:val="000000"/>
                <w:sz w:val="18"/>
                <w:szCs w:val="18"/>
              </w:rPr>
            </w:pPr>
            <w:r>
              <w:rPr>
                <w:color w:val="000000"/>
                <w:sz w:val="18"/>
                <w:szCs w:val="18"/>
              </w:rPr>
              <w:t>40,000,000.00</w:t>
            </w:r>
          </w:p>
        </w:tc>
        <w:tc>
          <w:tcPr>
            <w:tcW w:w="857" w:type="pct"/>
            <w:tcBorders>
              <w:top w:val="single" w:color="auto" w:sz="4" w:space="0"/>
              <w:left w:val="single" w:color="auto" w:sz="4" w:space="0"/>
              <w:bottom w:val="single" w:color="auto" w:sz="4" w:space="0"/>
              <w:right w:val="single" w:color="auto" w:sz="4" w:space="0"/>
            </w:tcBorders>
            <w:vAlign w:val="center"/>
          </w:tcPr>
          <w:p w14:paraId="292E6B9E">
            <w:pPr>
              <w:rPr>
                <w:color w:val="000000"/>
                <w:sz w:val="18"/>
                <w:szCs w:val="18"/>
              </w:rPr>
            </w:pPr>
            <w:r>
              <w:rPr>
                <w:rFonts w:hint="eastAsia"/>
                <w:color w:val="000000"/>
                <w:sz w:val="18"/>
                <w:szCs w:val="18"/>
              </w:rPr>
              <w:t>2026/5/11</w:t>
            </w:r>
          </w:p>
        </w:tc>
        <w:tc>
          <w:tcPr>
            <w:tcW w:w="714" w:type="pct"/>
            <w:tcBorders>
              <w:top w:val="single" w:color="auto" w:sz="4" w:space="0"/>
              <w:left w:val="single" w:color="auto" w:sz="4" w:space="0"/>
              <w:bottom w:val="single" w:color="auto" w:sz="4" w:space="0"/>
              <w:right w:val="single" w:color="auto" w:sz="4" w:space="0"/>
            </w:tcBorders>
            <w:vAlign w:val="center"/>
          </w:tcPr>
          <w:p w14:paraId="74E35E98">
            <w:pPr>
              <w:rPr>
                <w:color w:val="000000"/>
                <w:sz w:val="18"/>
                <w:szCs w:val="18"/>
              </w:rPr>
            </w:pPr>
            <w:r>
              <w:rPr>
                <w:rFonts w:hint="eastAsia"/>
                <w:color w:val="000000"/>
                <w:sz w:val="18"/>
                <w:szCs w:val="18"/>
              </w:rPr>
              <w:t>2026/11/11</w:t>
            </w:r>
          </w:p>
        </w:tc>
        <w:tc>
          <w:tcPr>
            <w:tcW w:w="643" w:type="pct"/>
            <w:tcBorders>
              <w:top w:val="single" w:color="auto" w:sz="4" w:space="0"/>
              <w:left w:val="single" w:color="auto" w:sz="4" w:space="0"/>
              <w:bottom w:val="single" w:color="auto" w:sz="4" w:space="0"/>
              <w:right w:val="single" w:color="auto" w:sz="4" w:space="0"/>
            </w:tcBorders>
            <w:vAlign w:val="center"/>
          </w:tcPr>
          <w:p w14:paraId="51B0D106">
            <w:r>
              <w:rPr>
                <w:rFonts w:hint="eastAsia" w:ascii="宋体" w:hAnsi="宋体"/>
                <w:sz w:val="18"/>
                <w:szCs w:val="18"/>
              </w:rPr>
              <w:t>否</w:t>
            </w:r>
          </w:p>
        </w:tc>
      </w:tr>
      <w:tr w14:paraId="5ACB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26C4D886">
            <w:pPr>
              <w:rPr>
                <w:rFonts w:hint="eastAsia" w:ascii="宋体" w:hAnsi="宋体"/>
                <w:color w:val="000000"/>
                <w:sz w:val="18"/>
                <w:szCs w:val="18"/>
              </w:rPr>
            </w:pPr>
            <w:r>
              <w:rPr>
                <w:rFonts w:hint="eastAsia" w:ascii="宋体" w:hAnsi="宋体"/>
                <w:color w:val="000000"/>
                <w:sz w:val="18"/>
                <w:szCs w:val="18"/>
              </w:rPr>
              <w:t>山东邱家实业有限公司、唐传勤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68B36697">
            <w:pPr>
              <w:jc w:val="right"/>
              <w:rPr>
                <w:color w:val="000000"/>
                <w:sz w:val="18"/>
                <w:szCs w:val="18"/>
              </w:rPr>
            </w:pPr>
            <w:r>
              <w:rPr>
                <w:color w:val="000000"/>
                <w:sz w:val="18"/>
                <w:szCs w:val="18"/>
              </w:rPr>
              <w:t>30,000,000.00</w:t>
            </w:r>
          </w:p>
        </w:tc>
        <w:tc>
          <w:tcPr>
            <w:tcW w:w="857" w:type="pct"/>
            <w:tcBorders>
              <w:top w:val="single" w:color="auto" w:sz="4" w:space="0"/>
              <w:left w:val="single" w:color="auto" w:sz="4" w:space="0"/>
              <w:bottom w:val="single" w:color="auto" w:sz="4" w:space="0"/>
              <w:right w:val="single" w:color="auto" w:sz="4" w:space="0"/>
            </w:tcBorders>
            <w:vAlign w:val="center"/>
          </w:tcPr>
          <w:p w14:paraId="4573ADDC">
            <w:pPr>
              <w:rPr>
                <w:color w:val="000000"/>
                <w:sz w:val="18"/>
                <w:szCs w:val="18"/>
              </w:rPr>
            </w:pPr>
            <w:r>
              <w:rPr>
                <w:rFonts w:hint="eastAsia"/>
                <w:color w:val="000000"/>
                <w:sz w:val="18"/>
                <w:szCs w:val="18"/>
              </w:rPr>
              <w:t>2026/5/19</w:t>
            </w:r>
          </w:p>
        </w:tc>
        <w:tc>
          <w:tcPr>
            <w:tcW w:w="714" w:type="pct"/>
            <w:tcBorders>
              <w:top w:val="single" w:color="auto" w:sz="4" w:space="0"/>
              <w:left w:val="single" w:color="auto" w:sz="4" w:space="0"/>
              <w:bottom w:val="single" w:color="auto" w:sz="4" w:space="0"/>
              <w:right w:val="single" w:color="auto" w:sz="4" w:space="0"/>
            </w:tcBorders>
            <w:vAlign w:val="center"/>
          </w:tcPr>
          <w:p w14:paraId="01E1A632">
            <w:pPr>
              <w:rPr>
                <w:color w:val="000000"/>
                <w:sz w:val="18"/>
                <w:szCs w:val="18"/>
              </w:rPr>
            </w:pPr>
            <w:r>
              <w:rPr>
                <w:rFonts w:hint="eastAsia"/>
                <w:color w:val="000000"/>
                <w:sz w:val="18"/>
                <w:szCs w:val="18"/>
              </w:rPr>
              <w:t>2027/5/19</w:t>
            </w:r>
          </w:p>
        </w:tc>
        <w:tc>
          <w:tcPr>
            <w:tcW w:w="643" w:type="pct"/>
            <w:tcBorders>
              <w:top w:val="single" w:color="auto" w:sz="4" w:space="0"/>
              <w:left w:val="single" w:color="auto" w:sz="4" w:space="0"/>
              <w:bottom w:val="single" w:color="auto" w:sz="4" w:space="0"/>
              <w:right w:val="single" w:color="auto" w:sz="4" w:space="0"/>
            </w:tcBorders>
            <w:vAlign w:val="center"/>
          </w:tcPr>
          <w:p w14:paraId="48B17466">
            <w:r>
              <w:rPr>
                <w:rFonts w:hint="eastAsia" w:ascii="宋体" w:hAnsi="宋体"/>
                <w:sz w:val="18"/>
                <w:szCs w:val="18"/>
              </w:rPr>
              <w:t>否</w:t>
            </w:r>
          </w:p>
        </w:tc>
      </w:tr>
      <w:tr w14:paraId="1875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1304F65B">
            <w:pPr>
              <w:rPr>
                <w:rFonts w:hint="eastAsia" w:ascii="宋体" w:hAnsi="宋体"/>
                <w:color w:val="000000"/>
                <w:sz w:val="18"/>
                <w:szCs w:val="18"/>
              </w:rPr>
            </w:pPr>
            <w:r>
              <w:rPr>
                <w:rFonts w:hint="eastAsia" w:ascii="宋体" w:hAnsi="宋体"/>
                <w:color w:val="000000"/>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406BCCBD">
            <w:pPr>
              <w:jc w:val="right"/>
              <w:rPr>
                <w:color w:val="000000"/>
                <w:sz w:val="18"/>
                <w:szCs w:val="18"/>
              </w:rPr>
            </w:pPr>
            <w:r>
              <w:rPr>
                <w:color w:val="000000"/>
                <w:sz w:val="18"/>
                <w:szCs w:val="18"/>
              </w:rPr>
              <w:t>20,000,000.00</w:t>
            </w:r>
          </w:p>
        </w:tc>
        <w:tc>
          <w:tcPr>
            <w:tcW w:w="857" w:type="pct"/>
            <w:tcBorders>
              <w:top w:val="single" w:color="auto" w:sz="4" w:space="0"/>
              <w:left w:val="single" w:color="auto" w:sz="4" w:space="0"/>
              <w:bottom w:val="single" w:color="auto" w:sz="4" w:space="0"/>
              <w:right w:val="single" w:color="auto" w:sz="4" w:space="0"/>
            </w:tcBorders>
            <w:vAlign w:val="center"/>
          </w:tcPr>
          <w:p w14:paraId="029A33AC">
            <w:pPr>
              <w:rPr>
                <w:color w:val="000000"/>
                <w:sz w:val="18"/>
                <w:szCs w:val="18"/>
              </w:rPr>
            </w:pPr>
            <w:r>
              <w:rPr>
                <w:rFonts w:hint="eastAsia"/>
                <w:color w:val="000000"/>
                <w:sz w:val="18"/>
                <w:szCs w:val="18"/>
              </w:rPr>
              <w:t>2026/6/3</w:t>
            </w:r>
          </w:p>
        </w:tc>
        <w:tc>
          <w:tcPr>
            <w:tcW w:w="714" w:type="pct"/>
            <w:tcBorders>
              <w:top w:val="single" w:color="auto" w:sz="4" w:space="0"/>
              <w:left w:val="single" w:color="auto" w:sz="4" w:space="0"/>
              <w:bottom w:val="single" w:color="auto" w:sz="4" w:space="0"/>
              <w:right w:val="single" w:color="auto" w:sz="4" w:space="0"/>
            </w:tcBorders>
            <w:vAlign w:val="center"/>
          </w:tcPr>
          <w:p w14:paraId="70BD0C1F">
            <w:pPr>
              <w:rPr>
                <w:color w:val="000000"/>
                <w:sz w:val="18"/>
                <w:szCs w:val="18"/>
              </w:rPr>
            </w:pPr>
            <w:r>
              <w:rPr>
                <w:rFonts w:hint="eastAsia"/>
                <w:color w:val="000000"/>
                <w:sz w:val="18"/>
                <w:szCs w:val="18"/>
              </w:rPr>
              <w:t>2027/6/2</w:t>
            </w:r>
          </w:p>
        </w:tc>
        <w:tc>
          <w:tcPr>
            <w:tcW w:w="643" w:type="pct"/>
            <w:tcBorders>
              <w:top w:val="single" w:color="auto" w:sz="4" w:space="0"/>
              <w:left w:val="single" w:color="auto" w:sz="4" w:space="0"/>
              <w:bottom w:val="single" w:color="auto" w:sz="4" w:space="0"/>
              <w:right w:val="single" w:color="auto" w:sz="4" w:space="0"/>
            </w:tcBorders>
            <w:vAlign w:val="center"/>
          </w:tcPr>
          <w:p w14:paraId="1F86FBC6">
            <w:r>
              <w:rPr>
                <w:rFonts w:hint="eastAsia" w:ascii="宋体" w:hAnsi="宋体"/>
                <w:sz w:val="18"/>
                <w:szCs w:val="18"/>
              </w:rPr>
              <w:t>否</w:t>
            </w:r>
          </w:p>
        </w:tc>
      </w:tr>
      <w:tr w14:paraId="348C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06BFFE41">
            <w:pPr>
              <w:rPr>
                <w:rFonts w:hint="eastAsia" w:ascii="宋体" w:hAnsi="宋体"/>
                <w:color w:val="000000"/>
                <w:sz w:val="18"/>
                <w:szCs w:val="18"/>
              </w:rPr>
            </w:pPr>
            <w:r>
              <w:rPr>
                <w:rFonts w:hint="eastAsia" w:ascii="宋体" w:hAnsi="宋体"/>
                <w:color w:val="000000"/>
                <w:sz w:val="18"/>
                <w:szCs w:val="18"/>
              </w:rPr>
              <w:t>好当家集团有限公司、唐传勤</w:t>
            </w:r>
          </w:p>
        </w:tc>
        <w:tc>
          <w:tcPr>
            <w:tcW w:w="857" w:type="pct"/>
            <w:tcBorders>
              <w:top w:val="single" w:color="auto" w:sz="4" w:space="0"/>
              <w:left w:val="single" w:color="auto" w:sz="4" w:space="0"/>
              <w:bottom w:val="single" w:color="auto" w:sz="4" w:space="0"/>
              <w:right w:val="single" w:color="auto" w:sz="4" w:space="0"/>
            </w:tcBorders>
            <w:vAlign w:val="center"/>
          </w:tcPr>
          <w:p w14:paraId="0E89A5C9">
            <w:pPr>
              <w:jc w:val="right"/>
              <w:rPr>
                <w:color w:val="000000"/>
                <w:sz w:val="18"/>
                <w:szCs w:val="18"/>
              </w:rPr>
            </w:pPr>
            <w:r>
              <w:rPr>
                <w:color w:val="000000"/>
                <w:sz w:val="18"/>
                <w:szCs w:val="18"/>
              </w:rPr>
              <w:t>20,000,000.00</w:t>
            </w:r>
          </w:p>
        </w:tc>
        <w:tc>
          <w:tcPr>
            <w:tcW w:w="857" w:type="pct"/>
            <w:tcBorders>
              <w:top w:val="single" w:color="auto" w:sz="4" w:space="0"/>
              <w:left w:val="single" w:color="auto" w:sz="4" w:space="0"/>
              <w:bottom w:val="single" w:color="auto" w:sz="4" w:space="0"/>
              <w:right w:val="single" w:color="auto" w:sz="4" w:space="0"/>
            </w:tcBorders>
            <w:vAlign w:val="center"/>
          </w:tcPr>
          <w:p w14:paraId="51A9D3E5">
            <w:pPr>
              <w:rPr>
                <w:color w:val="000000"/>
                <w:sz w:val="18"/>
                <w:szCs w:val="18"/>
              </w:rPr>
            </w:pPr>
            <w:r>
              <w:rPr>
                <w:rFonts w:hint="eastAsia"/>
                <w:color w:val="000000"/>
                <w:sz w:val="18"/>
                <w:szCs w:val="18"/>
              </w:rPr>
              <w:t>2026/6/3</w:t>
            </w:r>
          </w:p>
        </w:tc>
        <w:tc>
          <w:tcPr>
            <w:tcW w:w="714" w:type="pct"/>
            <w:tcBorders>
              <w:top w:val="single" w:color="auto" w:sz="4" w:space="0"/>
              <w:left w:val="single" w:color="auto" w:sz="4" w:space="0"/>
              <w:bottom w:val="single" w:color="auto" w:sz="4" w:space="0"/>
              <w:right w:val="single" w:color="auto" w:sz="4" w:space="0"/>
            </w:tcBorders>
            <w:vAlign w:val="center"/>
          </w:tcPr>
          <w:p w14:paraId="7B32D882">
            <w:pPr>
              <w:rPr>
                <w:color w:val="000000"/>
                <w:sz w:val="18"/>
                <w:szCs w:val="18"/>
              </w:rPr>
            </w:pPr>
            <w:r>
              <w:rPr>
                <w:rFonts w:hint="eastAsia"/>
                <w:color w:val="000000"/>
                <w:sz w:val="18"/>
                <w:szCs w:val="18"/>
              </w:rPr>
              <w:t>2027/6/3</w:t>
            </w:r>
          </w:p>
        </w:tc>
        <w:tc>
          <w:tcPr>
            <w:tcW w:w="643" w:type="pct"/>
            <w:tcBorders>
              <w:top w:val="single" w:color="auto" w:sz="4" w:space="0"/>
              <w:left w:val="single" w:color="auto" w:sz="4" w:space="0"/>
              <w:bottom w:val="single" w:color="auto" w:sz="4" w:space="0"/>
              <w:right w:val="single" w:color="auto" w:sz="4" w:space="0"/>
            </w:tcBorders>
            <w:vAlign w:val="center"/>
          </w:tcPr>
          <w:p w14:paraId="68A8F35A">
            <w:r>
              <w:rPr>
                <w:rFonts w:hint="eastAsia" w:ascii="宋体" w:hAnsi="宋体"/>
                <w:sz w:val="18"/>
                <w:szCs w:val="18"/>
              </w:rPr>
              <w:t>否</w:t>
            </w:r>
          </w:p>
        </w:tc>
      </w:tr>
      <w:tr w14:paraId="4F86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3170F78C">
            <w:pPr>
              <w:rPr>
                <w:rFonts w:hint="eastAsia" w:ascii="宋体" w:hAnsi="宋体"/>
                <w:color w:val="000000"/>
                <w:sz w:val="18"/>
                <w:szCs w:val="18"/>
              </w:rPr>
            </w:pPr>
            <w:bookmarkStart w:id="415" w:name="OLE_LINK28"/>
            <w:r>
              <w:rPr>
                <w:rFonts w:hint="eastAsia" w:ascii="宋体" w:hAnsi="宋体"/>
                <w:color w:val="000000"/>
                <w:sz w:val="18"/>
                <w:szCs w:val="18"/>
              </w:rPr>
              <w:t>好当家集团有限公司</w:t>
            </w:r>
            <w:bookmarkEnd w:id="415"/>
          </w:p>
        </w:tc>
        <w:tc>
          <w:tcPr>
            <w:tcW w:w="857" w:type="pct"/>
            <w:tcBorders>
              <w:top w:val="single" w:color="auto" w:sz="4" w:space="0"/>
              <w:left w:val="single" w:color="auto" w:sz="4" w:space="0"/>
              <w:bottom w:val="single" w:color="auto" w:sz="4" w:space="0"/>
              <w:right w:val="single" w:color="auto" w:sz="4" w:space="0"/>
            </w:tcBorders>
            <w:vAlign w:val="center"/>
          </w:tcPr>
          <w:p w14:paraId="55D58462">
            <w:pPr>
              <w:jc w:val="right"/>
              <w:rPr>
                <w:color w:val="000000"/>
                <w:sz w:val="18"/>
                <w:szCs w:val="18"/>
              </w:rPr>
            </w:pPr>
            <w:r>
              <w:rPr>
                <w:color w:val="000000"/>
                <w:sz w:val="18"/>
                <w:szCs w:val="18"/>
              </w:rPr>
              <w:t>62,000,000.00</w:t>
            </w:r>
          </w:p>
        </w:tc>
        <w:tc>
          <w:tcPr>
            <w:tcW w:w="857" w:type="pct"/>
            <w:tcBorders>
              <w:top w:val="single" w:color="auto" w:sz="4" w:space="0"/>
              <w:left w:val="single" w:color="auto" w:sz="4" w:space="0"/>
              <w:bottom w:val="single" w:color="auto" w:sz="4" w:space="0"/>
              <w:right w:val="single" w:color="auto" w:sz="4" w:space="0"/>
            </w:tcBorders>
            <w:vAlign w:val="center"/>
          </w:tcPr>
          <w:p w14:paraId="7B448B39">
            <w:pPr>
              <w:rPr>
                <w:color w:val="000000"/>
                <w:sz w:val="18"/>
                <w:szCs w:val="18"/>
              </w:rPr>
            </w:pPr>
            <w:r>
              <w:rPr>
                <w:rFonts w:hint="eastAsia"/>
                <w:color w:val="000000"/>
                <w:sz w:val="18"/>
                <w:szCs w:val="18"/>
              </w:rPr>
              <w:t>2026/6/9</w:t>
            </w:r>
          </w:p>
        </w:tc>
        <w:tc>
          <w:tcPr>
            <w:tcW w:w="714" w:type="pct"/>
            <w:tcBorders>
              <w:top w:val="single" w:color="auto" w:sz="4" w:space="0"/>
              <w:left w:val="single" w:color="auto" w:sz="4" w:space="0"/>
              <w:bottom w:val="single" w:color="auto" w:sz="4" w:space="0"/>
              <w:right w:val="single" w:color="auto" w:sz="4" w:space="0"/>
            </w:tcBorders>
            <w:vAlign w:val="center"/>
          </w:tcPr>
          <w:p w14:paraId="0F9E11EE">
            <w:pPr>
              <w:rPr>
                <w:color w:val="000000"/>
                <w:sz w:val="18"/>
                <w:szCs w:val="18"/>
              </w:rPr>
            </w:pPr>
            <w:r>
              <w:rPr>
                <w:rFonts w:hint="eastAsia"/>
                <w:color w:val="000000"/>
                <w:sz w:val="18"/>
                <w:szCs w:val="18"/>
              </w:rPr>
              <w:t>2026/12/9</w:t>
            </w:r>
          </w:p>
        </w:tc>
        <w:tc>
          <w:tcPr>
            <w:tcW w:w="643" w:type="pct"/>
            <w:tcBorders>
              <w:top w:val="single" w:color="auto" w:sz="4" w:space="0"/>
              <w:left w:val="single" w:color="auto" w:sz="4" w:space="0"/>
              <w:bottom w:val="single" w:color="auto" w:sz="4" w:space="0"/>
              <w:right w:val="single" w:color="auto" w:sz="4" w:space="0"/>
            </w:tcBorders>
            <w:vAlign w:val="center"/>
          </w:tcPr>
          <w:p w14:paraId="3E2293A1">
            <w:r>
              <w:rPr>
                <w:rFonts w:hint="eastAsia" w:ascii="宋体" w:hAnsi="宋体"/>
                <w:sz w:val="18"/>
                <w:szCs w:val="18"/>
              </w:rPr>
              <w:t>否</w:t>
            </w:r>
          </w:p>
        </w:tc>
      </w:tr>
      <w:tr w14:paraId="3EE2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556A22FF">
            <w:pPr>
              <w:rPr>
                <w:rFonts w:hint="eastAsia" w:ascii="宋体" w:hAnsi="宋体"/>
                <w:color w:val="000000"/>
                <w:sz w:val="18"/>
                <w:szCs w:val="18"/>
              </w:rPr>
            </w:pPr>
            <w:r>
              <w:rPr>
                <w:rFonts w:hint="eastAsia" w:ascii="宋体" w:hAnsi="宋体"/>
                <w:color w:val="000000"/>
                <w:sz w:val="18"/>
                <w:szCs w:val="18"/>
              </w:rPr>
              <w:t>好当家集团有限公司</w:t>
            </w:r>
          </w:p>
        </w:tc>
        <w:tc>
          <w:tcPr>
            <w:tcW w:w="857" w:type="pct"/>
            <w:tcBorders>
              <w:top w:val="single" w:color="auto" w:sz="4" w:space="0"/>
              <w:left w:val="single" w:color="auto" w:sz="4" w:space="0"/>
              <w:bottom w:val="single" w:color="auto" w:sz="4" w:space="0"/>
              <w:right w:val="single" w:color="auto" w:sz="4" w:space="0"/>
            </w:tcBorders>
            <w:vAlign w:val="center"/>
          </w:tcPr>
          <w:p w14:paraId="63CD7BDB">
            <w:pPr>
              <w:jc w:val="right"/>
              <w:rPr>
                <w:color w:val="000000"/>
                <w:sz w:val="18"/>
                <w:szCs w:val="18"/>
              </w:rPr>
            </w:pPr>
            <w:r>
              <w:rPr>
                <w:color w:val="000000"/>
                <w:sz w:val="18"/>
                <w:szCs w:val="18"/>
              </w:rPr>
              <w:t>58,000,000.00</w:t>
            </w:r>
          </w:p>
        </w:tc>
        <w:tc>
          <w:tcPr>
            <w:tcW w:w="857" w:type="pct"/>
            <w:tcBorders>
              <w:top w:val="single" w:color="auto" w:sz="4" w:space="0"/>
              <w:left w:val="single" w:color="auto" w:sz="4" w:space="0"/>
              <w:bottom w:val="single" w:color="auto" w:sz="4" w:space="0"/>
              <w:right w:val="single" w:color="auto" w:sz="4" w:space="0"/>
            </w:tcBorders>
            <w:vAlign w:val="center"/>
          </w:tcPr>
          <w:p w14:paraId="5D157DFD">
            <w:pPr>
              <w:rPr>
                <w:color w:val="000000"/>
                <w:sz w:val="18"/>
                <w:szCs w:val="18"/>
              </w:rPr>
            </w:pPr>
            <w:r>
              <w:rPr>
                <w:rFonts w:hint="eastAsia"/>
                <w:color w:val="000000"/>
                <w:sz w:val="18"/>
                <w:szCs w:val="18"/>
              </w:rPr>
              <w:t>2026/6/10</w:t>
            </w:r>
          </w:p>
        </w:tc>
        <w:tc>
          <w:tcPr>
            <w:tcW w:w="714" w:type="pct"/>
            <w:tcBorders>
              <w:top w:val="single" w:color="auto" w:sz="4" w:space="0"/>
              <w:left w:val="single" w:color="auto" w:sz="4" w:space="0"/>
              <w:bottom w:val="single" w:color="auto" w:sz="4" w:space="0"/>
              <w:right w:val="single" w:color="auto" w:sz="4" w:space="0"/>
            </w:tcBorders>
            <w:vAlign w:val="center"/>
          </w:tcPr>
          <w:p w14:paraId="1C8F2F4D">
            <w:pPr>
              <w:rPr>
                <w:color w:val="000000"/>
                <w:sz w:val="18"/>
                <w:szCs w:val="18"/>
              </w:rPr>
            </w:pPr>
            <w:r>
              <w:rPr>
                <w:rFonts w:hint="eastAsia"/>
                <w:color w:val="000000"/>
                <w:sz w:val="18"/>
                <w:szCs w:val="18"/>
              </w:rPr>
              <w:t>2026/12/10</w:t>
            </w:r>
          </w:p>
        </w:tc>
        <w:tc>
          <w:tcPr>
            <w:tcW w:w="643" w:type="pct"/>
            <w:tcBorders>
              <w:top w:val="single" w:color="auto" w:sz="4" w:space="0"/>
              <w:left w:val="single" w:color="auto" w:sz="4" w:space="0"/>
              <w:bottom w:val="single" w:color="auto" w:sz="4" w:space="0"/>
              <w:right w:val="single" w:color="auto" w:sz="4" w:space="0"/>
            </w:tcBorders>
            <w:vAlign w:val="center"/>
          </w:tcPr>
          <w:p w14:paraId="3C164F06">
            <w:r>
              <w:rPr>
                <w:rFonts w:hint="eastAsia" w:ascii="宋体" w:hAnsi="宋体"/>
                <w:sz w:val="18"/>
                <w:szCs w:val="18"/>
              </w:rPr>
              <w:t>否</w:t>
            </w:r>
          </w:p>
        </w:tc>
      </w:tr>
      <w:tr w14:paraId="3988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929" w:type="pct"/>
            <w:tcBorders>
              <w:top w:val="single" w:color="auto" w:sz="4" w:space="0"/>
              <w:left w:val="single" w:color="auto" w:sz="4" w:space="0"/>
              <w:bottom w:val="single" w:color="auto" w:sz="4" w:space="0"/>
              <w:right w:val="single" w:color="auto" w:sz="4" w:space="0"/>
            </w:tcBorders>
          </w:tcPr>
          <w:p w14:paraId="492F4DB6">
            <w:pPr>
              <w:rPr>
                <w:rFonts w:hint="eastAsia" w:ascii="宋体" w:hAnsi="宋体"/>
                <w:color w:val="000000"/>
                <w:sz w:val="18"/>
                <w:szCs w:val="18"/>
              </w:rPr>
            </w:pPr>
            <w:r>
              <w:rPr>
                <w:rFonts w:hint="eastAsia" w:ascii="宋体" w:hAnsi="宋体"/>
                <w:color w:val="000000"/>
                <w:sz w:val="18"/>
                <w:szCs w:val="18"/>
              </w:rPr>
              <w:t xml:space="preserve">好当家集团有限公司、唐传勤、张军伟 </w:t>
            </w:r>
          </w:p>
        </w:tc>
        <w:tc>
          <w:tcPr>
            <w:tcW w:w="857" w:type="pct"/>
            <w:tcBorders>
              <w:top w:val="single" w:color="auto" w:sz="4" w:space="0"/>
              <w:left w:val="single" w:color="auto" w:sz="4" w:space="0"/>
              <w:bottom w:val="single" w:color="auto" w:sz="4" w:space="0"/>
              <w:right w:val="single" w:color="auto" w:sz="4" w:space="0"/>
            </w:tcBorders>
            <w:vAlign w:val="center"/>
          </w:tcPr>
          <w:p w14:paraId="36C5161C">
            <w:pPr>
              <w:jc w:val="right"/>
              <w:rPr>
                <w:color w:val="000000"/>
                <w:sz w:val="18"/>
                <w:szCs w:val="18"/>
              </w:rPr>
            </w:pPr>
            <w:r>
              <w:rPr>
                <w:color w:val="000000"/>
                <w:sz w:val="18"/>
                <w:szCs w:val="18"/>
              </w:rPr>
              <w:t>25,000,000.00</w:t>
            </w:r>
          </w:p>
        </w:tc>
        <w:tc>
          <w:tcPr>
            <w:tcW w:w="857" w:type="pct"/>
            <w:tcBorders>
              <w:top w:val="single" w:color="auto" w:sz="4" w:space="0"/>
              <w:left w:val="single" w:color="auto" w:sz="4" w:space="0"/>
              <w:bottom w:val="single" w:color="auto" w:sz="4" w:space="0"/>
              <w:right w:val="single" w:color="auto" w:sz="4" w:space="0"/>
            </w:tcBorders>
            <w:vAlign w:val="center"/>
          </w:tcPr>
          <w:p w14:paraId="41EE0597">
            <w:pPr>
              <w:rPr>
                <w:color w:val="000000"/>
                <w:sz w:val="18"/>
                <w:szCs w:val="18"/>
              </w:rPr>
            </w:pPr>
            <w:r>
              <w:rPr>
                <w:rFonts w:hint="eastAsia"/>
                <w:color w:val="000000"/>
                <w:sz w:val="18"/>
                <w:szCs w:val="18"/>
              </w:rPr>
              <w:t>2026/6/26</w:t>
            </w:r>
          </w:p>
        </w:tc>
        <w:tc>
          <w:tcPr>
            <w:tcW w:w="714" w:type="pct"/>
            <w:tcBorders>
              <w:top w:val="single" w:color="auto" w:sz="4" w:space="0"/>
              <w:left w:val="single" w:color="auto" w:sz="4" w:space="0"/>
              <w:bottom w:val="single" w:color="auto" w:sz="4" w:space="0"/>
              <w:right w:val="single" w:color="auto" w:sz="4" w:space="0"/>
            </w:tcBorders>
            <w:vAlign w:val="center"/>
          </w:tcPr>
          <w:p w14:paraId="63594E64">
            <w:pPr>
              <w:rPr>
                <w:color w:val="000000"/>
                <w:sz w:val="18"/>
                <w:szCs w:val="18"/>
              </w:rPr>
            </w:pPr>
            <w:r>
              <w:rPr>
                <w:rFonts w:hint="eastAsia"/>
                <w:color w:val="000000"/>
                <w:sz w:val="18"/>
                <w:szCs w:val="18"/>
              </w:rPr>
              <w:t>2029/6/11</w:t>
            </w:r>
          </w:p>
        </w:tc>
        <w:tc>
          <w:tcPr>
            <w:tcW w:w="643" w:type="pct"/>
            <w:tcBorders>
              <w:top w:val="single" w:color="auto" w:sz="4" w:space="0"/>
              <w:left w:val="single" w:color="auto" w:sz="4" w:space="0"/>
              <w:bottom w:val="single" w:color="auto" w:sz="4" w:space="0"/>
              <w:right w:val="single" w:color="auto" w:sz="4" w:space="0"/>
            </w:tcBorders>
            <w:vAlign w:val="center"/>
          </w:tcPr>
          <w:p w14:paraId="742138AD">
            <w:r>
              <w:rPr>
                <w:rFonts w:hint="eastAsia" w:ascii="宋体" w:hAnsi="宋体"/>
                <w:sz w:val="18"/>
                <w:szCs w:val="18"/>
              </w:rPr>
              <w:t>否</w:t>
            </w:r>
          </w:p>
        </w:tc>
      </w:tr>
    </w:tbl>
    <w:p w14:paraId="7ECDC565"/>
    <w:p w14:paraId="448925BB">
      <w:pPr>
        <w:rPr>
          <w:rFonts w:cs="Cambria"/>
          <w:color w:val="000000" w:themeColor="text1"/>
          <w14:textFill>
            <w14:solidFill>
              <w14:schemeClr w14:val="tx1"/>
            </w14:solidFill>
          </w14:textFill>
        </w:rPr>
      </w:pPr>
      <w:r>
        <w:rPr>
          <w:rFonts w:hint="eastAsia" w:cs="Cambria"/>
          <w:color w:val="000000" w:themeColor="text1"/>
          <w14:textFill>
            <w14:solidFill>
              <w14:schemeClr w14:val="tx1"/>
            </w14:solidFill>
          </w14:textFill>
        </w:rPr>
        <w:t>关联担保情况说明</w:t>
      </w:r>
    </w:p>
    <w:sdt>
      <w:sdtPr>
        <w:rPr>
          <w:rFonts w:cs="Cambria"/>
          <w:color w:val="000000" w:themeColor="text1"/>
          <w14:textFill>
            <w14:solidFill>
              <w14:schemeClr w14:val="tx1"/>
            </w14:solidFill>
          </w14:textFill>
        </w:rPr>
        <w:alias w:val="是否适用：关联担保情况说明[双击切换]"/>
        <w:tag w:val="_GBC_9a5a4769e8804b779ae17adb041890d7"/>
        <w:id w:val="-349872621"/>
        <w:placeholder>
          <w:docPart w:val="GBC22222222222222222222222222222"/>
        </w:placeholder>
      </w:sdtPr>
      <w:sdtEndPr>
        <w:rPr>
          <w:rFonts w:cs="Cambria"/>
          <w:color w:val="000000" w:themeColor="text1"/>
          <w14:textFill>
            <w14:solidFill>
              <w14:schemeClr w14:val="tx1"/>
            </w14:solidFill>
          </w14:textFill>
        </w:rPr>
      </w:sdtEndPr>
      <w:sdtContent>
        <w:p w14:paraId="37D14E6F">
          <w:pPr>
            <w:rPr>
              <w:rFonts w:cs="Cambria"/>
              <w:color w:val="000000" w:themeColor="text1"/>
              <w14:textFill>
                <w14:solidFill>
                  <w14:schemeClr w14:val="tx1"/>
                </w14:solidFill>
              </w14:textFill>
            </w:rPr>
          </w:pPr>
          <w:r>
            <w:rPr>
              <w:rFonts w:ascii="宋体" w:hAnsi="宋体" w:cs="Cambria"/>
              <w:color w:val="000000" w:themeColor="text1"/>
              <w14:textFill>
                <w14:solidFill>
                  <w14:schemeClr w14:val="tx1"/>
                </w14:solidFill>
              </w14:textFill>
            </w:rPr>
            <w:fldChar w:fldCharType="begin"/>
          </w:r>
          <w:r>
            <w:rPr>
              <w:rFonts w:hint="eastAsia" w:ascii="宋体" w:hAnsi="宋体" w:cs="Cambria"/>
              <w:color w:val="000000" w:themeColor="text1"/>
              <w14:textFill>
                <w14:solidFill>
                  <w14:schemeClr w14:val="tx1"/>
                </w14:solidFill>
              </w14:textFill>
            </w:rPr>
            <w:instrText xml:space="preserve"> MACROBUTTON  SnrToggleCheckbox □适用 </w:instrText>
          </w:r>
          <w:r>
            <w:rPr>
              <w:rFonts w:ascii="宋体" w:hAnsi="宋体" w:cs="Cambria"/>
              <w:color w:val="000000" w:themeColor="text1"/>
              <w14:textFill>
                <w14:solidFill>
                  <w14:schemeClr w14:val="tx1"/>
                </w14:solidFill>
              </w14:textFill>
            </w:rPr>
            <w:fldChar w:fldCharType="end"/>
          </w:r>
          <w:r>
            <w:rPr>
              <w:rFonts w:ascii="宋体" w:hAnsi="宋体" w:cs="Cambria"/>
              <w:color w:val="000000" w:themeColor="text1"/>
              <w14:textFill>
                <w14:solidFill>
                  <w14:schemeClr w14:val="tx1"/>
                </w14:solidFill>
              </w14:textFill>
            </w:rPr>
            <w:fldChar w:fldCharType="begin"/>
          </w:r>
          <w:r>
            <w:rPr>
              <w:rFonts w:hint="eastAsia" w:ascii="宋体" w:hAnsi="宋体" w:cs="Cambria"/>
              <w:color w:val="000000" w:themeColor="text1"/>
              <w14:textFill>
                <w14:solidFill>
                  <w14:schemeClr w14:val="tx1"/>
                </w14:solidFill>
              </w14:textFill>
            </w:rPr>
            <w:instrText xml:space="preserve"> MACROBUTTON  SnrToggleCheckbox √不适用 </w:instrText>
          </w:r>
          <w:r>
            <w:rPr>
              <w:rFonts w:ascii="宋体" w:hAnsi="宋体" w:cs="Cambria"/>
              <w:color w:val="000000" w:themeColor="text1"/>
              <w14:textFill>
                <w14:solidFill>
                  <w14:schemeClr w14:val="tx1"/>
                </w14:solidFill>
              </w14:textFill>
            </w:rPr>
            <w:fldChar w:fldCharType="end"/>
          </w:r>
        </w:p>
      </w:sdtContent>
    </w:sdt>
    <w:p w14:paraId="73BAD5FB">
      <w:pPr>
        <w:rPr>
          <w:rFonts w:cs="Cambria"/>
          <w:color w:val="000000" w:themeColor="text1"/>
          <w:sz w:val="20"/>
          <w:szCs w:val="20"/>
          <w14:textFill>
            <w14:solidFill>
              <w14:schemeClr w14:val="tx1"/>
            </w14:solidFill>
          </w14:textFill>
        </w:rPr>
      </w:pPr>
    </w:p>
    <w:bookmarkEnd w:id="402"/>
    <w:p w14:paraId="61B00055">
      <w:pPr>
        <w:pStyle w:val="5"/>
        <w:numPr>
          <w:ilvl w:val="0"/>
          <w:numId w:val="103"/>
        </w:numPr>
        <w:tabs>
          <w:tab w:val="left" w:pos="360"/>
          <w:tab w:val="left" w:pos="616"/>
        </w:tabs>
        <w:rPr>
          <w:rFonts w:hint="eastAsia" w:ascii="宋体" w:hAnsi="宋体" w:cs="Arial"/>
          <w:color w:val="000000" w:themeColor="text1"/>
          <w:kern w:val="0"/>
          <w:szCs w:val="21"/>
          <w14:textFill>
            <w14:solidFill>
              <w14:schemeClr w14:val="tx1"/>
            </w14:solidFill>
          </w14:textFill>
        </w:rPr>
      </w:pPr>
      <w:bookmarkStart w:id="416" w:name="_Hlk72829984"/>
      <w:r>
        <w:rPr>
          <w:rFonts w:hint="eastAsia" w:ascii="宋体" w:hAnsi="宋体" w:cs="Arial"/>
          <w:color w:val="000000" w:themeColor="text1"/>
          <w:kern w:val="0"/>
          <w:szCs w:val="21"/>
          <w14:textFill>
            <w14:solidFill>
              <w14:schemeClr w14:val="tx1"/>
            </w14:solidFill>
          </w14:textFill>
        </w:rPr>
        <w:t>关联方资金拆借</w:t>
      </w:r>
    </w:p>
    <w:sdt>
      <w:sdtPr>
        <w:rPr>
          <w:color w:val="000000" w:themeColor="text1"/>
          <w14:textFill>
            <w14:solidFill>
              <w14:schemeClr w14:val="tx1"/>
            </w14:solidFill>
          </w14:textFill>
        </w:rPr>
        <w:alias w:val="是否适用：关联方资金拆借[双击切换]"/>
        <w:tag w:val="_GBC_4b2d20ddab104a06a9007945a55a3da5"/>
        <w:id w:val="-1943591949"/>
        <w:placeholder>
          <w:docPart w:val="GBC22222222222222222222222222222"/>
        </w:placeholder>
      </w:sdtPr>
      <w:sdtEndPr>
        <w:rPr>
          <w:color w:val="000000" w:themeColor="text1"/>
          <w14:textFill>
            <w14:solidFill>
              <w14:schemeClr w14:val="tx1"/>
            </w14:solidFill>
          </w14:textFill>
        </w:rPr>
      </w:sdtEndPr>
      <w:sdtContent>
        <w:p w14:paraId="0A0D11F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8623DFB">
      <w:pPr>
        <w:rPr>
          <w:rFonts w:cstheme="minorBidi"/>
          <w:color w:val="000000" w:themeColor="text1"/>
          <w14:textFill>
            <w14:solidFill>
              <w14:schemeClr w14:val="tx1"/>
            </w14:solidFill>
          </w14:textFill>
        </w:rPr>
      </w:pPr>
    </w:p>
    <w:bookmarkEnd w:id="416"/>
    <w:p w14:paraId="32769AB4">
      <w:pPr>
        <w:pStyle w:val="5"/>
        <w:numPr>
          <w:ilvl w:val="0"/>
          <w:numId w:val="103"/>
        </w:numPr>
        <w:tabs>
          <w:tab w:val="left" w:pos="616"/>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关联方资产转让、债务重组情况</w:t>
      </w:r>
    </w:p>
    <w:sdt>
      <w:sdtPr>
        <w:rPr>
          <w:color w:val="000000" w:themeColor="text1"/>
          <w14:textFill>
            <w14:solidFill>
              <w14:schemeClr w14:val="tx1"/>
            </w14:solidFill>
          </w14:textFill>
        </w:rPr>
        <w:alias w:val="是否适用：关联方资产转让、债务重组情况[双击切换]"/>
        <w:tag w:val="_GBC_c590c66abdbe454e89c4c55269fb6adf"/>
        <w:id w:val="1588425061"/>
        <w:placeholder>
          <w:docPart w:val="GBC22222222222222222222222222222"/>
        </w:placeholder>
      </w:sdtPr>
      <w:sdtEndPr>
        <w:rPr>
          <w:color w:val="000000" w:themeColor="text1"/>
          <w14:textFill>
            <w14:solidFill>
              <w14:schemeClr w14:val="tx1"/>
            </w14:solidFill>
          </w14:textFill>
        </w:rPr>
      </w:sdtEndPr>
      <w:sdtContent>
        <w:p w14:paraId="54083FA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7957E11">
      <w:pPr>
        <w:rPr>
          <w:color w:val="000000" w:themeColor="text1"/>
          <w14:textFill>
            <w14:solidFill>
              <w14:schemeClr w14:val="tx1"/>
            </w14:solidFill>
          </w14:textFill>
        </w:rPr>
      </w:pPr>
    </w:p>
    <w:p w14:paraId="5B7FF2F7">
      <w:pPr>
        <w:pStyle w:val="5"/>
        <w:numPr>
          <w:ilvl w:val="0"/>
          <w:numId w:val="103"/>
        </w:numPr>
        <w:tabs>
          <w:tab w:val="left" w:pos="616"/>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关键管理人员报酬</w:t>
      </w:r>
    </w:p>
    <w:sdt>
      <w:sdtPr>
        <w:rPr>
          <w:color w:val="000000" w:themeColor="text1"/>
          <w14:textFill>
            <w14:solidFill>
              <w14:schemeClr w14:val="tx1"/>
            </w14:solidFill>
          </w14:textFill>
        </w:rPr>
        <w:alias w:val="是否适用：关键管理人员报酬[双击切换]"/>
        <w:tag w:val="_GBC_48379e9c7f5743bb916ac1cb044f4057"/>
        <w:id w:val="-1733310419"/>
        <w:placeholder>
          <w:docPart w:val="GBC22222222222222222222222222222"/>
        </w:placeholder>
      </w:sdtPr>
      <w:sdtEndPr>
        <w:rPr>
          <w:color w:val="000000" w:themeColor="text1"/>
          <w14:textFill>
            <w14:solidFill>
              <w14:schemeClr w14:val="tx1"/>
            </w14:solidFill>
          </w14:textFill>
        </w:rPr>
      </w:sdtEndPr>
      <w:sdtContent>
        <w:p w14:paraId="24ADB9A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A911D6A">
      <w:pPr>
        <w:rPr>
          <w:color w:val="000000" w:themeColor="text1"/>
          <w14:textFill>
            <w14:solidFill>
              <w14:schemeClr w14:val="tx1"/>
            </w14:solidFill>
          </w14:textFill>
        </w:rPr>
      </w:pPr>
    </w:p>
    <w:p w14:paraId="37B7EED8">
      <w:pPr>
        <w:pStyle w:val="5"/>
        <w:numPr>
          <w:ilvl w:val="0"/>
          <w:numId w:val="103"/>
        </w:numPr>
        <w:tabs>
          <w:tab w:val="left" w:pos="616"/>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其他关联交易</w:t>
      </w:r>
    </w:p>
    <w:sdt>
      <w:sdtPr>
        <w:rPr>
          <w:color w:val="000000" w:themeColor="text1"/>
          <w14:textFill>
            <w14:solidFill>
              <w14:schemeClr w14:val="tx1"/>
            </w14:solidFill>
          </w14:textFill>
        </w:rPr>
        <w:alias w:val="是否适用：其他关联交易[双击切换]"/>
        <w:tag w:val="_GBC_9768a300838a499089a7b814ff3d817d"/>
        <w:id w:val="2107850080"/>
        <w:placeholder>
          <w:docPart w:val="GBC22222222222222222222222222222"/>
        </w:placeholder>
      </w:sdtPr>
      <w:sdtEndPr>
        <w:rPr>
          <w:color w:val="000000" w:themeColor="text1"/>
          <w14:textFill>
            <w14:solidFill>
              <w14:schemeClr w14:val="tx1"/>
            </w14:solidFill>
          </w14:textFill>
        </w:rPr>
      </w:sdtEndPr>
      <w:sdtContent>
        <w:p w14:paraId="4D4EFA5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9E78E82">
      <w:pPr>
        <w:rPr>
          <w:color w:val="000000" w:themeColor="text1"/>
          <w14:textFill>
            <w14:solidFill>
              <w14:schemeClr w14:val="tx1"/>
            </w14:solidFill>
          </w14:textFill>
        </w:rPr>
      </w:pPr>
    </w:p>
    <w:p w14:paraId="7353116D">
      <w:pPr>
        <w:pStyle w:val="4"/>
        <w:numPr>
          <w:ilvl w:val="0"/>
          <w:numId w:val="102"/>
        </w:numP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应收、应付关联方等未结算项目情况</w:t>
      </w:r>
    </w:p>
    <w:p w14:paraId="54D07AA2">
      <w:pPr>
        <w:pStyle w:val="5"/>
        <w:numPr>
          <w:ilvl w:val="0"/>
          <w:numId w:val="104"/>
        </w:numPr>
        <w:tabs>
          <w:tab w:val="left" w:pos="616"/>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应收项目</w:t>
      </w:r>
    </w:p>
    <w:sdt>
      <w:sdtPr>
        <w:rPr>
          <w:color w:val="000000" w:themeColor="text1"/>
          <w14:textFill>
            <w14:solidFill>
              <w14:schemeClr w14:val="tx1"/>
            </w14:solidFill>
          </w14:textFill>
        </w:rPr>
        <w:alias w:val="是否适用：应收项目[双击切换]"/>
        <w:tag w:val="_GBC_e5475e28b21641f6895ac4770b2631b5"/>
        <w:id w:val="390007178"/>
        <w:placeholder>
          <w:docPart w:val="GBC22222222222222222222222222222"/>
        </w:placeholder>
      </w:sdtPr>
      <w:sdtEndPr>
        <w:rPr>
          <w:color w:val="000000" w:themeColor="text1"/>
          <w14:textFill>
            <w14:solidFill>
              <w14:schemeClr w14:val="tx1"/>
            </w14:solidFill>
          </w14:textFill>
        </w:rPr>
      </w:sdtEndPr>
      <w:sdtContent>
        <w:p w14:paraId="5CFD726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21A427E">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上市公司应收关联方款项"/>
          <w:tag w:val="_GBC_04d0c208b4494e01aba7984c41905093"/>
          <w:id w:val="9741752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上市公司应收关联方款项"/>
          <w:tag w:val="_GBC_b106fdd467084a62837eebe1d06bbbee"/>
          <w:id w:val="7717443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543" w:type="pct"/>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1140"/>
        <w:gridCol w:w="3396"/>
        <w:gridCol w:w="1418"/>
        <w:gridCol w:w="1279"/>
        <w:gridCol w:w="1412"/>
        <w:gridCol w:w="1136"/>
      </w:tblGrid>
      <w:tr w14:paraId="21DB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sdt>
          <w:sdtPr>
            <w:tag w:val="_PLD_75750bc8ac464afa98573c85adea097c"/>
            <w:id w:val="-870607135"/>
          </w:sdtPr>
          <w:sdtContent>
            <w:tc>
              <w:tcPr>
                <w:tcW w:w="583" w:type="pct"/>
                <w:vMerge w:val="restart"/>
                <w:tcBorders>
                  <w:top w:val="single" w:color="auto" w:sz="4" w:space="0"/>
                  <w:left w:val="single" w:color="auto" w:sz="4" w:space="0"/>
                  <w:right w:val="single" w:color="auto" w:sz="4" w:space="0"/>
                </w:tcBorders>
                <w:vAlign w:val="center"/>
              </w:tcPr>
              <w:p w14:paraId="44759F4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sdtContent>
        </w:sdt>
        <w:sdt>
          <w:sdtPr>
            <w:tag w:val="_PLD_5006be842c534839b3dabcf833329dd5"/>
            <w:id w:val="-2041513753"/>
          </w:sdtPr>
          <w:sdtContent>
            <w:tc>
              <w:tcPr>
                <w:tcW w:w="1736" w:type="pct"/>
                <w:vMerge w:val="restart"/>
                <w:tcBorders>
                  <w:top w:val="single" w:color="auto" w:sz="4" w:space="0"/>
                  <w:left w:val="single" w:color="auto" w:sz="4" w:space="0"/>
                  <w:right w:val="single" w:color="auto" w:sz="4" w:space="0"/>
                </w:tcBorders>
                <w:vAlign w:val="center"/>
              </w:tcPr>
              <w:p w14:paraId="6F6C803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关联方</w:t>
                </w:r>
              </w:p>
            </w:tc>
          </w:sdtContent>
        </w:sdt>
        <w:sdt>
          <w:sdtPr>
            <w:tag w:val="_PLD_f8f3c28b2f064090a27f319875eb1b52"/>
            <w:id w:val="847222157"/>
          </w:sdtPr>
          <w:sdtContent>
            <w:tc>
              <w:tcPr>
                <w:tcW w:w="1379" w:type="pct"/>
                <w:gridSpan w:val="2"/>
                <w:tcBorders>
                  <w:top w:val="single" w:color="auto" w:sz="4" w:space="0"/>
                  <w:left w:val="single" w:color="auto" w:sz="4" w:space="0"/>
                  <w:bottom w:val="single" w:color="auto" w:sz="4" w:space="0"/>
                  <w:right w:val="single" w:color="auto" w:sz="4" w:space="0"/>
                </w:tcBorders>
                <w:vAlign w:val="center"/>
              </w:tcPr>
              <w:p w14:paraId="3080E1B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fdab8cbff0b74f19a916d61075f629a0"/>
            <w:id w:val="-1612967015"/>
          </w:sdtPr>
          <w:sdtContent>
            <w:tc>
              <w:tcPr>
                <w:tcW w:w="1302" w:type="pct"/>
                <w:gridSpan w:val="2"/>
                <w:tcBorders>
                  <w:top w:val="single" w:color="auto" w:sz="4" w:space="0"/>
                  <w:left w:val="single" w:color="auto" w:sz="4" w:space="0"/>
                  <w:bottom w:val="single" w:color="auto" w:sz="4" w:space="0"/>
                  <w:right w:val="single" w:color="auto" w:sz="4" w:space="0"/>
                </w:tcBorders>
                <w:vAlign w:val="center"/>
              </w:tcPr>
              <w:p w14:paraId="5B608BB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322D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583" w:type="pct"/>
            <w:vMerge w:val="continue"/>
            <w:tcBorders>
              <w:left w:val="single" w:color="auto" w:sz="4" w:space="0"/>
              <w:bottom w:val="single" w:color="auto" w:sz="4" w:space="0"/>
              <w:right w:val="single" w:color="auto" w:sz="4" w:space="0"/>
            </w:tcBorders>
            <w:vAlign w:val="center"/>
          </w:tcPr>
          <w:p w14:paraId="07718344">
            <w:pPr>
              <w:jc w:val="center"/>
              <w:rPr>
                <w:color w:val="000000" w:themeColor="text1"/>
                <w14:textFill>
                  <w14:solidFill>
                    <w14:schemeClr w14:val="tx1"/>
                  </w14:solidFill>
                </w14:textFill>
              </w:rPr>
            </w:pPr>
          </w:p>
        </w:tc>
        <w:tc>
          <w:tcPr>
            <w:tcW w:w="1736" w:type="pct"/>
            <w:vMerge w:val="continue"/>
            <w:tcBorders>
              <w:left w:val="single" w:color="auto" w:sz="4" w:space="0"/>
              <w:bottom w:val="single" w:color="auto" w:sz="4" w:space="0"/>
              <w:right w:val="single" w:color="auto" w:sz="4" w:space="0"/>
            </w:tcBorders>
            <w:vAlign w:val="center"/>
          </w:tcPr>
          <w:p w14:paraId="28C58D3D">
            <w:pPr>
              <w:jc w:val="center"/>
              <w:rPr>
                <w:color w:val="000000" w:themeColor="text1"/>
                <w14:textFill>
                  <w14:solidFill>
                    <w14:schemeClr w14:val="tx1"/>
                  </w14:solidFill>
                </w14:textFill>
              </w:rPr>
            </w:pPr>
          </w:p>
        </w:tc>
        <w:sdt>
          <w:sdtPr>
            <w:tag w:val="_PLD_5c085d18049644c9860a00b248b7c0ba"/>
            <w:id w:val="257497980"/>
          </w:sdtPr>
          <w:sdtContent>
            <w:tc>
              <w:tcPr>
                <w:tcW w:w="725" w:type="pct"/>
                <w:tcBorders>
                  <w:top w:val="single" w:color="auto" w:sz="4" w:space="0"/>
                  <w:left w:val="single" w:color="auto" w:sz="4" w:space="0"/>
                  <w:bottom w:val="single" w:color="auto" w:sz="4" w:space="0"/>
                  <w:right w:val="single" w:color="auto" w:sz="4" w:space="0"/>
                </w:tcBorders>
                <w:vAlign w:val="center"/>
              </w:tcPr>
              <w:p w14:paraId="3DC8263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tc>
          </w:sdtContent>
        </w:sdt>
        <w:sdt>
          <w:sdtPr>
            <w:tag w:val="_PLD_8262489c05a6417a883e2c877ded6170"/>
            <w:id w:val="-1145509003"/>
          </w:sdtPr>
          <w:sdtContent>
            <w:tc>
              <w:tcPr>
                <w:tcW w:w="654" w:type="pct"/>
                <w:tcBorders>
                  <w:top w:val="single" w:color="auto" w:sz="4" w:space="0"/>
                  <w:left w:val="single" w:color="auto" w:sz="4" w:space="0"/>
                  <w:bottom w:val="single" w:color="auto" w:sz="4" w:space="0"/>
                  <w:right w:val="single" w:color="auto" w:sz="4" w:space="0"/>
                </w:tcBorders>
                <w:vAlign w:val="center"/>
              </w:tcPr>
              <w:p w14:paraId="426EE9A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坏账准备</w:t>
                </w:r>
              </w:p>
            </w:tc>
          </w:sdtContent>
        </w:sdt>
        <w:sdt>
          <w:sdtPr>
            <w:tag w:val="_PLD_46c6d827df3f47a3bc83a6dd8718f17e"/>
            <w:id w:val="1110932632"/>
          </w:sdtPr>
          <w:sdtContent>
            <w:tc>
              <w:tcPr>
                <w:tcW w:w="722" w:type="pct"/>
                <w:tcBorders>
                  <w:top w:val="single" w:color="auto" w:sz="4" w:space="0"/>
                  <w:left w:val="single" w:color="auto" w:sz="4" w:space="0"/>
                  <w:bottom w:val="single" w:color="auto" w:sz="4" w:space="0"/>
                  <w:right w:val="single" w:color="auto" w:sz="4" w:space="0"/>
                </w:tcBorders>
                <w:vAlign w:val="center"/>
              </w:tcPr>
              <w:p w14:paraId="3406145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tc>
          </w:sdtContent>
        </w:sdt>
        <w:sdt>
          <w:sdtPr>
            <w:tag w:val="_PLD_fca2aa8baf8a48a7a4cdc730d7420d47"/>
            <w:id w:val="989530248"/>
          </w:sdtPr>
          <w:sdtContent>
            <w:tc>
              <w:tcPr>
                <w:tcW w:w="580" w:type="pct"/>
                <w:tcBorders>
                  <w:top w:val="single" w:color="auto" w:sz="4" w:space="0"/>
                  <w:left w:val="single" w:color="auto" w:sz="4" w:space="0"/>
                  <w:bottom w:val="single" w:color="auto" w:sz="4" w:space="0"/>
                  <w:right w:val="single" w:color="auto" w:sz="4" w:space="0"/>
                </w:tcBorders>
                <w:vAlign w:val="center"/>
              </w:tcPr>
              <w:p w14:paraId="6848212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坏账准备</w:t>
                </w:r>
              </w:p>
            </w:tc>
          </w:sdtContent>
        </w:sdt>
      </w:tr>
      <w:tr w14:paraId="4230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20A054F7">
            <w:pPr>
              <w:autoSpaceDE w:val="0"/>
              <w:autoSpaceDN w:val="0"/>
              <w:adjustRightInd w:val="0"/>
            </w:pPr>
            <w:bookmarkStart w:id="417" w:name="_Hlk235714877"/>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41E844A6">
            <w:pPr>
              <w:autoSpaceDE w:val="0"/>
              <w:autoSpaceDN w:val="0"/>
              <w:adjustRightInd w:val="0"/>
            </w:pPr>
            <w:r>
              <w:rPr>
                <w:rFonts w:hint="eastAsia" w:ascii="宋体" w:hAnsi="宋体"/>
                <w:sz w:val="18"/>
                <w:szCs w:val="18"/>
              </w:rPr>
              <w:t>好当家集团有限公司海洋学校</w:t>
            </w:r>
          </w:p>
        </w:tc>
        <w:tc>
          <w:tcPr>
            <w:tcW w:w="725" w:type="pct"/>
            <w:tcBorders>
              <w:top w:val="single" w:color="auto" w:sz="4" w:space="0"/>
              <w:left w:val="single" w:color="auto" w:sz="4" w:space="0"/>
              <w:bottom w:val="single" w:color="auto" w:sz="4" w:space="0"/>
              <w:right w:val="single" w:color="auto" w:sz="4" w:space="0"/>
            </w:tcBorders>
          </w:tcPr>
          <w:p w14:paraId="069E61A2">
            <w:pPr>
              <w:autoSpaceDE w:val="0"/>
              <w:autoSpaceDN w:val="0"/>
              <w:adjustRightInd w:val="0"/>
              <w:jc w:val="right"/>
              <w:rPr>
                <w:rFonts w:hint="eastAsia" w:asciiTheme="minorEastAsia" w:hAnsiTheme="minorEastAsia" w:eastAsiaTheme="minorEastAsia"/>
                <w:sz w:val="18"/>
                <w:szCs w:val="18"/>
              </w:rPr>
            </w:pPr>
          </w:p>
        </w:tc>
        <w:tc>
          <w:tcPr>
            <w:tcW w:w="654" w:type="pct"/>
            <w:tcBorders>
              <w:top w:val="single" w:color="auto" w:sz="4" w:space="0"/>
              <w:left w:val="single" w:color="auto" w:sz="4" w:space="0"/>
              <w:bottom w:val="single" w:color="auto" w:sz="4" w:space="0"/>
              <w:right w:val="single" w:color="auto" w:sz="4" w:space="0"/>
            </w:tcBorders>
          </w:tcPr>
          <w:p w14:paraId="051448B7">
            <w:pPr>
              <w:autoSpaceDE w:val="0"/>
              <w:autoSpaceDN w:val="0"/>
              <w:adjustRightInd w:val="0"/>
              <w:jc w:val="right"/>
              <w:rPr>
                <w:rFonts w:hint="eastAsia" w:asciiTheme="minorEastAsia" w:hAnsiTheme="minorEastAsia" w:eastAsiaTheme="minorEastAsia"/>
                <w:sz w:val="18"/>
                <w:szCs w:val="18"/>
              </w:rPr>
            </w:pPr>
          </w:p>
        </w:tc>
        <w:tc>
          <w:tcPr>
            <w:tcW w:w="722" w:type="pct"/>
            <w:tcBorders>
              <w:top w:val="single" w:color="auto" w:sz="4" w:space="0"/>
              <w:left w:val="single" w:color="auto" w:sz="4" w:space="0"/>
              <w:bottom w:val="single" w:color="auto" w:sz="4" w:space="0"/>
              <w:right w:val="single" w:color="auto" w:sz="4" w:space="0"/>
            </w:tcBorders>
            <w:vAlign w:val="center"/>
          </w:tcPr>
          <w:p w14:paraId="7636452E">
            <w:pPr>
              <w:autoSpaceDE w:val="0"/>
              <w:autoSpaceDN w:val="0"/>
              <w:adjustRightInd w:val="0"/>
              <w:jc w:val="right"/>
            </w:pPr>
            <w:r>
              <w:rPr>
                <w:rFonts w:hint="eastAsia" w:ascii="宋体" w:hAnsi="宋体"/>
                <w:sz w:val="18"/>
                <w:szCs w:val="18"/>
              </w:rPr>
              <w:t>1,814.50</w:t>
            </w:r>
          </w:p>
        </w:tc>
        <w:tc>
          <w:tcPr>
            <w:tcW w:w="580" w:type="pct"/>
            <w:tcBorders>
              <w:top w:val="single" w:color="auto" w:sz="4" w:space="0"/>
              <w:left w:val="single" w:color="auto" w:sz="4" w:space="0"/>
              <w:bottom w:val="single" w:color="auto" w:sz="4" w:space="0"/>
              <w:right w:val="single" w:color="auto" w:sz="4" w:space="0"/>
            </w:tcBorders>
            <w:vAlign w:val="center"/>
          </w:tcPr>
          <w:p w14:paraId="1B08F877">
            <w:pPr>
              <w:autoSpaceDE w:val="0"/>
              <w:autoSpaceDN w:val="0"/>
              <w:adjustRightInd w:val="0"/>
              <w:jc w:val="right"/>
            </w:pPr>
            <w:r>
              <w:rPr>
                <w:rFonts w:hint="eastAsia" w:ascii="宋体" w:hAnsi="宋体"/>
                <w:sz w:val="18"/>
                <w:szCs w:val="18"/>
              </w:rPr>
              <w:t>136.23</w:t>
            </w:r>
          </w:p>
        </w:tc>
      </w:tr>
      <w:tr w14:paraId="789D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6C088BE3">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1EEB75A8">
            <w:pPr>
              <w:autoSpaceDE w:val="0"/>
              <w:autoSpaceDN w:val="0"/>
              <w:adjustRightInd w:val="0"/>
            </w:pPr>
            <w:r>
              <w:rPr>
                <w:rFonts w:hint="eastAsia" w:ascii="宋体" w:hAnsi="宋体"/>
                <w:sz w:val="18"/>
                <w:szCs w:val="18"/>
              </w:rPr>
              <w:t>好当家东方水产开发有限公司</w:t>
            </w:r>
          </w:p>
        </w:tc>
        <w:tc>
          <w:tcPr>
            <w:tcW w:w="725" w:type="pct"/>
            <w:tcBorders>
              <w:top w:val="single" w:color="auto" w:sz="4" w:space="0"/>
              <w:left w:val="single" w:color="auto" w:sz="4" w:space="0"/>
              <w:bottom w:val="single" w:color="auto" w:sz="4" w:space="0"/>
              <w:right w:val="single" w:color="auto" w:sz="4" w:space="0"/>
            </w:tcBorders>
          </w:tcPr>
          <w:p w14:paraId="4A0D80FA">
            <w:pPr>
              <w:autoSpaceDE w:val="0"/>
              <w:autoSpaceDN w:val="0"/>
              <w:adjustRightInd w:val="0"/>
              <w:jc w:val="right"/>
              <w:rPr>
                <w:rFonts w:hint="eastAsia" w:asciiTheme="minorEastAsia" w:hAnsiTheme="minorEastAsia" w:eastAsiaTheme="minorEastAsia"/>
                <w:sz w:val="18"/>
                <w:szCs w:val="18"/>
              </w:rPr>
            </w:pPr>
          </w:p>
        </w:tc>
        <w:tc>
          <w:tcPr>
            <w:tcW w:w="654" w:type="pct"/>
            <w:tcBorders>
              <w:top w:val="single" w:color="auto" w:sz="4" w:space="0"/>
              <w:left w:val="single" w:color="auto" w:sz="4" w:space="0"/>
              <w:bottom w:val="single" w:color="auto" w:sz="4" w:space="0"/>
              <w:right w:val="single" w:color="auto" w:sz="4" w:space="0"/>
            </w:tcBorders>
          </w:tcPr>
          <w:p w14:paraId="0319D396">
            <w:pPr>
              <w:autoSpaceDE w:val="0"/>
              <w:autoSpaceDN w:val="0"/>
              <w:adjustRightInd w:val="0"/>
              <w:jc w:val="right"/>
              <w:rPr>
                <w:rFonts w:hint="eastAsia" w:asciiTheme="minorEastAsia" w:hAnsiTheme="minorEastAsia" w:eastAsiaTheme="minorEastAsia"/>
                <w:sz w:val="18"/>
                <w:szCs w:val="18"/>
              </w:rPr>
            </w:pPr>
          </w:p>
        </w:tc>
        <w:tc>
          <w:tcPr>
            <w:tcW w:w="722" w:type="pct"/>
            <w:tcBorders>
              <w:top w:val="single" w:color="auto" w:sz="4" w:space="0"/>
              <w:left w:val="single" w:color="auto" w:sz="4" w:space="0"/>
              <w:bottom w:val="single" w:color="auto" w:sz="4" w:space="0"/>
              <w:right w:val="single" w:color="auto" w:sz="4" w:space="0"/>
            </w:tcBorders>
            <w:vAlign w:val="center"/>
          </w:tcPr>
          <w:p w14:paraId="10D6D007">
            <w:pPr>
              <w:autoSpaceDE w:val="0"/>
              <w:autoSpaceDN w:val="0"/>
              <w:adjustRightInd w:val="0"/>
              <w:jc w:val="right"/>
            </w:pPr>
            <w:r>
              <w:rPr>
                <w:rFonts w:hint="eastAsia" w:ascii="宋体" w:hAnsi="宋体"/>
                <w:sz w:val="18"/>
                <w:szCs w:val="18"/>
              </w:rPr>
              <w:t>135,514.42</w:t>
            </w:r>
          </w:p>
        </w:tc>
        <w:tc>
          <w:tcPr>
            <w:tcW w:w="580" w:type="pct"/>
            <w:tcBorders>
              <w:top w:val="single" w:color="auto" w:sz="4" w:space="0"/>
              <w:left w:val="single" w:color="auto" w:sz="4" w:space="0"/>
              <w:bottom w:val="single" w:color="auto" w:sz="4" w:space="0"/>
              <w:right w:val="single" w:color="auto" w:sz="4" w:space="0"/>
            </w:tcBorders>
            <w:vAlign w:val="center"/>
          </w:tcPr>
          <w:p w14:paraId="1BF7484E">
            <w:pPr>
              <w:autoSpaceDE w:val="0"/>
              <w:autoSpaceDN w:val="0"/>
              <w:adjustRightInd w:val="0"/>
              <w:jc w:val="right"/>
            </w:pPr>
            <w:r>
              <w:rPr>
                <w:rFonts w:hint="eastAsia" w:ascii="宋体" w:hAnsi="宋体"/>
                <w:sz w:val="18"/>
                <w:szCs w:val="18"/>
              </w:rPr>
              <w:t>12,582.69</w:t>
            </w:r>
          </w:p>
        </w:tc>
      </w:tr>
      <w:tr w14:paraId="492A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236D6850">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3747837B">
            <w:pPr>
              <w:autoSpaceDE w:val="0"/>
              <w:autoSpaceDN w:val="0"/>
              <w:adjustRightInd w:val="0"/>
            </w:pPr>
            <w:r>
              <w:rPr>
                <w:rFonts w:hint="eastAsia" w:ascii="宋体" w:hAnsi="宋体"/>
                <w:sz w:val="18"/>
                <w:szCs w:val="18"/>
              </w:rPr>
              <w:t>好当家集团有限公司</w:t>
            </w:r>
          </w:p>
        </w:tc>
        <w:tc>
          <w:tcPr>
            <w:tcW w:w="725" w:type="pct"/>
            <w:tcBorders>
              <w:top w:val="single" w:color="auto" w:sz="4" w:space="0"/>
              <w:left w:val="single" w:color="auto" w:sz="4" w:space="0"/>
              <w:bottom w:val="single" w:color="auto" w:sz="4" w:space="0"/>
              <w:right w:val="single" w:color="auto" w:sz="4" w:space="0"/>
            </w:tcBorders>
          </w:tcPr>
          <w:p w14:paraId="4D8BC4EC">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2,749,724.49</w:t>
            </w:r>
          </w:p>
        </w:tc>
        <w:tc>
          <w:tcPr>
            <w:tcW w:w="654" w:type="pct"/>
            <w:tcBorders>
              <w:top w:val="single" w:color="auto" w:sz="4" w:space="0"/>
              <w:left w:val="single" w:color="auto" w:sz="4" w:space="0"/>
              <w:bottom w:val="single" w:color="auto" w:sz="4" w:space="0"/>
              <w:right w:val="single" w:color="auto" w:sz="4" w:space="0"/>
            </w:tcBorders>
          </w:tcPr>
          <w:p w14:paraId="060E7744">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137,486.22</w:t>
            </w:r>
          </w:p>
        </w:tc>
        <w:tc>
          <w:tcPr>
            <w:tcW w:w="722" w:type="pct"/>
            <w:tcBorders>
              <w:top w:val="single" w:color="auto" w:sz="4" w:space="0"/>
              <w:left w:val="single" w:color="auto" w:sz="4" w:space="0"/>
              <w:bottom w:val="single" w:color="auto" w:sz="4" w:space="0"/>
              <w:right w:val="single" w:color="auto" w:sz="4" w:space="0"/>
            </w:tcBorders>
            <w:vAlign w:val="center"/>
          </w:tcPr>
          <w:p w14:paraId="740223E6">
            <w:pPr>
              <w:autoSpaceDE w:val="0"/>
              <w:autoSpaceDN w:val="0"/>
              <w:adjustRightInd w:val="0"/>
              <w:jc w:val="right"/>
            </w:pPr>
            <w:r>
              <w:rPr>
                <w:rFonts w:hint="eastAsia" w:ascii="宋体" w:hAnsi="宋体"/>
                <w:sz w:val="18"/>
                <w:szCs w:val="18"/>
              </w:rPr>
              <w:t>1,224,036.26</w:t>
            </w:r>
          </w:p>
        </w:tc>
        <w:tc>
          <w:tcPr>
            <w:tcW w:w="580" w:type="pct"/>
            <w:tcBorders>
              <w:top w:val="single" w:color="auto" w:sz="4" w:space="0"/>
              <w:left w:val="single" w:color="auto" w:sz="4" w:space="0"/>
              <w:bottom w:val="single" w:color="auto" w:sz="4" w:space="0"/>
              <w:right w:val="single" w:color="auto" w:sz="4" w:space="0"/>
            </w:tcBorders>
            <w:vAlign w:val="center"/>
          </w:tcPr>
          <w:p w14:paraId="1128113D">
            <w:pPr>
              <w:autoSpaceDE w:val="0"/>
              <w:autoSpaceDN w:val="0"/>
              <w:adjustRightInd w:val="0"/>
              <w:jc w:val="right"/>
            </w:pPr>
            <w:r>
              <w:rPr>
                <w:rFonts w:hint="eastAsia" w:ascii="宋体" w:hAnsi="宋体"/>
                <w:sz w:val="18"/>
                <w:szCs w:val="18"/>
              </w:rPr>
              <w:t>83,468.21</w:t>
            </w:r>
          </w:p>
        </w:tc>
      </w:tr>
      <w:tr w14:paraId="1E34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2F3006F3">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60876A19">
            <w:pPr>
              <w:autoSpaceDE w:val="0"/>
              <w:autoSpaceDN w:val="0"/>
              <w:adjustRightInd w:val="0"/>
            </w:pPr>
            <w:r>
              <w:rPr>
                <w:rFonts w:hint="eastAsia" w:ascii="宋体" w:hAnsi="宋体"/>
                <w:sz w:val="18"/>
                <w:szCs w:val="18"/>
              </w:rPr>
              <w:t>荣成好当家房地产开发有限公司</w:t>
            </w:r>
          </w:p>
        </w:tc>
        <w:tc>
          <w:tcPr>
            <w:tcW w:w="725" w:type="pct"/>
            <w:tcBorders>
              <w:top w:val="single" w:color="auto" w:sz="4" w:space="0"/>
              <w:left w:val="single" w:color="auto" w:sz="4" w:space="0"/>
              <w:bottom w:val="single" w:color="auto" w:sz="4" w:space="0"/>
              <w:right w:val="single" w:color="auto" w:sz="4" w:space="0"/>
            </w:tcBorders>
          </w:tcPr>
          <w:p w14:paraId="45FE2868">
            <w:pPr>
              <w:autoSpaceDE w:val="0"/>
              <w:autoSpaceDN w:val="0"/>
              <w:adjustRightInd w:val="0"/>
              <w:jc w:val="right"/>
              <w:rPr>
                <w:rFonts w:hint="eastAsia" w:asciiTheme="minorEastAsia" w:hAnsiTheme="minorEastAsia" w:eastAsiaTheme="minorEastAsia"/>
                <w:sz w:val="18"/>
                <w:szCs w:val="18"/>
              </w:rPr>
            </w:pPr>
            <w:r>
              <w:rPr>
                <w:rFonts w:hint="eastAsia" w:asciiTheme="minorEastAsia" w:hAnsiTheme="minorEastAsia" w:eastAsiaTheme="minorEastAsia"/>
                <w:sz w:val="18"/>
                <w:szCs w:val="18"/>
              </w:rPr>
              <w:t>540.00</w:t>
            </w:r>
          </w:p>
        </w:tc>
        <w:tc>
          <w:tcPr>
            <w:tcW w:w="654" w:type="pct"/>
            <w:tcBorders>
              <w:top w:val="single" w:color="auto" w:sz="4" w:space="0"/>
              <w:left w:val="single" w:color="auto" w:sz="4" w:space="0"/>
              <w:bottom w:val="single" w:color="auto" w:sz="4" w:space="0"/>
              <w:right w:val="single" w:color="auto" w:sz="4" w:space="0"/>
            </w:tcBorders>
          </w:tcPr>
          <w:p w14:paraId="42610A21">
            <w:pPr>
              <w:autoSpaceDE w:val="0"/>
              <w:autoSpaceDN w:val="0"/>
              <w:adjustRightInd w:val="0"/>
              <w:jc w:val="right"/>
              <w:rPr>
                <w:rFonts w:hint="eastAsia" w:asciiTheme="minorEastAsia" w:hAnsiTheme="minorEastAsia" w:eastAsiaTheme="minorEastAsia"/>
                <w:sz w:val="18"/>
                <w:szCs w:val="18"/>
              </w:rPr>
            </w:pPr>
            <w:r>
              <w:rPr>
                <w:rFonts w:hint="eastAsia" w:asciiTheme="minorEastAsia" w:hAnsiTheme="minorEastAsia" w:eastAsiaTheme="minorEastAsia"/>
                <w:sz w:val="18"/>
                <w:szCs w:val="18"/>
              </w:rPr>
              <w:t>27.00</w:t>
            </w:r>
          </w:p>
        </w:tc>
        <w:tc>
          <w:tcPr>
            <w:tcW w:w="722" w:type="pct"/>
            <w:tcBorders>
              <w:top w:val="single" w:color="auto" w:sz="4" w:space="0"/>
              <w:left w:val="single" w:color="auto" w:sz="4" w:space="0"/>
              <w:bottom w:val="single" w:color="auto" w:sz="4" w:space="0"/>
              <w:right w:val="single" w:color="auto" w:sz="4" w:space="0"/>
            </w:tcBorders>
            <w:vAlign w:val="center"/>
          </w:tcPr>
          <w:p w14:paraId="1FCE607E">
            <w:pPr>
              <w:autoSpaceDE w:val="0"/>
              <w:autoSpaceDN w:val="0"/>
              <w:adjustRightInd w:val="0"/>
              <w:jc w:val="right"/>
            </w:pPr>
          </w:p>
        </w:tc>
        <w:tc>
          <w:tcPr>
            <w:tcW w:w="580" w:type="pct"/>
            <w:tcBorders>
              <w:top w:val="single" w:color="auto" w:sz="4" w:space="0"/>
              <w:left w:val="single" w:color="auto" w:sz="4" w:space="0"/>
              <w:bottom w:val="single" w:color="auto" w:sz="4" w:space="0"/>
              <w:right w:val="single" w:color="auto" w:sz="4" w:space="0"/>
            </w:tcBorders>
            <w:vAlign w:val="center"/>
          </w:tcPr>
          <w:p w14:paraId="4B5886B5">
            <w:pPr>
              <w:autoSpaceDE w:val="0"/>
              <w:autoSpaceDN w:val="0"/>
              <w:adjustRightInd w:val="0"/>
              <w:jc w:val="right"/>
            </w:pPr>
          </w:p>
        </w:tc>
      </w:tr>
      <w:tr w14:paraId="5933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403AE0C1">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2DCD26EE">
            <w:pPr>
              <w:autoSpaceDE w:val="0"/>
              <w:autoSpaceDN w:val="0"/>
              <w:adjustRightInd w:val="0"/>
            </w:pPr>
            <w:r>
              <w:rPr>
                <w:rFonts w:hint="eastAsia" w:ascii="宋体" w:hAnsi="宋体"/>
                <w:sz w:val="18"/>
                <w:szCs w:val="18"/>
              </w:rPr>
              <w:t>荣成好当家工程建设有限公司</w:t>
            </w:r>
          </w:p>
        </w:tc>
        <w:tc>
          <w:tcPr>
            <w:tcW w:w="725" w:type="pct"/>
            <w:tcBorders>
              <w:top w:val="single" w:color="auto" w:sz="4" w:space="0"/>
              <w:left w:val="single" w:color="auto" w:sz="4" w:space="0"/>
              <w:bottom w:val="single" w:color="auto" w:sz="4" w:space="0"/>
              <w:right w:val="single" w:color="auto" w:sz="4" w:space="0"/>
            </w:tcBorders>
          </w:tcPr>
          <w:p w14:paraId="325B31A2">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39,359.50</w:t>
            </w:r>
          </w:p>
        </w:tc>
        <w:tc>
          <w:tcPr>
            <w:tcW w:w="654" w:type="pct"/>
            <w:tcBorders>
              <w:top w:val="single" w:color="auto" w:sz="4" w:space="0"/>
              <w:left w:val="single" w:color="auto" w:sz="4" w:space="0"/>
              <w:bottom w:val="single" w:color="auto" w:sz="4" w:space="0"/>
              <w:right w:val="single" w:color="auto" w:sz="4" w:space="0"/>
            </w:tcBorders>
          </w:tcPr>
          <w:p w14:paraId="6F8BDE07">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1,967.98</w:t>
            </w:r>
          </w:p>
        </w:tc>
        <w:tc>
          <w:tcPr>
            <w:tcW w:w="722" w:type="pct"/>
            <w:tcBorders>
              <w:top w:val="single" w:color="auto" w:sz="4" w:space="0"/>
              <w:left w:val="single" w:color="auto" w:sz="4" w:space="0"/>
              <w:bottom w:val="single" w:color="auto" w:sz="4" w:space="0"/>
              <w:right w:val="single" w:color="auto" w:sz="4" w:space="0"/>
            </w:tcBorders>
            <w:vAlign w:val="center"/>
          </w:tcPr>
          <w:p w14:paraId="63D1AC00">
            <w:pPr>
              <w:autoSpaceDE w:val="0"/>
              <w:autoSpaceDN w:val="0"/>
              <w:adjustRightInd w:val="0"/>
              <w:jc w:val="right"/>
            </w:pPr>
            <w:r>
              <w:rPr>
                <w:rFonts w:hint="eastAsia" w:ascii="宋体" w:hAnsi="宋体"/>
                <w:sz w:val="18"/>
                <w:szCs w:val="18"/>
              </w:rPr>
              <w:t>895,564.39</w:t>
            </w:r>
          </w:p>
        </w:tc>
        <w:tc>
          <w:tcPr>
            <w:tcW w:w="580" w:type="pct"/>
            <w:tcBorders>
              <w:top w:val="single" w:color="auto" w:sz="4" w:space="0"/>
              <w:left w:val="single" w:color="auto" w:sz="4" w:space="0"/>
              <w:bottom w:val="single" w:color="auto" w:sz="4" w:space="0"/>
              <w:right w:val="single" w:color="auto" w:sz="4" w:space="0"/>
            </w:tcBorders>
            <w:vAlign w:val="center"/>
          </w:tcPr>
          <w:p w14:paraId="7DC066C5">
            <w:pPr>
              <w:autoSpaceDE w:val="0"/>
              <w:autoSpaceDN w:val="0"/>
              <w:adjustRightInd w:val="0"/>
              <w:jc w:val="right"/>
            </w:pPr>
            <w:r>
              <w:rPr>
                <w:rFonts w:hint="eastAsia" w:ascii="宋体" w:hAnsi="宋体"/>
                <w:sz w:val="18"/>
                <w:szCs w:val="18"/>
              </w:rPr>
              <w:t>45,351.74</w:t>
            </w:r>
          </w:p>
        </w:tc>
      </w:tr>
      <w:tr w14:paraId="351D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3566CD8E">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43E88957">
            <w:pPr>
              <w:autoSpaceDE w:val="0"/>
              <w:autoSpaceDN w:val="0"/>
              <w:adjustRightInd w:val="0"/>
            </w:pPr>
            <w:r>
              <w:rPr>
                <w:rFonts w:hint="eastAsia" w:ascii="宋体" w:hAnsi="宋体"/>
                <w:sz w:val="18"/>
                <w:szCs w:val="18"/>
              </w:rPr>
              <w:t>荣成好当家溴盐温泉度假有限公司</w:t>
            </w:r>
          </w:p>
        </w:tc>
        <w:tc>
          <w:tcPr>
            <w:tcW w:w="725" w:type="pct"/>
            <w:tcBorders>
              <w:top w:val="single" w:color="auto" w:sz="4" w:space="0"/>
              <w:left w:val="single" w:color="auto" w:sz="4" w:space="0"/>
              <w:bottom w:val="single" w:color="auto" w:sz="4" w:space="0"/>
              <w:right w:val="single" w:color="auto" w:sz="4" w:space="0"/>
            </w:tcBorders>
          </w:tcPr>
          <w:p w14:paraId="4AE9B6C1">
            <w:pPr>
              <w:autoSpaceDE w:val="0"/>
              <w:autoSpaceDN w:val="0"/>
              <w:adjustRightInd w:val="0"/>
              <w:jc w:val="right"/>
              <w:rPr>
                <w:rFonts w:hint="eastAsia" w:asciiTheme="minorEastAsia" w:hAnsiTheme="minorEastAsia" w:eastAsiaTheme="minorEastAsia"/>
                <w:sz w:val="18"/>
                <w:szCs w:val="18"/>
              </w:rPr>
            </w:pPr>
          </w:p>
        </w:tc>
        <w:tc>
          <w:tcPr>
            <w:tcW w:w="654" w:type="pct"/>
            <w:tcBorders>
              <w:top w:val="single" w:color="auto" w:sz="4" w:space="0"/>
              <w:left w:val="single" w:color="auto" w:sz="4" w:space="0"/>
              <w:bottom w:val="single" w:color="auto" w:sz="4" w:space="0"/>
              <w:right w:val="single" w:color="auto" w:sz="4" w:space="0"/>
            </w:tcBorders>
          </w:tcPr>
          <w:p w14:paraId="0314F664">
            <w:pPr>
              <w:autoSpaceDE w:val="0"/>
              <w:autoSpaceDN w:val="0"/>
              <w:adjustRightInd w:val="0"/>
              <w:jc w:val="right"/>
              <w:rPr>
                <w:rFonts w:hint="eastAsia" w:asciiTheme="minorEastAsia" w:hAnsiTheme="minorEastAsia" w:eastAsiaTheme="minorEastAsia"/>
                <w:sz w:val="18"/>
                <w:szCs w:val="18"/>
              </w:rPr>
            </w:pPr>
          </w:p>
        </w:tc>
        <w:tc>
          <w:tcPr>
            <w:tcW w:w="722" w:type="pct"/>
            <w:tcBorders>
              <w:top w:val="single" w:color="auto" w:sz="4" w:space="0"/>
              <w:left w:val="single" w:color="auto" w:sz="4" w:space="0"/>
              <w:bottom w:val="single" w:color="auto" w:sz="4" w:space="0"/>
              <w:right w:val="single" w:color="auto" w:sz="4" w:space="0"/>
            </w:tcBorders>
            <w:vAlign w:val="center"/>
          </w:tcPr>
          <w:p w14:paraId="563CF97F">
            <w:pPr>
              <w:autoSpaceDE w:val="0"/>
              <w:autoSpaceDN w:val="0"/>
              <w:adjustRightInd w:val="0"/>
              <w:jc w:val="right"/>
            </w:pPr>
            <w:r>
              <w:rPr>
                <w:rFonts w:hint="eastAsia" w:ascii="宋体" w:hAnsi="宋体"/>
                <w:sz w:val="18"/>
                <w:szCs w:val="18"/>
              </w:rPr>
              <w:t>120.00</w:t>
            </w:r>
          </w:p>
        </w:tc>
        <w:tc>
          <w:tcPr>
            <w:tcW w:w="580" w:type="pct"/>
            <w:tcBorders>
              <w:top w:val="single" w:color="auto" w:sz="4" w:space="0"/>
              <w:left w:val="single" w:color="auto" w:sz="4" w:space="0"/>
              <w:bottom w:val="single" w:color="auto" w:sz="4" w:space="0"/>
              <w:right w:val="single" w:color="auto" w:sz="4" w:space="0"/>
            </w:tcBorders>
            <w:vAlign w:val="center"/>
          </w:tcPr>
          <w:p w14:paraId="7C3C6C8E">
            <w:pPr>
              <w:autoSpaceDE w:val="0"/>
              <w:autoSpaceDN w:val="0"/>
              <w:adjustRightInd w:val="0"/>
              <w:jc w:val="right"/>
            </w:pPr>
            <w:r>
              <w:rPr>
                <w:rFonts w:hint="eastAsia" w:ascii="宋体" w:hAnsi="宋体"/>
                <w:sz w:val="18"/>
                <w:szCs w:val="18"/>
              </w:rPr>
              <w:t>6.00</w:t>
            </w:r>
          </w:p>
        </w:tc>
      </w:tr>
      <w:tr w14:paraId="10A1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22F96D3A">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55E005B6">
            <w:pPr>
              <w:autoSpaceDE w:val="0"/>
              <w:autoSpaceDN w:val="0"/>
              <w:adjustRightInd w:val="0"/>
            </w:pPr>
            <w:r>
              <w:rPr>
                <w:rFonts w:hint="eastAsia" w:ascii="宋体" w:hAnsi="宋体"/>
                <w:sz w:val="18"/>
                <w:szCs w:val="18"/>
              </w:rPr>
              <w:t>荣成禾茂海洋生物制品有限公司</w:t>
            </w:r>
          </w:p>
        </w:tc>
        <w:tc>
          <w:tcPr>
            <w:tcW w:w="725" w:type="pct"/>
            <w:tcBorders>
              <w:top w:val="single" w:color="auto" w:sz="4" w:space="0"/>
              <w:left w:val="single" w:color="auto" w:sz="4" w:space="0"/>
              <w:bottom w:val="single" w:color="auto" w:sz="4" w:space="0"/>
              <w:right w:val="single" w:color="auto" w:sz="4" w:space="0"/>
            </w:tcBorders>
          </w:tcPr>
          <w:p w14:paraId="0E480770">
            <w:pPr>
              <w:autoSpaceDE w:val="0"/>
              <w:autoSpaceDN w:val="0"/>
              <w:adjustRightInd w:val="0"/>
              <w:jc w:val="right"/>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190.00</w:t>
            </w:r>
          </w:p>
        </w:tc>
        <w:tc>
          <w:tcPr>
            <w:tcW w:w="654" w:type="pct"/>
            <w:tcBorders>
              <w:top w:val="single" w:color="auto" w:sz="4" w:space="0"/>
              <w:left w:val="single" w:color="auto" w:sz="4" w:space="0"/>
              <w:bottom w:val="single" w:color="auto" w:sz="4" w:space="0"/>
              <w:right w:val="single" w:color="auto" w:sz="4" w:space="0"/>
            </w:tcBorders>
          </w:tcPr>
          <w:p w14:paraId="7C5211E0">
            <w:pPr>
              <w:autoSpaceDE w:val="0"/>
              <w:autoSpaceDN w:val="0"/>
              <w:adjustRightInd w:val="0"/>
              <w:jc w:val="right"/>
              <w:rPr>
                <w:rFonts w:hint="eastAsia" w:asciiTheme="minorEastAsia" w:hAnsiTheme="minorEastAsia" w:eastAsiaTheme="minorEastAsia"/>
                <w:sz w:val="18"/>
                <w:szCs w:val="18"/>
              </w:rPr>
            </w:pPr>
            <w:r>
              <w:rPr>
                <w:rFonts w:hint="eastAsia" w:asciiTheme="minorEastAsia" w:hAnsiTheme="minorEastAsia" w:eastAsiaTheme="minorEastAsia"/>
                <w:sz w:val="18"/>
                <w:szCs w:val="18"/>
              </w:rPr>
              <w:t>9.50</w:t>
            </w:r>
          </w:p>
        </w:tc>
        <w:tc>
          <w:tcPr>
            <w:tcW w:w="722" w:type="pct"/>
            <w:tcBorders>
              <w:top w:val="single" w:color="auto" w:sz="4" w:space="0"/>
              <w:left w:val="single" w:color="auto" w:sz="4" w:space="0"/>
              <w:bottom w:val="single" w:color="auto" w:sz="4" w:space="0"/>
              <w:right w:val="single" w:color="auto" w:sz="4" w:space="0"/>
            </w:tcBorders>
            <w:vAlign w:val="center"/>
          </w:tcPr>
          <w:p w14:paraId="7384B56F">
            <w:pPr>
              <w:autoSpaceDE w:val="0"/>
              <w:autoSpaceDN w:val="0"/>
              <w:adjustRightInd w:val="0"/>
              <w:jc w:val="right"/>
            </w:pPr>
            <w:r>
              <w:rPr>
                <w:rFonts w:hint="eastAsia" w:ascii="宋体" w:hAnsi="宋体"/>
                <w:sz w:val="18"/>
                <w:szCs w:val="18"/>
              </w:rPr>
              <w:t>190.00</w:t>
            </w:r>
          </w:p>
        </w:tc>
        <w:tc>
          <w:tcPr>
            <w:tcW w:w="580" w:type="pct"/>
            <w:tcBorders>
              <w:top w:val="single" w:color="auto" w:sz="4" w:space="0"/>
              <w:left w:val="single" w:color="auto" w:sz="4" w:space="0"/>
              <w:bottom w:val="single" w:color="auto" w:sz="4" w:space="0"/>
              <w:right w:val="single" w:color="auto" w:sz="4" w:space="0"/>
            </w:tcBorders>
            <w:vAlign w:val="center"/>
          </w:tcPr>
          <w:p w14:paraId="4531554A">
            <w:pPr>
              <w:autoSpaceDE w:val="0"/>
              <w:autoSpaceDN w:val="0"/>
              <w:adjustRightInd w:val="0"/>
              <w:jc w:val="right"/>
            </w:pPr>
            <w:r>
              <w:rPr>
                <w:rFonts w:hint="eastAsia" w:ascii="宋体" w:hAnsi="宋体"/>
                <w:sz w:val="18"/>
                <w:szCs w:val="18"/>
              </w:rPr>
              <w:t>9.50</w:t>
            </w:r>
          </w:p>
        </w:tc>
      </w:tr>
      <w:tr w14:paraId="50C2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6044D127">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4B18B02A">
            <w:pPr>
              <w:autoSpaceDE w:val="0"/>
              <w:autoSpaceDN w:val="0"/>
              <w:adjustRightInd w:val="0"/>
            </w:pPr>
            <w:r>
              <w:rPr>
                <w:rFonts w:hint="eastAsia" w:ascii="宋体" w:hAnsi="宋体"/>
                <w:sz w:val="18"/>
                <w:szCs w:val="18"/>
              </w:rPr>
              <w:t>荣成加荣食品有限公司</w:t>
            </w:r>
          </w:p>
        </w:tc>
        <w:tc>
          <w:tcPr>
            <w:tcW w:w="725" w:type="pct"/>
            <w:tcBorders>
              <w:top w:val="single" w:color="auto" w:sz="4" w:space="0"/>
              <w:left w:val="single" w:color="auto" w:sz="4" w:space="0"/>
              <w:bottom w:val="single" w:color="auto" w:sz="4" w:space="0"/>
              <w:right w:val="single" w:color="auto" w:sz="4" w:space="0"/>
            </w:tcBorders>
          </w:tcPr>
          <w:p w14:paraId="0D2B23C9">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124,400.95</w:t>
            </w:r>
          </w:p>
        </w:tc>
        <w:tc>
          <w:tcPr>
            <w:tcW w:w="654" w:type="pct"/>
            <w:tcBorders>
              <w:top w:val="single" w:color="auto" w:sz="4" w:space="0"/>
              <w:left w:val="single" w:color="auto" w:sz="4" w:space="0"/>
              <w:bottom w:val="single" w:color="auto" w:sz="4" w:space="0"/>
              <w:right w:val="single" w:color="auto" w:sz="4" w:space="0"/>
            </w:tcBorders>
          </w:tcPr>
          <w:p w14:paraId="4B089868">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6,220.05</w:t>
            </w:r>
          </w:p>
        </w:tc>
        <w:tc>
          <w:tcPr>
            <w:tcW w:w="722" w:type="pct"/>
            <w:tcBorders>
              <w:top w:val="single" w:color="auto" w:sz="4" w:space="0"/>
              <w:left w:val="single" w:color="auto" w:sz="4" w:space="0"/>
              <w:bottom w:val="single" w:color="auto" w:sz="4" w:space="0"/>
              <w:right w:val="single" w:color="auto" w:sz="4" w:space="0"/>
            </w:tcBorders>
            <w:vAlign w:val="center"/>
          </w:tcPr>
          <w:p w14:paraId="23CBA513">
            <w:pPr>
              <w:autoSpaceDE w:val="0"/>
              <w:autoSpaceDN w:val="0"/>
              <w:adjustRightInd w:val="0"/>
              <w:jc w:val="right"/>
            </w:pPr>
            <w:r>
              <w:rPr>
                <w:rFonts w:hint="eastAsia" w:ascii="宋体" w:hAnsi="宋体"/>
                <w:sz w:val="18"/>
                <w:szCs w:val="18"/>
              </w:rPr>
              <w:t>245,477.40</w:t>
            </w:r>
          </w:p>
        </w:tc>
        <w:tc>
          <w:tcPr>
            <w:tcW w:w="580" w:type="pct"/>
            <w:tcBorders>
              <w:top w:val="single" w:color="auto" w:sz="4" w:space="0"/>
              <w:left w:val="single" w:color="auto" w:sz="4" w:space="0"/>
              <w:bottom w:val="single" w:color="auto" w:sz="4" w:space="0"/>
              <w:right w:val="single" w:color="auto" w:sz="4" w:space="0"/>
            </w:tcBorders>
            <w:vAlign w:val="center"/>
          </w:tcPr>
          <w:p w14:paraId="568894D4">
            <w:pPr>
              <w:autoSpaceDE w:val="0"/>
              <w:autoSpaceDN w:val="0"/>
              <w:adjustRightInd w:val="0"/>
              <w:jc w:val="right"/>
            </w:pPr>
            <w:r>
              <w:rPr>
                <w:rFonts w:hint="eastAsia" w:ascii="宋体" w:hAnsi="宋体"/>
                <w:sz w:val="18"/>
                <w:szCs w:val="18"/>
              </w:rPr>
              <w:t>13,246.87</w:t>
            </w:r>
          </w:p>
        </w:tc>
      </w:tr>
      <w:tr w14:paraId="689F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58592B8A">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6FE83774">
            <w:pPr>
              <w:autoSpaceDE w:val="0"/>
              <w:autoSpaceDN w:val="0"/>
              <w:adjustRightInd w:val="0"/>
            </w:pPr>
            <w:r>
              <w:rPr>
                <w:rFonts w:hint="eastAsia" w:ascii="宋体" w:hAnsi="宋体"/>
                <w:sz w:val="18"/>
                <w:szCs w:val="18"/>
              </w:rPr>
              <w:t>荣成邱家水产有限公司</w:t>
            </w:r>
          </w:p>
        </w:tc>
        <w:tc>
          <w:tcPr>
            <w:tcW w:w="725" w:type="pct"/>
            <w:tcBorders>
              <w:top w:val="single" w:color="auto" w:sz="4" w:space="0"/>
              <w:left w:val="single" w:color="auto" w:sz="4" w:space="0"/>
              <w:bottom w:val="single" w:color="auto" w:sz="4" w:space="0"/>
              <w:right w:val="single" w:color="auto" w:sz="4" w:space="0"/>
            </w:tcBorders>
          </w:tcPr>
          <w:p w14:paraId="3AA453AE">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14,846.88</w:t>
            </w:r>
          </w:p>
        </w:tc>
        <w:tc>
          <w:tcPr>
            <w:tcW w:w="654" w:type="pct"/>
            <w:tcBorders>
              <w:top w:val="single" w:color="auto" w:sz="4" w:space="0"/>
              <w:left w:val="single" w:color="auto" w:sz="4" w:space="0"/>
              <w:bottom w:val="single" w:color="auto" w:sz="4" w:space="0"/>
              <w:right w:val="single" w:color="auto" w:sz="4" w:space="0"/>
            </w:tcBorders>
          </w:tcPr>
          <w:p w14:paraId="4D2AFB79">
            <w:pPr>
              <w:autoSpaceDE w:val="0"/>
              <w:autoSpaceDN w:val="0"/>
              <w:adjustRightInd w:val="0"/>
              <w:jc w:val="right"/>
              <w:rPr>
                <w:rFonts w:hint="eastAsia" w:asciiTheme="minorEastAsia" w:hAnsiTheme="minorEastAsia" w:eastAsiaTheme="minorEastAsia"/>
                <w:sz w:val="18"/>
                <w:szCs w:val="18"/>
              </w:rPr>
            </w:pPr>
            <w:r>
              <w:rPr>
                <w:rFonts w:hint="eastAsia" w:asciiTheme="minorEastAsia" w:hAnsiTheme="minorEastAsia" w:eastAsiaTheme="minorEastAsia"/>
                <w:sz w:val="18"/>
                <w:szCs w:val="18"/>
              </w:rPr>
              <w:t>742.34</w:t>
            </w:r>
          </w:p>
        </w:tc>
        <w:tc>
          <w:tcPr>
            <w:tcW w:w="722" w:type="pct"/>
            <w:tcBorders>
              <w:top w:val="single" w:color="auto" w:sz="4" w:space="0"/>
              <w:left w:val="single" w:color="auto" w:sz="4" w:space="0"/>
              <w:bottom w:val="single" w:color="auto" w:sz="4" w:space="0"/>
              <w:right w:val="single" w:color="auto" w:sz="4" w:space="0"/>
            </w:tcBorders>
            <w:vAlign w:val="center"/>
          </w:tcPr>
          <w:p w14:paraId="04FE32D1">
            <w:pPr>
              <w:autoSpaceDE w:val="0"/>
              <w:autoSpaceDN w:val="0"/>
              <w:adjustRightInd w:val="0"/>
              <w:jc w:val="right"/>
            </w:pPr>
            <w:r>
              <w:rPr>
                <w:rFonts w:hint="eastAsia" w:ascii="宋体" w:hAnsi="宋体"/>
                <w:sz w:val="18"/>
                <w:szCs w:val="18"/>
              </w:rPr>
              <w:t>20,154.00</w:t>
            </w:r>
          </w:p>
        </w:tc>
        <w:tc>
          <w:tcPr>
            <w:tcW w:w="580" w:type="pct"/>
            <w:tcBorders>
              <w:top w:val="single" w:color="auto" w:sz="4" w:space="0"/>
              <w:left w:val="single" w:color="auto" w:sz="4" w:space="0"/>
              <w:bottom w:val="single" w:color="auto" w:sz="4" w:space="0"/>
              <w:right w:val="single" w:color="auto" w:sz="4" w:space="0"/>
            </w:tcBorders>
            <w:vAlign w:val="center"/>
          </w:tcPr>
          <w:p w14:paraId="26F037F2">
            <w:pPr>
              <w:autoSpaceDE w:val="0"/>
              <w:autoSpaceDN w:val="0"/>
              <w:adjustRightInd w:val="0"/>
              <w:jc w:val="right"/>
            </w:pPr>
            <w:r>
              <w:rPr>
                <w:rFonts w:hint="eastAsia" w:ascii="宋体" w:hAnsi="宋体"/>
                <w:sz w:val="18"/>
                <w:szCs w:val="18"/>
              </w:rPr>
              <w:t>1,227.00</w:t>
            </w:r>
          </w:p>
        </w:tc>
      </w:tr>
      <w:tr w14:paraId="70E9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50423BAC">
            <w:pPr>
              <w:autoSpaceDE w:val="0"/>
              <w:autoSpaceDN w:val="0"/>
              <w:adjustRightInd w:val="0"/>
              <w:rPr>
                <w:rFonts w:hint="eastAsia" w:ascii="宋体" w:hAnsi="宋体"/>
                <w:sz w:val="18"/>
                <w:szCs w:val="18"/>
              </w:rPr>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17F81A61">
            <w:pPr>
              <w:autoSpaceDE w:val="0"/>
              <w:autoSpaceDN w:val="0"/>
              <w:adjustRightInd w:val="0"/>
              <w:rPr>
                <w:rFonts w:hint="eastAsia" w:ascii="宋体" w:hAnsi="宋体"/>
                <w:sz w:val="18"/>
                <w:szCs w:val="18"/>
              </w:rPr>
            </w:pPr>
            <w:r>
              <w:rPr>
                <w:rFonts w:hint="eastAsia" w:ascii="宋体" w:hAnsi="宋体"/>
                <w:sz w:val="18"/>
                <w:szCs w:val="18"/>
              </w:rPr>
              <w:t>山东邱家实业有限公司</w:t>
            </w:r>
          </w:p>
        </w:tc>
        <w:tc>
          <w:tcPr>
            <w:tcW w:w="725" w:type="pct"/>
            <w:tcBorders>
              <w:top w:val="single" w:color="auto" w:sz="4" w:space="0"/>
              <w:left w:val="single" w:color="auto" w:sz="4" w:space="0"/>
              <w:bottom w:val="single" w:color="auto" w:sz="4" w:space="0"/>
              <w:right w:val="single" w:color="auto" w:sz="4" w:space="0"/>
            </w:tcBorders>
          </w:tcPr>
          <w:p w14:paraId="2418B1CA">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850,000.00</w:t>
            </w:r>
          </w:p>
        </w:tc>
        <w:tc>
          <w:tcPr>
            <w:tcW w:w="654" w:type="pct"/>
            <w:tcBorders>
              <w:top w:val="single" w:color="auto" w:sz="4" w:space="0"/>
              <w:left w:val="single" w:color="auto" w:sz="4" w:space="0"/>
              <w:bottom w:val="single" w:color="auto" w:sz="4" w:space="0"/>
              <w:right w:val="single" w:color="auto" w:sz="4" w:space="0"/>
            </w:tcBorders>
          </w:tcPr>
          <w:p w14:paraId="62694ED9">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42,500.00</w:t>
            </w:r>
          </w:p>
        </w:tc>
        <w:tc>
          <w:tcPr>
            <w:tcW w:w="722" w:type="pct"/>
            <w:tcBorders>
              <w:top w:val="single" w:color="auto" w:sz="4" w:space="0"/>
              <w:left w:val="single" w:color="auto" w:sz="4" w:space="0"/>
              <w:bottom w:val="single" w:color="auto" w:sz="4" w:space="0"/>
              <w:right w:val="single" w:color="auto" w:sz="4" w:space="0"/>
            </w:tcBorders>
            <w:vAlign w:val="center"/>
          </w:tcPr>
          <w:p w14:paraId="7D02CB12">
            <w:pPr>
              <w:autoSpaceDE w:val="0"/>
              <w:autoSpaceDN w:val="0"/>
              <w:adjustRightInd w:val="0"/>
              <w:jc w:val="right"/>
              <w:rPr>
                <w:rFonts w:hint="eastAsia" w:ascii="宋体" w:hAnsi="宋体"/>
                <w:sz w:val="18"/>
                <w:szCs w:val="18"/>
              </w:rPr>
            </w:pPr>
          </w:p>
        </w:tc>
        <w:tc>
          <w:tcPr>
            <w:tcW w:w="580" w:type="pct"/>
            <w:tcBorders>
              <w:top w:val="single" w:color="auto" w:sz="4" w:space="0"/>
              <w:left w:val="single" w:color="auto" w:sz="4" w:space="0"/>
              <w:bottom w:val="single" w:color="auto" w:sz="4" w:space="0"/>
              <w:right w:val="single" w:color="auto" w:sz="4" w:space="0"/>
            </w:tcBorders>
            <w:vAlign w:val="center"/>
          </w:tcPr>
          <w:p w14:paraId="6F35757C">
            <w:pPr>
              <w:autoSpaceDE w:val="0"/>
              <w:autoSpaceDN w:val="0"/>
              <w:adjustRightInd w:val="0"/>
              <w:jc w:val="right"/>
              <w:rPr>
                <w:rFonts w:hint="eastAsia" w:ascii="宋体" w:hAnsi="宋体"/>
                <w:sz w:val="18"/>
                <w:szCs w:val="18"/>
              </w:rPr>
            </w:pPr>
          </w:p>
        </w:tc>
      </w:tr>
      <w:tr w14:paraId="7453C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27EC5584">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3099657F">
            <w:pPr>
              <w:autoSpaceDE w:val="0"/>
              <w:autoSpaceDN w:val="0"/>
              <w:adjustRightInd w:val="0"/>
            </w:pPr>
            <w:r>
              <w:rPr>
                <w:rFonts w:hint="eastAsia" w:ascii="宋体" w:hAnsi="宋体"/>
                <w:sz w:val="18"/>
                <w:szCs w:val="18"/>
              </w:rPr>
              <w:t>荣成荣安建筑工程有限公司</w:t>
            </w:r>
          </w:p>
        </w:tc>
        <w:tc>
          <w:tcPr>
            <w:tcW w:w="725" w:type="pct"/>
            <w:tcBorders>
              <w:top w:val="single" w:color="auto" w:sz="4" w:space="0"/>
              <w:left w:val="single" w:color="auto" w:sz="4" w:space="0"/>
              <w:bottom w:val="single" w:color="auto" w:sz="4" w:space="0"/>
              <w:right w:val="single" w:color="auto" w:sz="4" w:space="0"/>
            </w:tcBorders>
          </w:tcPr>
          <w:p w14:paraId="07D789FD">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288,917.62</w:t>
            </w:r>
          </w:p>
        </w:tc>
        <w:tc>
          <w:tcPr>
            <w:tcW w:w="654" w:type="pct"/>
            <w:tcBorders>
              <w:top w:val="single" w:color="auto" w:sz="4" w:space="0"/>
              <w:left w:val="single" w:color="auto" w:sz="4" w:space="0"/>
              <w:bottom w:val="single" w:color="auto" w:sz="4" w:space="0"/>
              <w:right w:val="single" w:color="auto" w:sz="4" w:space="0"/>
            </w:tcBorders>
          </w:tcPr>
          <w:p w14:paraId="72D56202">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14,445.88</w:t>
            </w:r>
          </w:p>
        </w:tc>
        <w:tc>
          <w:tcPr>
            <w:tcW w:w="722" w:type="pct"/>
            <w:tcBorders>
              <w:top w:val="single" w:color="auto" w:sz="4" w:space="0"/>
              <w:left w:val="single" w:color="auto" w:sz="4" w:space="0"/>
              <w:bottom w:val="single" w:color="auto" w:sz="4" w:space="0"/>
              <w:right w:val="single" w:color="auto" w:sz="4" w:space="0"/>
            </w:tcBorders>
            <w:vAlign w:val="center"/>
          </w:tcPr>
          <w:p w14:paraId="7F1DE248">
            <w:pPr>
              <w:autoSpaceDE w:val="0"/>
              <w:autoSpaceDN w:val="0"/>
              <w:adjustRightInd w:val="0"/>
              <w:jc w:val="right"/>
            </w:pPr>
            <w:r>
              <w:rPr>
                <w:rFonts w:hint="eastAsia" w:ascii="宋体" w:hAnsi="宋体"/>
                <w:sz w:val="18"/>
                <w:szCs w:val="18"/>
              </w:rPr>
              <w:t>350,917.62</w:t>
            </w:r>
          </w:p>
        </w:tc>
        <w:tc>
          <w:tcPr>
            <w:tcW w:w="580" w:type="pct"/>
            <w:tcBorders>
              <w:top w:val="single" w:color="auto" w:sz="4" w:space="0"/>
              <w:left w:val="single" w:color="auto" w:sz="4" w:space="0"/>
              <w:bottom w:val="single" w:color="auto" w:sz="4" w:space="0"/>
              <w:right w:val="single" w:color="auto" w:sz="4" w:space="0"/>
            </w:tcBorders>
            <w:vAlign w:val="center"/>
          </w:tcPr>
          <w:p w14:paraId="387ED23A">
            <w:pPr>
              <w:autoSpaceDE w:val="0"/>
              <w:autoSpaceDN w:val="0"/>
              <w:adjustRightInd w:val="0"/>
              <w:jc w:val="right"/>
            </w:pPr>
            <w:r>
              <w:rPr>
                <w:rFonts w:hint="eastAsia" w:ascii="宋体" w:hAnsi="宋体"/>
                <w:sz w:val="18"/>
                <w:szCs w:val="18"/>
              </w:rPr>
              <w:t>35,206.64</w:t>
            </w:r>
          </w:p>
        </w:tc>
      </w:tr>
      <w:tr w14:paraId="579B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50B4DC3A">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45718333">
            <w:pPr>
              <w:autoSpaceDE w:val="0"/>
              <w:autoSpaceDN w:val="0"/>
              <w:adjustRightInd w:val="0"/>
            </w:pPr>
            <w:r>
              <w:rPr>
                <w:rFonts w:hint="eastAsia" w:ascii="宋体" w:hAnsi="宋体"/>
                <w:sz w:val="18"/>
                <w:szCs w:val="18"/>
              </w:rPr>
              <w:t>荣成荣盛包装材料有限公司</w:t>
            </w:r>
          </w:p>
        </w:tc>
        <w:tc>
          <w:tcPr>
            <w:tcW w:w="725" w:type="pct"/>
            <w:tcBorders>
              <w:top w:val="single" w:color="auto" w:sz="4" w:space="0"/>
              <w:left w:val="single" w:color="auto" w:sz="4" w:space="0"/>
              <w:bottom w:val="single" w:color="auto" w:sz="4" w:space="0"/>
              <w:right w:val="single" w:color="auto" w:sz="4" w:space="0"/>
            </w:tcBorders>
          </w:tcPr>
          <w:p w14:paraId="2EC3051C">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41,222.99</w:t>
            </w:r>
          </w:p>
        </w:tc>
        <w:tc>
          <w:tcPr>
            <w:tcW w:w="654" w:type="pct"/>
            <w:tcBorders>
              <w:top w:val="single" w:color="auto" w:sz="4" w:space="0"/>
              <w:left w:val="single" w:color="auto" w:sz="4" w:space="0"/>
              <w:bottom w:val="single" w:color="auto" w:sz="4" w:space="0"/>
              <w:right w:val="single" w:color="auto" w:sz="4" w:space="0"/>
            </w:tcBorders>
          </w:tcPr>
          <w:p w14:paraId="0AA7C4E3">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2,061.15</w:t>
            </w:r>
          </w:p>
        </w:tc>
        <w:tc>
          <w:tcPr>
            <w:tcW w:w="722" w:type="pct"/>
            <w:tcBorders>
              <w:top w:val="single" w:color="auto" w:sz="4" w:space="0"/>
              <w:left w:val="single" w:color="auto" w:sz="4" w:space="0"/>
              <w:bottom w:val="single" w:color="auto" w:sz="4" w:space="0"/>
              <w:right w:val="single" w:color="auto" w:sz="4" w:space="0"/>
            </w:tcBorders>
            <w:vAlign w:val="center"/>
          </w:tcPr>
          <w:p w14:paraId="6138F767">
            <w:pPr>
              <w:autoSpaceDE w:val="0"/>
              <w:autoSpaceDN w:val="0"/>
              <w:adjustRightInd w:val="0"/>
              <w:jc w:val="right"/>
            </w:pPr>
            <w:r>
              <w:rPr>
                <w:rFonts w:hint="eastAsia" w:ascii="宋体" w:hAnsi="宋体"/>
                <w:sz w:val="18"/>
                <w:szCs w:val="18"/>
              </w:rPr>
              <w:t>15,520.44</w:t>
            </w:r>
          </w:p>
        </w:tc>
        <w:tc>
          <w:tcPr>
            <w:tcW w:w="580" w:type="pct"/>
            <w:tcBorders>
              <w:top w:val="single" w:color="auto" w:sz="4" w:space="0"/>
              <w:left w:val="single" w:color="auto" w:sz="4" w:space="0"/>
              <w:bottom w:val="single" w:color="auto" w:sz="4" w:space="0"/>
              <w:right w:val="single" w:color="auto" w:sz="4" w:space="0"/>
            </w:tcBorders>
            <w:vAlign w:val="center"/>
          </w:tcPr>
          <w:p w14:paraId="61781A6F">
            <w:pPr>
              <w:autoSpaceDE w:val="0"/>
              <w:autoSpaceDN w:val="0"/>
              <w:adjustRightInd w:val="0"/>
              <w:jc w:val="right"/>
            </w:pPr>
            <w:r>
              <w:rPr>
                <w:rFonts w:hint="eastAsia" w:ascii="宋体" w:hAnsi="宋体"/>
                <w:sz w:val="18"/>
                <w:szCs w:val="18"/>
              </w:rPr>
              <w:t>776.02</w:t>
            </w:r>
          </w:p>
        </w:tc>
      </w:tr>
      <w:tr w14:paraId="02D7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4FA370A3">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4C25031E">
            <w:pPr>
              <w:autoSpaceDE w:val="0"/>
              <w:autoSpaceDN w:val="0"/>
              <w:adjustRightInd w:val="0"/>
            </w:pPr>
            <w:r>
              <w:rPr>
                <w:rFonts w:hint="eastAsia" w:ascii="宋体" w:hAnsi="宋体"/>
                <w:sz w:val="18"/>
                <w:szCs w:val="18"/>
              </w:rPr>
              <w:t>荣成荣研食品有限公司</w:t>
            </w:r>
          </w:p>
        </w:tc>
        <w:tc>
          <w:tcPr>
            <w:tcW w:w="725" w:type="pct"/>
            <w:tcBorders>
              <w:top w:val="single" w:color="auto" w:sz="4" w:space="0"/>
              <w:left w:val="single" w:color="auto" w:sz="4" w:space="0"/>
              <w:bottom w:val="single" w:color="auto" w:sz="4" w:space="0"/>
              <w:right w:val="single" w:color="auto" w:sz="4" w:space="0"/>
            </w:tcBorders>
          </w:tcPr>
          <w:p w14:paraId="42F570F0">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90,710.00</w:t>
            </w:r>
          </w:p>
        </w:tc>
        <w:tc>
          <w:tcPr>
            <w:tcW w:w="654" w:type="pct"/>
            <w:tcBorders>
              <w:top w:val="single" w:color="auto" w:sz="4" w:space="0"/>
              <w:left w:val="single" w:color="auto" w:sz="4" w:space="0"/>
              <w:bottom w:val="single" w:color="auto" w:sz="4" w:space="0"/>
              <w:right w:val="single" w:color="auto" w:sz="4" w:space="0"/>
            </w:tcBorders>
          </w:tcPr>
          <w:p w14:paraId="5CFA7543">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4,535.50</w:t>
            </w:r>
          </w:p>
        </w:tc>
        <w:tc>
          <w:tcPr>
            <w:tcW w:w="722" w:type="pct"/>
            <w:tcBorders>
              <w:top w:val="single" w:color="auto" w:sz="4" w:space="0"/>
              <w:left w:val="single" w:color="auto" w:sz="4" w:space="0"/>
              <w:bottom w:val="single" w:color="auto" w:sz="4" w:space="0"/>
              <w:right w:val="single" w:color="auto" w:sz="4" w:space="0"/>
            </w:tcBorders>
            <w:vAlign w:val="center"/>
          </w:tcPr>
          <w:p w14:paraId="0F716F86">
            <w:pPr>
              <w:autoSpaceDE w:val="0"/>
              <w:autoSpaceDN w:val="0"/>
              <w:adjustRightInd w:val="0"/>
              <w:jc w:val="right"/>
            </w:pPr>
            <w:r>
              <w:rPr>
                <w:rFonts w:hint="eastAsia" w:ascii="宋体" w:hAnsi="宋体"/>
                <w:sz w:val="18"/>
                <w:szCs w:val="18"/>
              </w:rPr>
              <w:t>67,010.00</w:t>
            </w:r>
          </w:p>
        </w:tc>
        <w:tc>
          <w:tcPr>
            <w:tcW w:w="580" w:type="pct"/>
            <w:tcBorders>
              <w:top w:val="single" w:color="auto" w:sz="4" w:space="0"/>
              <w:left w:val="single" w:color="auto" w:sz="4" w:space="0"/>
              <w:bottom w:val="single" w:color="auto" w:sz="4" w:space="0"/>
              <w:right w:val="single" w:color="auto" w:sz="4" w:space="0"/>
            </w:tcBorders>
            <w:vAlign w:val="center"/>
          </w:tcPr>
          <w:p w14:paraId="0DD0158A">
            <w:pPr>
              <w:autoSpaceDE w:val="0"/>
              <w:autoSpaceDN w:val="0"/>
              <w:adjustRightInd w:val="0"/>
              <w:jc w:val="right"/>
            </w:pPr>
            <w:r>
              <w:rPr>
                <w:rFonts w:hint="eastAsia" w:ascii="宋体" w:hAnsi="宋体"/>
                <w:sz w:val="18"/>
                <w:szCs w:val="18"/>
              </w:rPr>
              <w:t>4,309.00</w:t>
            </w:r>
          </w:p>
        </w:tc>
      </w:tr>
      <w:tr w14:paraId="65CC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229CEFF0">
            <w:pPr>
              <w:autoSpaceDE w:val="0"/>
              <w:autoSpaceDN w:val="0"/>
              <w:adjustRightInd w:val="0"/>
            </w:pPr>
            <w:bookmarkStart w:id="418" w:name="OLE_LINK4"/>
            <w:r>
              <w:rPr>
                <w:rFonts w:hint="eastAsia" w:ascii="宋体" w:hAnsi="宋体"/>
                <w:sz w:val="18"/>
                <w:szCs w:val="18"/>
              </w:rPr>
              <w:t>应收账款</w:t>
            </w:r>
            <w:bookmarkEnd w:id="418"/>
          </w:p>
        </w:tc>
        <w:tc>
          <w:tcPr>
            <w:tcW w:w="1736" w:type="pct"/>
            <w:tcBorders>
              <w:top w:val="single" w:color="auto" w:sz="4" w:space="0"/>
              <w:left w:val="single" w:color="auto" w:sz="4" w:space="0"/>
              <w:bottom w:val="single" w:color="auto" w:sz="4" w:space="0"/>
              <w:right w:val="single" w:color="auto" w:sz="4" w:space="0"/>
            </w:tcBorders>
            <w:vAlign w:val="center"/>
          </w:tcPr>
          <w:p w14:paraId="79AD99FC">
            <w:pPr>
              <w:autoSpaceDE w:val="0"/>
              <w:autoSpaceDN w:val="0"/>
              <w:adjustRightInd w:val="0"/>
            </w:pPr>
            <w:r>
              <w:rPr>
                <w:rFonts w:hint="eastAsia" w:ascii="宋体" w:hAnsi="宋体"/>
                <w:sz w:val="18"/>
                <w:szCs w:val="18"/>
              </w:rPr>
              <w:t>荣成市荣航安装有限公司</w:t>
            </w:r>
          </w:p>
        </w:tc>
        <w:tc>
          <w:tcPr>
            <w:tcW w:w="725" w:type="pct"/>
            <w:tcBorders>
              <w:top w:val="single" w:color="auto" w:sz="4" w:space="0"/>
              <w:left w:val="single" w:color="auto" w:sz="4" w:space="0"/>
              <w:bottom w:val="single" w:color="auto" w:sz="4" w:space="0"/>
              <w:right w:val="single" w:color="auto" w:sz="4" w:space="0"/>
            </w:tcBorders>
          </w:tcPr>
          <w:p w14:paraId="13F9438C">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3,306.00</w:t>
            </w:r>
          </w:p>
        </w:tc>
        <w:tc>
          <w:tcPr>
            <w:tcW w:w="654" w:type="pct"/>
            <w:tcBorders>
              <w:top w:val="single" w:color="auto" w:sz="4" w:space="0"/>
              <w:left w:val="single" w:color="auto" w:sz="4" w:space="0"/>
              <w:bottom w:val="single" w:color="auto" w:sz="4" w:space="0"/>
              <w:right w:val="single" w:color="auto" w:sz="4" w:space="0"/>
            </w:tcBorders>
          </w:tcPr>
          <w:p w14:paraId="5CA11405">
            <w:pPr>
              <w:autoSpaceDE w:val="0"/>
              <w:autoSpaceDN w:val="0"/>
              <w:adjustRightInd w:val="0"/>
              <w:jc w:val="right"/>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165.30</w:t>
            </w:r>
          </w:p>
        </w:tc>
        <w:tc>
          <w:tcPr>
            <w:tcW w:w="722" w:type="pct"/>
            <w:tcBorders>
              <w:top w:val="single" w:color="auto" w:sz="4" w:space="0"/>
              <w:left w:val="single" w:color="auto" w:sz="4" w:space="0"/>
              <w:bottom w:val="single" w:color="auto" w:sz="4" w:space="0"/>
              <w:right w:val="single" w:color="auto" w:sz="4" w:space="0"/>
            </w:tcBorders>
            <w:vAlign w:val="center"/>
          </w:tcPr>
          <w:p w14:paraId="2A89EC91">
            <w:pPr>
              <w:autoSpaceDE w:val="0"/>
              <w:autoSpaceDN w:val="0"/>
              <w:adjustRightInd w:val="0"/>
              <w:jc w:val="right"/>
            </w:pPr>
            <w:r>
              <w:rPr>
                <w:rFonts w:hint="eastAsia" w:ascii="宋体" w:hAnsi="宋体"/>
                <w:sz w:val="18"/>
                <w:szCs w:val="18"/>
              </w:rPr>
              <w:t>1,080.00</w:t>
            </w:r>
          </w:p>
        </w:tc>
        <w:tc>
          <w:tcPr>
            <w:tcW w:w="580" w:type="pct"/>
            <w:tcBorders>
              <w:top w:val="single" w:color="auto" w:sz="4" w:space="0"/>
              <w:left w:val="single" w:color="auto" w:sz="4" w:space="0"/>
              <w:bottom w:val="single" w:color="auto" w:sz="4" w:space="0"/>
              <w:right w:val="single" w:color="auto" w:sz="4" w:space="0"/>
            </w:tcBorders>
            <w:vAlign w:val="center"/>
          </w:tcPr>
          <w:p w14:paraId="08454DF9">
            <w:pPr>
              <w:autoSpaceDE w:val="0"/>
              <w:autoSpaceDN w:val="0"/>
              <w:adjustRightInd w:val="0"/>
              <w:jc w:val="right"/>
            </w:pPr>
            <w:r>
              <w:rPr>
                <w:rFonts w:hint="eastAsia" w:ascii="宋体" w:hAnsi="宋体"/>
                <w:sz w:val="18"/>
                <w:szCs w:val="18"/>
              </w:rPr>
              <w:t>54.00</w:t>
            </w:r>
          </w:p>
        </w:tc>
      </w:tr>
      <w:tr w14:paraId="0C9A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0F5B5CEA">
            <w:pPr>
              <w:autoSpaceDE w:val="0"/>
              <w:autoSpaceDN w:val="0"/>
              <w:adjustRightInd w:val="0"/>
              <w:rPr>
                <w:rFonts w:hint="eastAsia" w:ascii="宋体" w:hAnsi="宋体"/>
                <w:sz w:val="18"/>
                <w:szCs w:val="18"/>
              </w:rPr>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3F0833A2">
            <w:pPr>
              <w:autoSpaceDE w:val="0"/>
              <w:autoSpaceDN w:val="0"/>
              <w:adjustRightInd w:val="0"/>
              <w:rPr>
                <w:rFonts w:hint="eastAsia" w:ascii="宋体" w:hAnsi="宋体"/>
                <w:sz w:val="18"/>
                <w:szCs w:val="18"/>
              </w:rPr>
            </w:pPr>
            <w:r>
              <w:rPr>
                <w:rFonts w:hint="eastAsia" w:ascii="宋体" w:hAnsi="宋体"/>
                <w:sz w:val="18"/>
                <w:szCs w:val="18"/>
              </w:rPr>
              <w:t>荣成海盛纸业有限公司</w:t>
            </w:r>
          </w:p>
        </w:tc>
        <w:tc>
          <w:tcPr>
            <w:tcW w:w="725" w:type="pct"/>
            <w:tcBorders>
              <w:top w:val="single" w:color="auto" w:sz="4" w:space="0"/>
              <w:left w:val="single" w:color="auto" w:sz="4" w:space="0"/>
              <w:bottom w:val="single" w:color="auto" w:sz="4" w:space="0"/>
              <w:right w:val="single" w:color="auto" w:sz="4" w:space="0"/>
            </w:tcBorders>
          </w:tcPr>
          <w:p w14:paraId="38B1914A">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113,821.70</w:t>
            </w:r>
          </w:p>
        </w:tc>
        <w:tc>
          <w:tcPr>
            <w:tcW w:w="654" w:type="pct"/>
            <w:tcBorders>
              <w:top w:val="single" w:color="auto" w:sz="4" w:space="0"/>
              <w:left w:val="single" w:color="auto" w:sz="4" w:space="0"/>
              <w:bottom w:val="single" w:color="auto" w:sz="4" w:space="0"/>
              <w:right w:val="single" w:color="auto" w:sz="4" w:space="0"/>
            </w:tcBorders>
          </w:tcPr>
          <w:p w14:paraId="0F1F89A5">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5,691.09</w:t>
            </w:r>
          </w:p>
        </w:tc>
        <w:tc>
          <w:tcPr>
            <w:tcW w:w="722" w:type="pct"/>
            <w:tcBorders>
              <w:top w:val="single" w:color="auto" w:sz="4" w:space="0"/>
              <w:left w:val="single" w:color="auto" w:sz="4" w:space="0"/>
              <w:bottom w:val="single" w:color="auto" w:sz="4" w:space="0"/>
              <w:right w:val="single" w:color="auto" w:sz="4" w:space="0"/>
            </w:tcBorders>
            <w:vAlign w:val="center"/>
          </w:tcPr>
          <w:p w14:paraId="47F0368A">
            <w:pPr>
              <w:autoSpaceDE w:val="0"/>
              <w:autoSpaceDN w:val="0"/>
              <w:adjustRightInd w:val="0"/>
              <w:jc w:val="right"/>
              <w:rPr>
                <w:rFonts w:hint="eastAsia" w:ascii="宋体" w:hAnsi="宋体"/>
                <w:sz w:val="18"/>
                <w:szCs w:val="18"/>
              </w:rPr>
            </w:pPr>
          </w:p>
        </w:tc>
        <w:tc>
          <w:tcPr>
            <w:tcW w:w="580" w:type="pct"/>
            <w:tcBorders>
              <w:top w:val="single" w:color="auto" w:sz="4" w:space="0"/>
              <w:left w:val="single" w:color="auto" w:sz="4" w:space="0"/>
              <w:bottom w:val="single" w:color="auto" w:sz="4" w:space="0"/>
              <w:right w:val="single" w:color="auto" w:sz="4" w:space="0"/>
            </w:tcBorders>
            <w:vAlign w:val="center"/>
          </w:tcPr>
          <w:p w14:paraId="65691D6E">
            <w:pPr>
              <w:autoSpaceDE w:val="0"/>
              <w:autoSpaceDN w:val="0"/>
              <w:adjustRightInd w:val="0"/>
              <w:jc w:val="right"/>
              <w:rPr>
                <w:rFonts w:hint="eastAsia" w:ascii="宋体" w:hAnsi="宋体"/>
                <w:sz w:val="18"/>
                <w:szCs w:val="18"/>
              </w:rPr>
            </w:pPr>
          </w:p>
        </w:tc>
      </w:tr>
      <w:tr w14:paraId="2B51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70B3C9EB">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3C562F16">
            <w:pPr>
              <w:autoSpaceDE w:val="0"/>
              <w:autoSpaceDN w:val="0"/>
              <w:adjustRightInd w:val="0"/>
            </w:pPr>
            <w:r>
              <w:rPr>
                <w:rFonts w:hint="eastAsia" w:ascii="宋体" w:hAnsi="宋体"/>
                <w:sz w:val="18"/>
                <w:szCs w:val="18"/>
              </w:rPr>
              <w:t>荣成兴盛房地产开发有限公司</w:t>
            </w:r>
          </w:p>
        </w:tc>
        <w:tc>
          <w:tcPr>
            <w:tcW w:w="725" w:type="pct"/>
            <w:tcBorders>
              <w:top w:val="single" w:color="auto" w:sz="4" w:space="0"/>
              <w:left w:val="single" w:color="auto" w:sz="4" w:space="0"/>
              <w:bottom w:val="single" w:color="auto" w:sz="4" w:space="0"/>
              <w:right w:val="single" w:color="auto" w:sz="4" w:space="0"/>
            </w:tcBorders>
          </w:tcPr>
          <w:p w14:paraId="51593C6D">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33,588.00</w:t>
            </w:r>
          </w:p>
        </w:tc>
        <w:tc>
          <w:tcPr>
            <w:tcW w:w="654" w:type="pct"/>
            <w:tcBorders>
              <w:top w:val="single" w:color="auto" w:sz="4" w:space="0"/>
              <w:left w:val="single" w:color="auto" w:sz="4" w:space="0"/>
              <w:bottom w:val="single" w:color="auto" w:sz="4" w:space="0"/>
              <w:right w:val="single" w:color="auto" w:sz="4" w:space="0"/>
            </w:tcBorders>
          </w:tcPr>
          <w:p w14:paraId="67700ED7">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1,679.40</w:t>
            </w:r>
          </w:p>
        </w:tc>
        <w:tc>
          <w:tcPr>
            <w:tcW w:w="722" w:type="pct"/>
            <w:tcBorders>
              <w:top w:val="single" w:color="auto" w:sz="4" w:space="0"/>
              <w:left w:val="single" w:color="auto" w:sz="4" w:space="0"/>
              <w:bottom w:val="single" w:color="auto" w:sz="4" w:space="0"/>
              <w:right w:val="single" w:color="auto" w:sz="4" w:space="0"/>
            </w:tcBorders>
            <w:vAlign w:val="center"/>
          </w:tcPr>
          <w:p w14:paraId="50F647DD">
            <w:pPr>
              <w:autoSpaceDE w:val="0"/>
              <w:autoSpaceDN w:val="0"/>
              <w:adjustRightInd w:val="0"/>
              <w:jc w:val="right"/>
            </w:pPr>
            <w:r>
              <w:rPr>
                <w:rFonts w:hint="eastAsia" w:ascii="宋体" w:hAnsi="宋体"/>
                <w:sz w:val="18"/>
                <w:szCs w:val="18"/>
              </w:rPr>
              <w:t>33,588.00</w:t>
            </w:r>
          </w:p>
        </w:tc>
        <w:tc>
          <w:tcPr>
            <w:tcW w:w="580" w:type="pct"/>
            <w:tcBorders>
              <w:top w:val="single" w:color="auto" w:sz="4" w:space="0"/>
              <w:left w:val="single" w:color="auto" w:sz="4" w:space="0"/>
              <w:bottom w:val="single" w:color="auto" w:sz="4" w:space="0"/>
              <w:right w:val="single" w:color="auto" w:sz="4" w:space="0"/>
            </w:tcBorders>
            <w:vAlign w:val="center"/>
          </w:tcPr>
          <w:p w14:paraId="132FC97F">
            <w:pPr>
              <w:autoSpaceDE w:val="0"/>
              <w:autoSpaceDN w:val="0"/>
              <w:adjustRightInd w:val="0"/>
              <w:jc w:val="right"/>
            </w:pPr>
            <w:r>
              <w:rPr>
                <w:rFonts w:hint="eastAsia" w:ascii="宋体" w:hAnsi="宋体"/>
                <w:sz w:val="18"/>
                <w:szCs w:val="18"/>
              </w:rPr>
              <w:t>1,679.40</w:t>
            </w:r>
          </w:p>
        </w:tc>
      </w:tr>
      <w:tr w14:paraId="7FF6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315C76BC">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4343E0D7">
            <w:pPr>
              <w:autoSpaceDE w:val="0"/>
              <w:autoSpaceDN w:val="0"/>
              <w:adjustRightInd w:val="0"/>
            </w:pPr>
            <w:r>
              <w:rPr>
                <w:rFonts w:hint="eastAsia" w:ascii="宋体" w:hAnsi="宋体"/>
                <w:sz w:val="18"/>
                <w:szCs w:val="18"/>
              </w:rPr>
              <w:t>荣成源运水产有限公司</w:t>
            </w:r>
          </w:p>
        </w:tc>
        <w:tc>
          <w:tcPr>
            <w:tcW w:w="725" w:type="pct"/>
            <w:tcBorders>
              <w:top w:val="single" w:color="auto" w:sz="4" w:space="0"/>
              <w:left w:val="single" w:color="auto" w:sz="4" w:space="0"/>
              <w:bottom w:val="single" w:color="auto" w:sz="4" w:space="0"/>
              <w:right w:val="single" w:color="auto" w:sz="4" w:space="0"/>
            </w:tcBorders>
          </w:tcPr>
          <w:p w14:paraId="1E156A14">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118,694.15</w:t>
            </w:r>
          </w:p>
        </w:tc>
        <w:tc>
          <w:tcPr>
            <w:tcW w:w="654" w:type="pct"/>
            <w:tcBorders>
              <w:top w:val="single" w:color="auto" w:sz="4" w:space="0"/>
              <w:left w:val="single" w:color="auto" w:sz="4" w:space="0"/>
              <w:bottom w:val="single" w:color="auto" w:sz="4" w:space="0"/>
              <w:right w:val="single" w:color="auto" w:sz="4" w:space="0"/>
            </w:tcBorders>
          </w:tcPr>
          <w:p w14:paraId="3693502B">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5,934.71</w:t>
            </w:r>
          </w:p>
        </w:tc>
        <w:tc>
          <w:tcPr>
            <w:tcW w:w="722" w:type="pct"/>
            <w:tcBorders>
              <w:top w:val="single" w:color="auto" w:sz="4" w:space="0"/>
              <w:left w:val="single" w:color="auto" w:sz="4" w:space="0"/>
              <w:bottom w:val="single" w:color="auto" w:sz="4" w:space="0"/>
              <w:right w:val="single" w:color="auto" w:sz="4" w:space="0"/>
            </w:tcBorders>
            <w:vAlign w:val="center"/>
          </w:tcPr>
          <w:p w14:paraId="4C773F5D">
            <w:pPr>
              <w:autoSpaceDE w:val="0"/>
              <w:autoSpaceDN w:val="0"/>
              <w:adjustRightInd w:val="0"/>
              <w:jc w:val="right"/>
            </w:pPr>
            <w:r>
              <w:rPr>
                <w:rFonts w:hint="eastAsia" w:ascii="宋体" w:hAnsi="宋体"/>
                <w:sz w:val="18"/>
                <w:szCs w:val="18"/>
              </w:rPr>
              <w:t>118,564.15</w:t>
            </w:r>
          </w:p>
        </w:tc>
        <w:tc>
          <w:tcPr>
            <w:tcW w:w="580" w:type="pct"/>
            <w:tcBorders>
              <w:top w:val="single" w:color="auto" w:sz="4" w:space="0"/>
              <w:left w:val="single" w:color="auto" w:sz="4" w:space="0"/>
              <w:bottom w:val="single" w:color="auto" w:sz="4" w:space="0"/>
              <w:right w:val="single" w:color="auto" w:sz="4" w:space="0"/>
            </w:tcBorders>
            <w:vAlign w:val="center"/>
          </w:tcPr>
          <w:p w14:paraId="15C6A00A">
            <w:pPr>
              <w:autoSpaceDE w:val="0"/>
              <w:autoSpaceDN w:val="0"/>
              <w:adjustRightInd w:val="0"/>
              <w:jc w:val="right"/>
            </w:pPr>
            <w:r>
              <w:rPr>
                <w:rFonts w:hint="eastAsia" w:ascii="宋体" w:hAnsi="宋体"/>
                <w:sz w:val="18"/>
                <w:szCs w:val="18"/>
              </w:rPr>
              <w:t>34,715.96</w:t>
            </w:r>
          </w:p>
        </w:tc>
      </w:tr>
      <w:tr w14:paraId="3FEF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01F3A11E">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7A78BE6E">
            <w:pPr>
              <w:autoSpaceDE w:val="0"/>
              <w:autoSpaceDN w:val="0"/>
              <w:adjustRightInd w:val="0"/>
            </w:pPr>
            <w:r>
              <w:rPr>
                <w:rFonts w:hint="eastAsia" w:ascii="宋体" w:hAnsi="宋体"/>
                <w:sz w:val="18"/>
                <w:szCs w:val="18"/>
              </w:rPr>
              <w:t>山东惠民好当家食品有限公司</w:t>
            </w:r>
          </w:p>
        </w:tc>
        <w:tc>
          <w:tcPr>
            <w:tcW w:w="725" w:type="pct"/>
            <w:tcBorders>
              <w:top w:val="single" w:color="auto" w:sz="4" w:space="0"/>
              <w:left w:val="single" w:color="auto" w:sz="4" w:space="0"/>
              <w:bottom w:val="single" w:color="auto" w:sz="4" w:space="0"/>
              <w:right w:val="single" w:color="auto" w:sz="4" w:space="0"/>
            </w:tcBorders>
          </w:tcPr>
          <w:p w14:paraId="052E8D8F">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5,084.00</w:t>
            </w:r>
          </w:p>
        </w:tc>
        <w:tc>
          <w:tcPr>
            <w:tcW w:w="654" w:type="pct"/>
            <w:tcBorders>
              <w:top w:val="single" w:color="auto" w:sz="4" w:space="0"/>
              <w:left w:val="single" w:color="auto" w:sz="4" w:space="0"/>
              <w:bottom w:val="single" w:color="auto" w:sz="4" w:space="0"/>
              <w:right w:val="single" w:color="auto" w:sz="4" w:space="0"/>
            </w:tcBorders>
          </w:tcPr>
          <w:p w14:paraId="65F95A46">
            <w:pPr>
              <w:autoSpaceDE w:val="0"/>
              <w:autoSpaceDN w:val="0"/>
              <w:adjustRightInd w:val="0"/>
              <w:jc w:val="right"/>
              <w:rPr>
                <w:rFonts w:hint="eastAsia" w:asciiTheme="minorEastAsia" w:hAnsiTheme="minorEastAsia" w:eastAsiaTheme="minorEastAsia"/>
                <w:sz w:val="18"/>
                <w:szCs w:val="18"/>
              </w:rPr>
            </w:pPr>
            <w:r>
              <w:rPr>
                <w:rFonts w:hint="eastAsia" w:asciiTheme="minorEastAsia" w:hAnsiTheme="minorEastAsia" w:eastAsiaTheme="minorEastAsia"/>
                <w:sz w:val="18"/>
                <w:szCs w:val="18"/>
              </w:rPr>
              <w:t>254.20</w:t>
            </w:r>
          </w:p>
        </w:tc>
        <w:tc>
          <w:tcPr>
            <w:tcW w:w="722" w:type="pct"/>
            <w:tcBorders>
              <w:top w:val="single" w:color="auto" w:sz="4" w:space="0"/>
              <w:left w:val="single" w:color="auto" w:sz="4" w:space="0"/>
              <w:bottom w:val="single" w:color="auto" w:sz="4" w:space="0"/>
              <w:right w:val="single" w:color="auto" w:sz="4" w:space="0"/>
            </w:tcBorders>
            <w:vAlign w:val="center"/>
          </w:tcPr>
          <w:p w14:paraId="2A091988">
            <w:pPr>
              <w:autoSpaceDE w:val="0"/>
              <w:autoSpaceDN w:val="0"/>
              <w:adjustRightInd w:val="0"/>
              <w:jc w:val="right"/>
            </w:pPr>
            <w:r>
              <w:rPr>
                <w:rFonts w:hint="eastAsia" w:ascii="宋体" w:hAnsi="宋体"/>
                <w:sz w:val="18"/>
                <w:szCs w:val="18"/>
              </w:rPr>
              <w:t>1,744.00</w:t>
            </w:r>
          </w:p>
        </w:tc>
        <w:tc>
          <w:tcPr>
            <w:tcW w:w="580" w:type="pct"/>
            <w:tcBorders>
              <w:top w:val="single" w:color="auto" w:sz="4" w:space="0"/>
              <w:left w:val="single" w:color="auto" w:sz="4" w:space="0"/>
              <w:bottom w:val="single" w:color="auto" w:sz="4" w:space="0"/>
              <w:right w:val="single" w:color="auto" w:sz="4" w:space="0"/>
            </w:tcBorders>
            <w:vAlign w:val="center"/>
          </w:tcPr>
          <w:p w14:paraId="3A2531AD">
            <w:pPr>
              <w:autoSpaceDE w:val="0"/>
              <w:autoSpaceDN w:val="0"/>
              <w:adjustRightInd w:val="0"/>
              <w:jc w:val="right"/>
            </w:pPr>
            <w:r>
              <w:rPr>
                <w:rFonts w:hint="eastAsia" w:ascii="宋体" w:hAnsi="宋体"/>
                <w:sz w:val="18"/>
                <w:szCs w:val="18"/>
              </w:rPr>
              <w:t>87.20</w:t>
            </w:r>
          </w:p>
        </w:tc>
      </w:tr>
      <w:tr w14:paraId="2527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309FEF09">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02A1E6F1">
            <w:pPr>
              <w:autoSpaceDE w:val="0"/>
              <w:autoSpaceDN w:val="0"/>
              <w:adjustRightInd w:val="0"/>
            </w:pPr>
            <w:r>
              <w:rPr>
                <w:rFonts w:hint="eastAsia" w:ascii="宋体" w:hAnsi="宋体"/>
                <w:sz w:val="18"/>
                <w:szCs w:val="18"/>
              </w:rPr>
              <w:t>威海好当家天海湾水城旅游服务有限公司</w:t>
            </w:r>
          </w:p>
        </w:tc>
        <w:tc>
          <w:tcPr>
            <w:tcW w:w="725" w:type="pct"/>
            <w:tcBorders>
              <w:top w:val="single" w:color="auto" w:sz="4" w:space="0"/>
              <w:left w:val="single" w:color="auto" w:sz="4" w:space="0"/>
              <w:bottom w:val="single" w:color="auto" w:sz="4" w:space="0"/>
              <w:right w:val="single" w:color="auto" w:sz="4" w:space="0"/>
            </w:tcBorders>
          </w:tcPr>
          <w:p w14:paraId="182567A5">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309,055.65</w:t>
            </w:r>
          </w:p>
        </w:tc>
        <w:tc>
          <w:tcPr>
            <w:tcW w:w="654" w:type="pct"/>
            <w:tcBorders>
              <w:top w:val="single" w:color="auto" w:sz="4" w:space="0"/>
              <w:left w:val="single" w:color="auto" w:sz="4" w:space="0"/>
              <w:bottom w:val="single" w:color="auto" w:sz="4" w:space="0"/>
              <w:right w:val="single" w:color="auto" w:sz="4" w:space="0"/>
            </w:tcBorders>
          </w:tcPr>
          <w:p w14:paraId="6E05F258">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15,452.78</w:t>
            </w:r>
          </w:p>
        </w:tc>
        <w:tc>
          <w:tcPr>
            <w:tcW w:w="722" w:type="pct"/>
            <w:tcBorders>
              <w:top w:val="single" w:color="auto" w:sz="4" w:space="0"/>
              <w:left w:val="single" w:color="auto" w:sz="4" w:space="0"/>
              <w:bottom w:val="single" w:color="auto" w:sz="4" w:space="0"/>
              <w:right w:val="single" w:color="auto" w:sz="4" w:space="0"/>
            </w:tcBorders>
            <w:vAlign w:val="center"/>
          </w:tcPr>
          <w:p w14:paraId="752EFCCC">
            <w:pPr>
              <w:autoSpaceDE w:val="0"/>
              <w:autoSpaceDN w:val="0"/>
              <w:adjustRightInd w:val="0"/>
              <w:jc w:val="right"/>
            </w:pPr>
            <w:r>
              <w:rPr>
                <w:rFonts w:hint="eastAsia" w:ascii="宋体" w:hAnsi="宋体"/>
                <w:sz w:val="18"/>
                <w:szCs w:val="18"/>
              </w:rPr>
              <w:t>136,792.68</w:t>
            </w:r>
          </w:p>
        </w:tc>
        <w:tc>
          <w:tcPr>
            <w:tcW w:w="580" w:type="pct"/>
            <w:tcBorders>
              <w:top w:val="single" w:color="auto" w:sz="4" w:space="0"/>
              <w:left w:val="single" w:color="auto" w:sz="4" w:space="0"/>
              <w:bottom w:val="single" w:color="auto" w:sz="4" w:space="0"/>
              <w:right w:val="single" w:color="auto" w:sz="4" w:space="0"/>
            </w:tcBorders>
            <w:vAlign w:val="center"/>
          </w:tcPr>
          <w:p w14:paraId="26A50E6E">
            <w:pPr>
              <w:autoSpaceDE w:val="0"/>
              <w:autoSpaceDN w:val="0"/>
              <w:adjustRightInd w:val="0"/>
              <w:jc w:val="right"/>
            </w:pPr>
            <w:r>
              <w:rPr>
                <w:rFonts w:hint="eastAsia" w:ascii="宋体" w:hAnsi="宋体"/>
                <w:sz w:val="18"/>
                <w:szCs w:val="18"/>
              </w:rPr>
              <w:t>7,516.71</w:t>
            </w:r>
          </w:p>
        </w:tc>
      </w:tr>
      <w:tr w14:paraId="74AF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64522F53">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3FEE67A2">
            <w:pPr>
              <w:autoSpaceDE w:val="0"/>
              <w:autoSpaceDN w:val="0"/>
              <w:adjustRightInd w:val="0"/>
            </w:pPr>
            <w:r>
              <w:rPr>
                <w:rFonts w:hint="eastAsia" w:ascii="宋体" w:hAnsi="宋体"/>
                <w:sz w:val="18"/>
                <w:szCs w:val="18"/>
              </w:rPr>
              <w:t>宜丰县物宝矿业有限公司</w:t>
            </w:r>
          </w:p>
        </w:tc>
        <w:tc>
          <w:tcPr>
            <w:tcW w:w="725" w:type="pct"/>
            <w:tcBorders>
              <w:top w:val="single" w:color="auto" w:sz="4" w:space="0"/>
              <w:left w:val="single" w:color="auto" w:sz="4" w:space="0"/>
              <w:bottom w:val="single" w:color="auto" w:sz="4" w:space="0"/>
              <w:right w:val="single" w:color="auto" w:sz="4" w:space="0"/>
            </w:tcBorders>
          </w:tcPr>
          <w:p w14:paraId="380A7B95">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2,770.00</w:t>
            </w:r>
          </w:p>
        </w:tc>
        <w:tc>
          <w:tcPr>
            <w:tcW w:w="654" w:type="pct"/>
            <w:tcBorders>
              <w:top w:val="single" w:color="auto" w:sz="4" w:space="0"/>
              <w:left w:val="single" w:color="auto" w:sz="4" w:space="0"/>
              <w:bottom w:val="single" w:color="auto" w:sz="4" w:space="0"/>
              <w:right w:val="single" w:color="auto" w:sz="4" w:space="0"/>
            </w:tcBorders>
          </w:tcPr>
          <w:p w14:paraId="0533D2C8">
            <w:pPr>
              <w:autoSpaceDE w:val="0"/>
              <w:autoSpaceDN w:val="0"/>
              <w:adjustRightInd w:val="0"/>
              <w:jc w:val="right"/>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138.50</w:t>
            </w:r>
          </w:p>
        </w:tc>
        <w:tc>
          <w:tcPr>
            <w:tcW w:w="722" w:type="pct"/>
            <w:tcBorders>
              <w:top w:val="single" w:color="auto" w:sz="4" w:space="0"/>
              <w:left w:val="single" w:color="auto" w:sz="4" w:space="0"/>
              <w:bottom w:val="single" w:color="auto" w:sz="4" w:space="0"/>
              <w:right w:val="single" w:color="auto" w:sz="4" w:space="0"/>
            </w:tcBorders>
            <w:vAlign w:val="center"/>
          </w:tcPr>
          <w:p w14:paraId="3029F95B">
            <w:pPr>
              <w:autoSpaceDE w:val="0"/>
              <w:autoSpaceDN w:val="0"/>
              <w:adjustRightInd w:val="0"/>
              <w:jc w:val="right"/>
            </w:pPr>
            <w:r>
              <w:rPr>
                <w:rFonts w:hint="eastAsia" w:ascii="宋体" w:hAnsi="宋体"/>
                <w:sz w:val="18"/>
                <w:szCs w:val="18"/>
              </w:rPr>
              <w:t>2,640.00</w:t>
            </w:r>
          </w:p>
        </w:tc>
        <w:tc>
          <w:tcPr>
            <w:tcW w:w="580" w:type="pct"/>
            <w:tcBorders>
              <w:top w:val="single" w:color="auto" w:sz="4" w:space="0"/>
              <w:left w:val="single" w:color="auto" w:sz="4" w:space="0"/>
              <w:bottom w:val="single" w:color="auto" w:sz="4" w:space="0"/>
              <w:right w:val="single" w:color="auto" w:sz="4" w:space="0"/>
            </w:tcBorders>
            <w:vAlign w:val="center"/>
          </w:tcPr>
          <w:p w14:paraId="554FE276">
            <w:pPr>
              <w:autoSpaceDE w:val="0"/>
              <w:autoSpaceDN w:val="0"/>
              <w:adjustRightInd w:val="0"/>
              <w:jc w:val="right"/>
            </w:pPr>
            <w:r>
              <w:rPr>
                <w:rFonts w:hint="eastAsia" w:ascii="宋体" w:hAnsi="宋体"/>
                <w:sz w:val="18"/>
                <w:szCs w:val="18"/>
              </w:rPr>
              <w:t>387.60</w:t>
            </w:r>
          </w:p>
        </w:tc>
      </w:tr>
      <w:tr w14:paraId="6A16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270F63B6">
            <w:pPr>
              <w:autoSpaceDE w:val="0"/>
              <w:autoSpaceDN w:val="0"/>
              <w:adjustRightInd w:val="0"/>
            </w:pPr>
            <w:r>
              <w:rPr>
                <w:rFonts w:hint="eastAsia" w:ascii="宋体" w:hAnsi="宋体"/>
                <w:sz w:val="18"/>
                <w:szCs w:val="18"/>
              </w:rPr>
              <w:t>应收账款</w:t>
            </w:r>
          </w:p>
        </w:tc>
        <w:tc>
          <w:tcPr>
            <w:tcW w:w="1736" w:type="pct"/>
            <w:tcBorders>
              <w:top w:val="single" w:color="auto" w:sz="4" w:space="0"/>
              <w:left w:val="single" w:color="auto" w:sz="4" w:space="0"/>
              <w:bottom w:val="single" w:color="auto" w:sz="4" w:space="0"/>
              <w:right w:val="single" w:color="auto" w:sz="4" w:space="0"/>
            </w:tcBorders>
            <w:vAlign w:val="center"/>
          </w:tcPr>
          <w:p w14:paraId="14711024">
            <w:pPr>
              <w:autoSpaceDE w:val="0"/>
              <w:autoSpaceDN w:val="0"/>
              <w:adjustRightInd w:val="0"/>
            </w:pPr>
            <w:r>
              <w:rPr>
                <w:rFonts w:hint="eastAsia" w:ascii="宋体" w:hAnsi="宋体"/>
                <w:sz w:val="18"/>
                <w:szCs w:val="18"/>
              </w:rPr>
              <w:t>宜丰县物华矿业有限公司</w:t>
            </w:r>
          </w:p>
        </w:tc>
        <w:tc>
          <w:tcPr>
            <w:tcW w:w="725" w:type="pct"/>
            <w:tcBorders>
              <w:top w:val="single" w:color="auto" w:sz="4" w:space="0"/>
              <w:left w:val="single" w:color="auto" w:sz="4" w:space="0"/>
              <w:bottom w:val="single" w:color="auto" w:sz="4" w:space="0"/>
              <w:right w:val="single" w:color="auto" w:sz="4" w:space="0"/>
            </w:tcBorders>
          </w:tcPr>
          <w:p w14:paraId="5084F272">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89,214.20</w:t>
            </w:r>
          </w:p>
        </w:tc>
        <w:tc>
          <w:tcPr>
            <w:tcW w:w="654" w:type="pct"/>
            <w:tcBorders>
              <w:top w:val="single" w:color="auto" w:sz="4" w:space="0"/>
              <w:left w:val="single" w:color="auto" w:sz="4" w:space="0"/>
              <w:bottom w:val="single" w:color="auto" w:sz="4" w:space="0"/>
              <w:right w:val="single" w:color="auto" w:sz="4" w:space="0"/>
            </w:tcBorders>
          </w:tcPr>
          <w:p w14:paraId="1755D031">
            <w:pPr>
              <w:autoSpaceDE w:val="0"/>
              <w:autoSpaceDN w:val="0"/>
              <w:adjustRightInd w:val="0"/>
              <w:jc w:val="right"/>
              <w:rPr>
                <w:rFonts w:hint="eastAsia" w:asciiTheme="minorEastAsia" w:hAnsiTheme="minorEastAsia" w:eastAsiaTheme="minorEastAsia"/>
                <w:sz w:val="18"/>
                <w:szCs w:val="18"/>
              </w:rPr>
            </w:pPr>
            <w:r>
              <w:rPr>
                <w:rFonts w:asciiTheme="minorEastAsia" w:hAnsiTheme="minorEastAsia" w:eastAsiaTheme="minorEastAsia"/>
                <w:sz w:val="18"/>
                <w:szCs w:val="18"/>
              </w:rPr>
              <w:t>4,460.71</w:t>
            </w:r>
          </w:p>
        </w:tc>
        <w:tc>
          <w:tcPr>
            <w:tcW w:w="722" w:type="pct"/>
            <w:tcBorders>
              <w:top w:val="single" w:color="auto" w:sz="4" w:space="0"/>
              <w:left w:val="single" w:color="auto" w:sz="4" w:space="0"/>
              <w:bottom w:val="single" w:color="auto" w:sz="4" w:space="0"/>
              <w:right w:val="single" w:color="auto" w:sz="4" w:space="0"/>
            </w:tcBorders>
            <w:vAlign w:val="center"/>
          </w:tcPr>
          <w:p w14:paraId="522093EF">
            <w:pPr>
              <w:autoSpaceDE w:val="0"/>
              <w:autoSpaceDN w:val="0"/>
              <w:adjustRightInd w:val="0"/>
              <w:jc w:val="right"/>
            </w:pPr>
            <w:r>
              <w:rPr>
                <w:rFonts w:hint="eastAsia" w:ascii="宋体" w:hAnsi="宋体"/>
                <w:sz w:val="18"/>
                <w:szCs w:val="18"/>
              </w:rPr>
              <w:t>89,214.20</w:t>
            </w:r>
          </w:p>
        </w:tc>
        <w:tc>
          <w:tcPr>
            <w:tcW w:w="580" w:type="pct"/>
            <w:tcBorders>
              <w:top w:val="single" w:color="auto" w:sz="4" w:space="0"/>
              <w:left w:val="single" w:color="auto" w:sz="4" w:space="0"/>
              <w:bottom w:val="single" w:color="auto" w:sz="4" w:space="0"/>
              <w:right w:val="single" w:color="auto" w:sz="4" w:space="0"/>
            </w:tcBorders>
            <w:vAlign w:val="center"/>
          </w:tcPr>
          <w:p w14:paraId="46D81123">
            <w:pPr>
              <w:autoSpaceDE w:val="0"/>
              <w:autoSpaceDN w:val="0"/>
              <w:adjustRightInd w:val="0"/>
              <w:jc w:val="right"/>
            </w:pPr>
            <w:r>
              <w:rPr>
                <w:rFonts w:hint="eastAsia" w:ascii="宋体" w:hAnsi="宋体"/>
                <w:sz w:val="18"/>
                <w:szCs w:val="18"/>
              </w:rPr>
              <w:t>31,053.34</w:t>
            </w:r>
          </w:p>
        </w:tc>
      </w:tr>
      <w:bookmarkEnd w:id="417"/>
      <w:tr w14:paraId="1E94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07D76772">
            <w:pPr>
              <w:autoSpaceDE w:val="0"/>
              <w:autoSpaceDN w:val="0"/>
              <w:adjustRightInd w:val="0"/>
            </w:pPr>
            <w:r>
              <w:rPr>
                <w:rFonts w:hint="eastAsia" w:ascii="宋体" w:hAnsi="宋体"/>
                <w:sz w:val="18"/>
                <w:szCs w:val="18"/>
              </w:rPr>
              <w:t>其他应收款</w:t>
            </w:r>
          </w:p>
        </w:tc>
        <w:tc>
          <w:tcPr>
            <w:tcW w:w="1736" w:type="pct"/>
            <w:tcBorders>
              <w:top w:val="single" w:color="auto" w:sz="4" w:space="0"/>
              <w:left w:val="single" w:color="auto" w:sz="4" w:space="0"/>
              <w:bottom w:val="single" w:color="auto" w:sz="4" w:space="0"/>
              <w:right w:val="single" w:color="auto" w:sz="4" w:space="0"/>
            </w:tcBorders>
            <w:vAlign w:val="center"/>
          </w:tcPr>
          <w:p w14:paraId="6DA82247">
            <w:pPr>
              <w:autoSpaceDE w:val="0"/>
              <w:autoSpaceDN w:val="0"/>
              <w:adjustRightInd w:val="0"/>
            </w:pPr>
            <w:r>
              <w:rPr>
                <w:rFonts w:hint="eastAsia" w:ascii="宋体" w:hAnsi="宋体"/>
                <w:sz w:val="18"/>
                <w:szCs w:val="18"/>
              </w:rPr>
              <w:t>荣成邱家水产有限公司</w:t>
            </w:r>
          </w:p>
        </w:tc>
        <w:tc>
          <w:tcPr>
            <w:tcW w:w="725" w:type="pct"/>
            <w:tcBorders>
              <w:top w:val="single" w:color="auto" w:sz="4" w:space="0"/>
              <w:left w:val="single" w:color="auto" w:sz="4" w:space="0"/>
              <w:bottom w:val="single" w:color="auto" w:sz="4" w:space="0"/>
              <w:right w:val="single" w:color="auto" w:sz="4" w:space="0"/>
            </w:tcBorders>
          </w:tcPr>
          <w:p w14:paraId="663801E4">
            <w:pPr>
              <w:autoSpaceDE w:val="0"/>
              <w:autoSpaceDN w:val="0"/>
              <w:adjustRightInd w:val="0"/>
              <w:jc w:val="right"/>
              <w:rPr>
                <w:rFonts w:hint="eastAsia" w:asciiTheme="minorEastAsia" w:hAnsiTheme="minorEastAsia" w:eastAsiaTheme="minorEastAsia"/>
                <w:sz w:val="18"/>
                <w:szCs w:val="18"/>
              </w:rPr>
            </w:pPr>
          </w:p>
        </w:tc>
        <w:tc>
          <w:tcPr>
            <w:tcW w:w="654" w:type="pct"/>
            <w:tcBorders>
              <w:top w:val="single" w:color="auto" w:sz="4" w:space="0"/>
              <w:left w:val="single" w:color="auto" w:sz="4" w:space="0"/>
              <w:bottom w:val="single" w:color="auto" w:sz="4" w:space="0"/>
              <w:right w:val="single" w:color="auto" w:sz="4" w:space="0"/>
            </w:tcBorders>
          </w:tcPr>
          <w:p w14:paraId="0DAD6AA9">
            <w:pPr>
              <w:autoSpaceDE w:val="0"/>
              <w:autoSpaceDN w:val="0"/>
              <w:adjustRightInd w:val="0"/>
              <w:jc w:val="right"/>
              <w:rPr>
                <w:rFonts w:hint="eastAsia" w:asciiTheme="minorEastAsia" w:hAnsiTheme="minorEastAsia" w:eastAsiaTheme="minorEastAsia"/>
                <w:sz w:val="18"/>
                <w:szCs w:val="18"/>
              </w:rPr>
            </w:pPr>
          </w:p>
        </w:tc>
        <w:tc>
          <w:tcPr>
            <w:tcW w:w="722" w:type="pct"/>
            <w:tcBorders>
              <w:top w:val="single" w:color="auto" w:sz="4" w:space="0"/>
              <w:left w:val="single" w:color="auto" w:sz="4" w:space="0"/>
              <w:bottom w:val="single" w:color="auto" w:sz="4" w:space="0"/>
              <w:right w:val="single" w:color="auto" w:sz="4" w:space="0"/>
            </w:tcBorders>
            <w:vAlign w:val="center"/>
          </w:tcPr>
          <w:p w14:paraId="50E19F46">
            <w:pPr>
              <w:autoSpaceDE w:val="0"/>
              <w:autoSpaceDN w:val="0"/>
              <w:adjustRightInd w:val="0"/>
              <w:jc w:val="right"/>
            </w:pPr>
            <w:r>
              <w:rPr>
                <w:rFonts w:hint="eastAsia" w:ascii="宋体" w:hAnsi="宋体"/>
                <w:sz w:val="18"/>
                <w:szCs w:val="18"/>
              </w:rPr>
              <w:t>600.00</w:t>
            </w:r>
          </w:p>
        </w:tc>
        <w:tc>
          <w:tcPr>
            <w:tcW w:w="580" w:type="pct"/>
            <w:tcBorders>
              <w:top w:val="single" w:color="auto" w:sz="4" w:space="0"/>
              <w:left w:val="single" w:color="auto" w:sz="4" w:space="0"/>
              <w:bottom w:val="single" w:color="auto" w:sz="4" w:space="0"/>
              <w:right w:val="single" w:color="auto" w:sz="4" w:space="0"/>
            </w:tcBorders>
            <w:vAlign w:val="center"/>
          </w:tcPr>
          <w:p w14:paraId="7AA81E03">
            <w:pPr>
              <w:autoSpaceDE w:val="0"/>
              <w:autoSpaceDN w:val="0"/>
              <w:adjustRightInd w:val="0"/>
              <w:jc w:val="right"/>
            </w:pPr>
            <w:r>
              <w:rPr>
                <w:rFonts w:hint="eastAsia" w:ascii="宋体" w:hAnsi="宋体"/>
                <w:sz w:val="18"/>
                <w:szCs w:val="18"/>
              </w:rPr>
              <w:t>30.00</w:t>
            </w:r>
          </w:p>
        </w:tc>
      </w:tr>
      <w:tr w14:paraId="4237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3E890FD7">
            <w:pPr>
              <w:autoSpaceDE w:val="0"/>
              <w:autoSpaceDN w:val="0"/>
              <w:adjustRightInd w:val="0"/>
            </w:pPr>
            <w:r>
              <w:rPr>
                <w:rFonts w:hint="eastAsia" w:ascii="宋体" w:hAnsi="宋体"/>
                <w:sz w:val="18"/>
                <w:szCs w:val="18"/>
              </w:rPr>
              <w:t>其他应收款</w:t>
            </w:r>
          </w:p>
        </w:tc>
        <w:tc>
          <w:tcPr>
            <w:tcW w:w="1736" w:type="pct"/>
            <w:tcBorders>
              <w:top w:val="single" w:color="auto" w:sz="4" w:space="0"/>
              <w:left w:val="single" w:color="auto" w:sz="4" w:space="0"/>
              <w:bottom w:val="single" w:color="auto" w:sz="4" w:space="0"/>
              <w:right w:val="single" w:color="auto" w:sz="4" w:space="0"/>
            </w:tcBorders>
            <w:vAlign w:val="center"/>
          </w:tcPr>
          <w:p w14:paraId="2B31932F">
            <w:pPr>
              <w:autoSpaceDE w:val="0"/>
              <w:autoSpaceDN w:val="0"/>
              <w:adjustRightInd w:val="0"/>
            </w:pPr>
            <w:r>
              <w:rPr>
                <w:rFonts w:hint="eastAsia" w:ascii="宋体" w:hAnsi="宋体"/>
                <w:sz w:val="18"/>
                <w:szCs w:val="18"/>
              </w:rPr>
              <w:t>荣成荣安建筑工程有限公司</w:t>
            </w:r>
          </w:p>
        </w:tc>
        <w:tc>
          <w:tcPr>
            <w:tcW w:w="725" w:type="pct"/>
            <w:tcBorders>
              <w:top w:val="single" w:color="auto" w:sz="4" w:space="0"/>
              <w:left w:val="single" w:color="auto" w:sz="4" w:space="0"/>
              <w:bottom w:val="single" w:color="auto" w:sz="4" w:space="0"/>
              <w:right w:val="single" w:color="auto" w:sz="4" w:space="0"/>
            </w:tcBorders>
          </w:tcPr>
          <w:p w14:paraId="27E83104">
            <w:pPr>
              <w:autoSpaceDE w:val="0"/>
              <w:autoSpaceDN w:val="0"/>
              <w:adjustRightInd w:val="0"/>
              <w:jc w:val="right"/>
              <w:rPr>
                <w:rFonts w:hint="eastAsia" w:asciiTheme="minorEastAsia" w:hAnsiTheme="minorEastAsia" w:eastAsiaTheme="minorEastAsia"/>
                <w:sz w:val="18"/>
                <w:szCs w:val="18"/>
              </w:rPr>
            </w:pPr>
          </w:p>
        </w:tc>
        <w:tc>
          <w:tcPr>
            <w:tcW w:w="654" w:type="pct"/>
            <w:tcBorders>
              <w:top w:val="single" w:color="auto" w:sz="4" w:space="0"/>
              <w:left w:val="single" w:color="auto" w:sz="4" w:space="0"/>
              <w:bottom w:val="single" w:color="auto" w:sz="4" w:space="0"/>
              <w:right w:val="single" w:color="auto" w:sz="4" w:space="0"/>
            </w:tcBorders>
          </w:tcPr>
          <w:p w14:paraId="11AD301C">
            <w:pPr>
              <w:autoSpaceDE w:val="0"/>
              <w:autoSpaceDN w:val="0"/>
              <w:adjustRightInd w:val="0"/>
              <w:jc w:val="right"/>
              <w:rPr>
                <w:rFonts w:hint="eastAsia" w:asciiTheme="minorEastAsia" w:hAnsiTheme="minorEastAsia" w:eastAsiaTheme="minorEastAsia"/>
                <w:sz w:val="18"/>
                <w:szCs w:val="18"/>
              </w:rPr>
            </w:pPr>
          </w:p>
        </w:tc>
        <w:tc>
          <w:tcPr>
            <w:tcW w:w="722" w:type="pct"/>
            <w:tcBorders>
              <w:top w:val="single" w:color="auto" w:sz="4" w:space="0"/>
              <w:left w:val="single" w:color="auto" w:sz="4" w:space="0"/>
              <w:bottom w:val="single" w:color="auto" w:sz="4" w:space="0"/>
              <w:right w:val="single" w:color="auto" w:sz="4" w:space="0"/>
            </w:tcBorders>
            <w:vAlign w:val="center"/>
          </w:tcPr>
          <w:p w14:paraId="3C1B6ADA">
            <w:pPr>
              <w:autoSpaceDE w:val="0"/>
              <w:autoSpaceDN w:val="0"/>
              <w:adjustRightInd w:val="0"/>
              <w:jc w:val="right"/>
            </w:pPr>
            <w:r>
              <w:rPr>
                <w:rFonts w:hint="eastAsia" w:ascii="宋体" w:hAnsi="宋体"/>
                <w:sz w:val="18"/>
                <w:szCs w:val="18"/>
              </w:rPr>
              <w:t>10,385.00</w:t>
            </w:r>
          </w:p>
        </w:tc>
        <w:tc>
          <w:tcPr>
            <w:tcW w:w="580" w:type="pct"/>
            <w:tcBorders>
              <w:top w:val="single" w:color="auto" w:sz="4" w:space="0"/>
              <w:left w:val="single" w:color="auto" w:sz="4" w:space="0"/>
              <w:bottom w:val="single" w:color="auto" w:sz="4" w:space="0"/>
              <w:right w:val="single" w:color="auto" w:sz="4" w:space="0"/>
            </w:tcBorders>
            <w:vAlign w:val="center"/>
          </w:tcPr>
          <w:p w14:paraId="02DF0E62">
            <w:pPr>
              <w:autoSpaceDE w:val="0"/>
              <w:autoSpaceDN w:val="0"/>
              <w:adjustRightInd w:val="0"/>
              <w:jc w:val="right"/>
            </w:pPr>
            <w:r>
              <w:rPr>
                <w:rFonts w:hint="eastAsia" w:ascii="宋体" w:hAnsi="宋体"/>
                <w:sz w:val="18"/>
                <w:szCs w:val="18"/>
              </w:rPr>
              <w:t>519.25</w:t>
            </w:r>
          </w:p>
        </w:tc>
      </w:tr>
      <w:tr w14:paraId="1311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1F213B20">
            <w:pPr>
              <w:autoSpaceDE w:val="0"/>
              <w:autoSpaceDN w:val="0"/>
              <w:adjustRightInd w:val="0"/>
            </w:pPr>
            <w:r>
              <w:rPr>
                <w:rFonts w:hint="eastAsia" w:ascii="宋体" w:hAnsi="宋体"/>
                <w:sz w:val="18"/>
                <w:szCs w:val="18"/>
              </w:rPr>
              <w:t>其他应收款</w:t>
            </w:r>
          </w:p>
        </w:tc>
        <w:tc>
          <w:tcPr>
            <w:tcW w:w="1736" w:type="pct"/>
            <w:tcBorders>
              <w:top w:val="single" w:color="auto" w:sz="4" w:space="0"/>
              <w:left w:val="single" w:color="auto" w:sz="4" w:space="0"/>
              <w:bottom w:val="single" w:color="auto" w:sz="4" w:space="0"/>
              <w:right w:val="single" w:color="auto" w:sz="4" w:space="0"/>
            </w:tcBorders>
            <w:vAlign w:val="center"/>
          </w:tcPr>
          <w:p w14:paraId="58E5F9CA">
            <w:pPr>
              <w:autoSpaceDE w:val="0"/>
              <w:autoSpaceDN w:val="0"/>
              <w:adjustRightInd w:val="0"/>
            </w:pPr>
            <w:r>
              <w:rPr>
                <w:rFonts w:hint="eastAsia" w:ascii="宋体" w:hAnsi="宋体"/>
                <w:sz w:val="18"/>
                <w:szCs w:val="18"/>
              </w:rPr>
              <w:t>荣成荣盛包装材料有限公司</w:t>
            </w:r>
          </w:p>
        </w:tc>
        <w:tc>
          <w:tcPr>
            <w:tcW w:w="725" w:type="pct"/>
            <w:tcBorders>
              <w:top w:val="single" w:color="auto" w:sz="4" w:space="0"/>
              <w:left w:val="single" w:color="auto" w:sz="4" w:space="0"/>
              <w:bottom w:val="single" w:color="auto" w:sz="4" w:space="0"/>
              <w:right w:val="single" w:color="auto" w:sz="4" w:space="0"/>
            </w:tcBorders>
          </w:tcPr>
          <w:p w14:paraId="09AC98F2">
            <w:pPr>
              <w:autoSpaceDE w:val="0"/>
              <w:autoSpaceDN w:val="0"/>
              <w:adjustRightInd w:val="0"/>
              <w:jc w:val="right"/>
              <w:rPr>
                <w:rFonts w:hint="eastAsia" w:asciiTheme="minorEastAsia" w:hAnsiTheme="minorEastAsia" w:eastAsiaTheme="minorEastAsia"/>
                <w:sz w:val="18"/>
                <w:szCs w:val="18"/>
              </w:rPr>
            </w:pPr>
          </w:p>
        </w:tc>
        <w:tc>
          <w:tcPr>
            <w:tcW w:w="654" w:type="pct"/>
            <w:tcBorders>
              <w:top w:val="single" w:color="auto" w:sz="4" w:space="0"/>
              <w:left w:val="single" w:color="auto" w:sz="4" w:space="0"/>
              <w:bottom w:val="single" w:color="auto" w:sz="4" w:space="0"/>
              <w:right w:val="single" w:color="auto" w:sz="4" w:space="0"/>
            </w:tcBorders>
          </w:tcPr>
          <w:p w14:paraId="3D74383B">
            <w:pPr>
              <w:autoSpaceDE w:val="0"/>
              <w:autoSpaceDN w:val="0"/>
              <w:adjustRightInd w:val="0"/>
              <w:jc w:val="right"/>
              <w:rPr>
                <w:rFonts w:hint="eastAsia" w:asciiTheme="minorEastAsia" w:hAnsiTheme="minorEastAsia" w:eastAsiaTheme="minorEastAsia"/>
                <w:sz w:val="18"/>
                <w:szCs w:val="18"/>
              </w:rPr>
            </w:pPr>
          </w:p>
        </w:tc>
        <w:tc>
          <w:tcPr>
            <w:tcW w:w="722" w:type="pct"/>
            <w:tcBorders>
              <w:top w:val="single" w:color="auto" w:sz="4" w:space="0"/>
              <w:left w:val="single" w:color="auto" w:sz="4" w:space="0"/>
              <w:bottom w:val="single" w:color="auto" w:sz="4" w:space="0"/>
              <w:right w:val="single" w:color="auto" w:sz="4" w:space="0"/>
            </w:tcBorders>
            <w:vAlign w:val="center"/>
          </w:tcPr>
          <w:p w14:paraId="2E9E11BE">
            <w:pPr>
              <w:autoSpaceDE w:val="0"/>
              <w:autoSpaceDN w:val="0"/>
              <w:adjustRightInd w:val="0"/>
              <w:jc w:val="right"/>
            </w:pPr>
            <w:r>
              <w:rPr>
                <w:rFonts w:hint="eastAsia" w:ascii="宋体" w:hAnsi="宋体"/>
                <w:sz w:val="18"/>
                <w:szCs w:val="18"/>
              </w:rPr>
              <w:t>19,809.00</w:t>
            </w:r>
          </w:p>
        </w:tc>
        <w:tc>
          <w:tcPr>
            <w:tcW w:w="580" w:type="pct"/>
            <w:tcBorders>
              <w:top w:val="single" w:color="auto" w:sz="4" w:space="0"/>
              <w:left w:val="single" w:color="auto" w:sz="4" w:space="0"/>
              <w:bottom w:val="single" w:color="auto" w:sz="4" w:space="0"/>
              <w:right w:val="single" w:color="auto" w:sz="4" w:space="0"/>
            </w:tcBorders>
            <w:vAlign w:val="center"/>
          </w:tcPr>
          <w:p w14:paraId="011B657E">
            <w:pPr>
              <w:autoSpaceDE w:val="0"/>
              <w:autoSpaceDN w:val="0"/>
              <w:adjustRightInd w:val="0"/>
              <w:jc w:val="right"/>
            </w:pPr>
            <w:r>
              <w:rPr>
                <w:rFonts w:hint="eastAsia" w:ascii="宋体" w:hAnsi="宋体"/>
                <w:sz w:val="18"/>
                <w:szCs w:val="18"/>
              </w:rPr>
              <w:t>990.45</w:t>
            </w:r>
          </w:p>
        </w:tc>
      </w:tr>
      <w:tr w14:paraId="1173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15701F27">
            <w:pPr>
              <w:autoSpaceDE w:val="0"/>
              <w:autoSpaceDN w:val="0"/>
              <w:adjustRightInd w:val="0"/>
            </w:pPr>
            <w:r>
              <w:rPr>
                <w:rFonts w:hint="eastAsia" w:ascii="宋体" w:hAnsi="宋体"/>
                <w:sz w:val="18"/>
                <w:szCs w:val="18"/>
              </w:rPr>
              <w:t>预付账款</w:t>
            </w:r>
          </w:p>
        </w:tc>
        <w:tc>
          <w:tcPr>
            <w:tcW w:w="1736" w:type="pct"/>
            <w:tcBorders>
              <w:top w:val="single" w:color="auto" w:sz="4" w:space="0"/>
              <w:left w:val="single" w:color="auto" w:sz="4" w:space="0"/>
              <w:bottom w:val="single" w:color="auto" w:sz="4" w:space="0"/>
              <w:right w:val="single" w:color="auto" w:sz="4" w:space="0"/>
            </w:tcBorders>
            <w:vAlign w:val="center"/>
          </w:tcPr>
          <w:p w14:paraId="0967E8DF">
            <w:pPr>
              <w:autoSpaceDE w:val="0"/>
              <w:autoSpaceDN w:val="0"/>
              <w:adjustRightInd w:val="0"/>
            </w:pPr>
            <w:r>
              <w:rPr>
                <w:rFonts w:hint="eastAsia" w:ascii="宋体" w:hAnsi="宋体"/>
                <w:sz w:val="18"/>
                <w:szCs w:val="18"/>
              </w:rPr>
              <w:t>荣成邱家水产有限公司</w:t>
            </w:r>
          </w:p>
        </w:tc>
        <w:tc>
          <w:tcPr>
            <w:tcW w:w="725" w:type="pct"/>
            <w:tcBorders>
              <w:top w:val="single" w:color="auto" w:sz="4" w:space="0"/>
              <w:left w:val="single" w:color="auto" w:sz="4" w:space="0"/>
              <w:bottom w:val="single" w:color="auto" w:sz="4" w:space="0"/>
              <w:right w:val="single" w:color="auto" w:sz="4" w:space="0"/>
            </w:tcBorders>
          </w:tcPr>
          <w:p w14:paraId="725D7459">
            <w:pPr>
              <w:autoSpaceDE w:val="0"/>
              <w:autoSpaceDN w:val="0"/>
              <w:adjustRightInd w:val="0"/>
              <w:jc w:val="right"/>
              <w:rPr>
                <w:rFonts w:hint="eastAsia" w:asciiTheme="minorEastAsia" w:hAnsiTheme="minorEastAsia" w:eastAsiaTheme="minorEastAsia"/>
                <w:sz w:val="18"/>
                <w:szCs w:val="18"/>
              </w:rPr>
            </w:pPr>
          </w:p>
        </w:tc>
        <w:tc>
          <w:tcPr>
            <w:tcW w:w="654" w:type="pct"/>
            <w:tcBorders>
              <w:top w:val="single" w:color="auto" w:sz="4" w:space="0"/>
              <w:left w:val="single" w:color="auto" w:sz="4" w:space="0"/>
              <w:bottom w:val="single" w:color="auto" w:sz="4" w:space="0"/>
              <w:right w:val="single" w:color="auto" w:sz="4" w:space="0"/>
            </w:tcBorders>
          </w:tcPr>
          <w:p w14:paraId="06456329">
            <w:pPr>
              <w:autoSpaceDE w:val="0"/>
              <w:autoSpaceDN w:val="0"/>
              <w:adjustRightInd w:val="0"/>
              <w:jc w:val="right"/>
              <w:rPr>
                <w:rFonts w:hint="eastAsia" w:asciiTheme="minorEastAsia" w:hAnsiTheme="minorEastAsia" w:eastAsiaTheme="minorEastAsia"/>
                <w:sz w:val="18"/>
                <w:szCs w:val="18"/>
              </w:rPr>
            </w:pPr>
          </w:p>
        </w:tc>
        <w:tc>
          <w:tcPr>
            <w:tcW w:w="722" w:type="pct"/>
            <w:tcBorders>
              <w:top w:val="single" w:color="auto" w:sz="4" w:space="0"/>
              <w:left w:val="single" w:color="auto" w:sz="4" w:space="0"/>
              <w:bottom w:val="single" w:color="auto" w:sz="4" w:space="0"/>
              <w:right w:val="single" w:color="auto" w:sz="4" w:space="0"/>
            </w:tcBorders>
            <w:vAlign w:val="center"/>
          </w:tcPr>
          <w:p w14:paraId="2EF9D3DE">
            <w:pPr>
              <w:autoSpaceDE w:val="0"/>
              <w:autoSpaceDN w:val="0"/>
              <w:adjustRightInd w:val="0"/>
              <w:jc w:val="right"/>
            </w:pPr>
            <w:r>
              <w:rPr>
                <w:rFonts w:hint="eastAsia" w:ascii="宋体" w:hAnsi="宋体"/>
                <w:sz w:val="18"/>
                <w:szCs w:val="18"/>
              </w:rPr>
              <w:t>80,000.00</w:t>
            </w:r>
          </w:p>
        </w:tc>
        <w:tc>
          <w:tcPr>
            <w:tcW w:w="580" w:type="pct"/>
            <w:tcBorders>
              <w:top w:val="single" w:color="auto" w:sz="4" w:space="0"/>
              <w:left w:val="single" w:color="auto" w:sz="4" w:space="0"/>
              <w:bottom w:val="single" w:color="auto" w:sz="4" w:space="0"/>
              <w:right w:val="single" w:color="auto" w:sz="4" w:space="0"/>
            </w:tcBorders>
            <w:vAlign w:val="center"/>
          </w:tcPr>
          <w:p w14:paraId="4141B96D">
            <w:pPr>
              <w:autoSpaceDE w:val="0"/>
              <w:autoSpaceDN w:val="0"/>
              <w:adjustRightInd w:val="0"/>
              <w:jc w:val="right"/>
            </w:pPr>
          </w:p>
        </w:tc>
      </w:tr>
      <w:tr w14:paraId="59EB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583" w:type="pct"/>
            <w:tcBorders>
              <w:top w:val="single" w:color="auto" w:sz="4" w:space="0"/>
              <w:left w:val="single" w:color="auto" w:sz="4" w:space="0"/>
              <w:bottom w:val="single" w:color="auto" w:sz="4" w:space="0"/>
              <w:right w:val="single" w:color="auto" w:sz="4" w:space="0"/>
            </w:tcBorders>
            <w:vAlign w:val="center"/>
          </w:tcPr>
          <w:p w14:paraId="5E5E53C1">
            <w:pPr>
              <w:autoSpaceDE w:val="0"/>
              <w:autoSpaceDN w:val="0"/>
              <w:adjustRightInd w:val="0"/>
            </w:pPr>
            <w:r>
              <w:rPr>
                <w:rFonts w:hint="eastAsia" w:ascii="宋体" w:hAnsi="宋体"/>
                <w:sz w:val="18"/>
                <w:szCs w:val="18"/>
              </w:rPr>
              <w:t>预付账款</w:t>
            </w:r>
          </w:p>
        </w:tc>
        <w:tc>
          <w:tcPr>
            <w:tcW w:w="1736" w:type="pct"/>
            <w:tcBorders>
              <w:top w:val="single" w:color="auto" w:sz="4" w:space="0"/>
              <w:left w:val="single" w:color="auto" w:sz="4" w:space="0"/>
              <w:bottom w:val="single" w:color="auto" w:sz="4" w:space="0"/>
              <w:right w:val="single" w:color="auto" w:sz="4" w:space="0"/>
            </w:tcBorders>
            <w:vAlign w:val="center"/>
          </w:tcPr>
          <w:p w14:paraId="63BFE9F4">
            <w:pPr>
              <w:autoSpaceDE w:val="0"/>
              <w:autoSpaceDN w:val="0"/>
              <w:adjustRightInd w:val="0"/>
            </w:pPr>
            <w:r>
              <w:rPr>
                <w:rFonts w:hint="eastAsia" w:ascii="宋体" w:hAnsi="宋体"/>
                <w:sz w:val="18"/>
                <w:szCs w:val="18"/>
              </w:rPr>
              <w:t>荣成荣安建筑工程有限公司</w:t>
            </w:r>
          </w:p>
        </w:tc>
        <w:tc>
          <w:tcPr>
            <w:tcW w:w="725" w:type="pct"/>
            <w:tcBorders>
              <w:top w:val="single" w:color="auto" w:sz="4" w:space="0"/>
              <w:left w:val="single" w:color="auto" w:sz="4" w:space="0"/>
              <w:bottom w:val="single" w:color="auto" w:sz="4" w:space="0"/>
              <w:right w:val="single" w:color="auto" w:sz="4" w:space="0"/>
            </w:tcBorders>
          </w:tcPr>
          <w:p w14:paraId="547F237C">
            <w:pPr>
              <w:autoSpaceDE w:val="0"/>
              <w:autoSpaceDN w:val="0"/>
              <w:adjustRightInd w:val="0"/>
              <w:jc w:val="right"/>
            </w:pPr>
          </w:p>
        </w:tc>
        <w:tc>
          <w:tcPr>
            <w:tcW w:w="654" w:type="pct"/>
            <w:tcBorders>
              <w:top w:val="single" w:color="auto" w:sz="4" w:space="0"/>
              <w:left w:val="single" w:color="auto" w:sz="4" w:space="0"/>
              <w:bottom w:val="single" w:color="auto" w:sz="4" w:space="0"/>
              <w:right w:val="single" w:color="auto" w:sz="4" w:space="0"/>
            </w:tcBorders>
          </w:tcPr>
          <w:p w14:paraId="2C8130D4">
            <w:pPr>
              <w:autoSpaceDE w:val="0"/>
              <w:autoSpaceDN w:val="0"/>
              <w:adjustRightInd w:val="0"/>
              <w:jc w:val="right"/>
            </w:pPr>
          </w:p>
        </w:tc>
        <w:tc>
          <w:tcPr>
            <w:tcW w:w="722" w:type="pct"/>
            <w:tcBorders>
              <w:top w:val="single" w:color="auto" w:sz="4" w:space="0"/>
              <w:left w:val="single" w:color="auto" w:sz="4" w:space="0"/>
              <w:bottom w:val="single" w:color="auto" w:sz="4" w:space="0"/>
              <w:right w:val="single" w:color="auto" w:sz="4" w:space="0"/>
            </w:tcBorders>
            <w:vAlign w:val="center"/>
          </w:tcPr>
          <w:p w14:paraId="733AF441">
            <w:pPr>
              <w:autoSpaceDE w:val="0"/>
              <w:autoSpaceDN w:val="0"/>
              <w:adjustRightInd w:val="0"/>
              <w:jc w:val="right"/>
            </w:pPr>
            <w:r>
              <w:rPr>
                <w:rFonts w:hint="eastAsia" w:ascii="宋体" w:hAnsi="宋体"/>
                <w:sz w:val="18"/>
                <w:szCs w:val="18"/>
              </w:rPr>
              <w:t>5,000.00</w:t>
            </w:r>
          </w:p>
        </w:tc>
        <w:tc>
          <w:tcPr>
            <w:tcW w:w="580" w:type="pct"/>
            <w:tcBorders>
              <w:top w:val="single" w:color="auto" w:sz="4" w:space="0"/>
              <w:left w:val="single" w:color="auto" w:sz="4" w:space="0"/>
              <w:bottom w:val="single" w:color="auto" w:sz="4" w:space="0"/>
              <w:right w:val="single" w:color="auto" w:sz="4" w:space="0"/>
            </w:tcBorders>
            <w:vAlign w:val="center"/>
          </w:tcPr>
          <w:p w14:paraId="37B94724">
            <w:pPr>
              <w:autoSpaceDE w:val="0"/>
              <w:autoSpaceDN w:val="0"/>
              <w:adjustRightInd w:val="0"/>
              <w:jc w:val="right"/>
            </w:pPr>
          </w:p>
        </w:tc>
      </w:tr>
    </w:tbl>
    <w:p w14:paraId="29A045C5">
      <w:pPr>
        <w:rPr>
          <w:color w:val="000000" w:themeColor="text1"/>
          <w14:textFill>
            <w14:solidFill>
              <w14:schemeClr w14:val="tx1"/>
            </w14:solidFill>
          </w14:textFill>
        </w:rPr>
      </w:pPr>
    </w:p>
    <w:p w14:paraId="04A14E64">
      <w:pPr>
        <w:pStyle w:val="5"/>
        <w:numPr>
          <w:ilvl w:val="0"/>
          <w:numId w:val="104"/>
        </w:numPr>
        <w:tabs>
          <w:tab w:val="left" w:pos="616"/>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应付项目</w:t>
      </w:r>
    </w:p>
    <w:p w14:paraId="3B49122B">
      <w:pPr>
        <w:rPr>
          <w:color w:val="000000" w:themeColor="text1"/>
          <w14:textFill>
            <w14:solidFill>
              <w14:schemeClr w14:val="tx1"/>
            </w14:solidFill>
          </w14:textFill>
        </w:rPr>
      </w:pPr>
      <w:sdt>
        <w:sdtPr>
          <w:rPr>
            <w:rFonts w:hint="eastAsia"/>
            <w:color w:val="000000" w:themeColor="text1"/>
            <w14:textFill>
              <w14:solidFill>
                <w14:schemeClr w14:val="tx1"/>
              </w14:solidFill>
            </w14:textFill>
          </w:rPr>
          <w:alias w:val="是否适用：应付项目[双击切换]"/>
          <w:tag w:val="_GBC_9dbefb51b716471b878d2e2863524a53"/>
          <w:id w:val="-1955311098"/>
          <w:placeholder>
            <w:docPart w:val="GBC22222222222222222222222222222"/>
          </w:placeholder>
        </w:sdtPr>
        <w:sdtEndPr>
          <w:rPr>
            <w:rFonts w:hint="eastAsia"/>
            <w:color w:val="000000" w:themeColor="text1"/>
            <w14:textFill>
              <w14:solidFill>
                <w14:schemeClr w14:val="tx1"/>
              </w14:solidFill>
            </w14:textFill>
          </w:rPr>
        </w:sdtEndPr>
        <w:sdtContent>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sdtContent>
      </w:sdt>
    </w:p>
    <w:p w14:paraId="7D4ACC2A">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上市公司应付关联方款项"/>
          <w:tag w:val="_GBC_08d04faee6a64768877db8f6ab14663e"/>
          <w:id w:val="3648723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上市公司应付关联方款项"/>
          <w:tag w:val="_GBC_124ea57c07fc4e23931a125a103e711c"/>
          <w:id w:val="3225511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1129"/>
        <w:gridCol w:w="3401"/>
        <w:gridCol w:w="2127"/>
        <w:gridCol w:w="2166"/>
      </w:tblGrid>
      <w:tr w14:paraId="51AA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sdt>
          <w:sdtPr>
            <w:tag w:val="_PLD_cf838d28f8e94c899328f1b9cd175b08"/>
            <w:id w:val="1488362308"/>
          </w:sdtPr>
          <w:sdtContent>
            <w:tc>
              <w:tcPr>
                <w:tcW w:w="640" w:type="pct"/>
                <w:tcBorders>
                  <w:top w:val="single" w:color="auto" w:sz="4" w:space="0"/>
                  <w:left w:val="single" w:color="auto" w:sz="4" w:space="0"/>
                  <w:right w:val="single" w:color="auto" w:sz="4" w:space="0"/>
                </w:tcBorders>
              </w:tcPr>
              <w:p w14:paraId="3987719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sdtContent>
        </w:sdt>
        <w:sdt>
          <w:sdtPr>
            <w:tag w:val="_PLD_25173a15407f4af6adbf91389dcc2257"/>
            <w:id w:val="-547063121"/>
          </w:sdtPr>
          <w:sdtContent>
            <w:tc>
              <w:tcPr>
                <w:tcW w:w="1927" w:type="pct"/>
                <w:tcBorders>
                  <w:top w:val="single" w:color="auto" w:sz="4" w:space="0"/>
                  <w:left w:val="single" w:color="auto" w:sz="4" w:space="0"/>
                  <w:right w:val="single" w:color="auto" w:sz="4" w:space="0"/>
                </w:tcBorders>
              </w:tcPr>
              <w:p w14:paraId="1C1CFA3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关联方</w:t>
                </w:r>
              </w:p>
            </w:tc>
          </w:sdtContent>
        </w:sdt>
        <w:sdt>
          <w:sdtPr>
            <w:tag w:val="_PLD_a8551739db0f47cab1b1a6ea0e700367"/>
            <w:id w:val="-457573371"/>
          </w:sdtPr>
          <w:sdtContent>
            <w:tc>
              <w:tcPr>
                <w:tcW w:w="1205" w:type="pct"/>
                <w:tcBorders>
                  <w:top w:val="single" w:color="auto" w:sz="4" w:space="0"/>
                  <w:left w:val="single" w:color="auto" w:sz="4" w:space="0"/>
                  <w:bottom w:val="single" w:color="auto" w:sz="4" w:space="0"/>
                  <w:right w:val="single" w:color="auto" w:sz="4" w:space="0"/>
                </w:tcBorders>
              </w:tcPr>
              <w:p w14:paraId="1EB87D8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期末账面余额</w:t>
                </w:r>
              </w:p>
            </w:tc>
          </w:sdtContent>
        </w:sdt>
        <w:sdt>
          <w:sdtPr>
            <w:tag w:val="_PLD_83bc027cb7f1401db7a26beffe77ce00"/>
            <w:id w:val="-1443297935"/>
          </w:sdtPr>
          <w:sdtContent>
            <w:tc>
              <w:tcPr>
                <w:tcW w:w="1227" w:type="pct"/>
                <w:tcBorders>
                  <w:top w:val="single" w:color="auto" w:sz="4" w:space="0"/>
                  <w:left w:val="single" w:color="auto" w:sz="4" w:space="0"/>
                  <w:bottom w:val="single" w:color="auto" w:sz="4" w:space="0"/>
                  <w:right w:val="single" w:color="auto" w:sz="4" w:space="0"/>
                </w:tcBorders>
              </w:tcPr>
              <w:p w14:paraId="26B3901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期初账面余额</w:t>
                </w:r>
              </w:p>
            </w:tc>
          </w:sdtContent>
        </w:sdt>
      </w:tr>
      <w:tr w14:paraId="4320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00924294">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0610C704">
            <w:r>
              <w:rPr>
                <w:rFonts w:hint="eastAsia" w:ascii="宋体" w:hAnsi="宋体"/>
                <w:sz w:val="18"/>
                <w:szCs w:val="18"/>
              </w:rPr>
              <w:t>威海好当家调味品有限公司</w:t>
            </w:r>
          </w:p>
        </w:tc>
        <w:tc>
          <w:tcPr>
            <w:tcW w:w="1205" w:type="pct"/>
            <w:tcBorders>
              <w:top w:val="single" w:color="auto" w:sz="4" w:space="0"/>
              <w:left w:val="single" w:color="auto" w:sz="4" w:space="0"/>
              <w:bottom w:val="single" w:color="auto" w:sz="4" w:space="0"/>
              <w:right w:val="single" w:color="auto" w:sz="4" w:space="0"/>
            </w:tcBorders>
          </w:tcPr>
          <w:p w14:paraId="4CAF8E1D">
            <w:pPr>
              <w:jc w:val="right"/>
            </w:pPr>
          </w:p>
        </w:tc>
        <w:tc>
          <w:tcPr>
            <w:tcW w:w="1227" w:type="pct"/>
            <w:tcBorders>
              <w:top w:val="single" w:color="auto" w:sz="4" w:space="0"/>
              <w:left w:val="single" w:color="auto" w:sz="4" w:space="0"/>
              <w:bottom w:val="single" w:color="auto" w:sz="4" w:space="0"/>
              <w:right w:val="single" w:color="auto" w:sz="4" w:space="0"/>
            </w:tcBorders>
            <w:vAlign w:val="center"/>
          </w:tcPr>
          <w:p w14:paraId="05EBD393">
            <w:pPr>
              <w:jc w:val="right"/>
            </w:pPr>
            <w:r>
              <w:rPr>
                <w:rFonts w:hint="eastAsia" w:ascii="宋体" w:hAnsi="宋体"/>
                <w:sz w:val="18"/>
                <w:szCs w:val="18"/>
              </w:rPr>
              <w:t>24,207.00</w:t>
            </w:r>
          </w:p>
        </w:tc>
      </w:tr>
      <w:tr w14:paraId="48BC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7D7D5686">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4C6D3D3A">
            <w:r>
              <w:rPr>
                <w:rFonts w:hint="eastAsia" w:ascii="宋体" w:hAnsi="宋体"/>
                <w:sz w:val="18"/>
                <w:szCs w:val="18"/>
              </w:rPr>
              <w:t>好当家集团有限公司</w:t>
            </w:r>
          </w:p>
        </w:tc>
        <w:tc>
          <w:tcPr>
            <w:tcW w:w="1205" w:type="pct"/>
            <w:tcBorders>
              <w:top w:val="single" w:color="auto" w:sz="4" w:space="0"/>
              <w:left w:val="single" w:color="auto" w:sz="4" w:space="0"/>
              <w:bottom w:val="single" w:color="auto" w:sz="4" w:space="0"/>
              <w:right w:val="single" w:color="auto" w:sz="4" w:space="0"/>
            </w:tcBorders>
          </w:tcPr>
          <w:p w14:paraId="15D2BF4D">
            <w:pPr>
              <w:jc w:val="right"/>
              <w:rPr>
                <w:sz w:val="18"/>
                <w:szCs w:val="18"/>
              </w:rPr>
            </w:pPr>
            <w:r>
              <w:rPr>
                <w:sz w:val="18"/>
                <w:szCs w:val="18"/>
              </w:rPr>
              <w:t>4,205,876.72</w:t>
            </w:r>
          </w:p>
        </w:tc>
        <w:tc>
          <w:tcPr>
            <w:tcW w:w="1227" w:type="pct"/>
            <w:tcBorders>
              <w:top w:val="single" w:color="auto" w:sz="4" w:space="0"/>
              <w:left w:val="single" w:color="auto" w:sz="4" w:space="0"/>
              <w:bottom w:val="single" w:color="auto" w:sz="4" w:space="0"/>
              <w:right w:val="single" w:color="auto" w:sz="4" w:space="0"/>
            </w:tcBorders>
            <w:vAlign w:val="center"/>
          </w:tcPr>
          <w:p w14:paraId="5101AFA8">
            <w:pPr>
              <w:jc w:val="right"/>
            </w:pPr>
            <w:r>
              <w:rPr>
                <w:rFonts w:hint="eastAsia" w:ascii="宋体" w:hAnsi="宋体"/>
                <w:sz w:val="18"/>
                <w:szCs w:val="18"/>
              </w:rPr>
              <w:t>3,335,862.02</w:t>
            </w:r>
          </w:p>
        </w:tc>
      </w:tr>
      <w:tr w14:paraId="60A4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4790D4F9">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1A4723CF">
            <w:r>
              <w:rPr>
                <w:rFonts w:hint="eastAsia" w:ascii="宋体" w:hAnsi="宋体"/>
                <w:sz w:val="18"/>
                <w:szCs w:val="18"/>
              </w:rPr>
              <w:t>荣成好当家工程建设有限公司</w:t>
            </w:r>
          </w:p>
        </w:tc>
        <w:tc>
          <w:tcPr>
            <w:tcW w:w="1205" w:type="pct"/>
            <w:tcBorders>
              <w:top w:val="single" w:color="auto" w:sz="4" w:space="0"/>
              <w:left w:val="single" w:color="auto" w:sz="4" w:space="0"/>
              <w:bottom w:val="single" w:color="auto" w:sz="4" w:space="0"/>
              <w:right w:val="single" w:color="auto" w:sz="4" w:space="0"/>
            </w:tcBorders>
          </w:tcPr>
          <w:p w14:paraId="36357D63">
            <w:pPr>
              <w:jc w:val="right"/>
              <w:rPr>
                <w:sz w:val="18"/>
                <w:szCs w:val="18"/>
              </w:rPr>
            </w:pPr>
            <w:r>
              <w:rPr>
                <w:sz w:val="18"/>
                <w:szCs w:val="18"/>
              </w:rPr>
              <w:t>1,699,585.21</w:t>
            </w:r>
          </w:p>
        </w:tc>
        <w:tc>
          <w:tcPr>
            <w:tcW w:w="1227" w:type="pct"/>
            <w:tcBorders>
              <w:top w:val="single" w:color="auto" w:sz="4" w:space="0"/>
              <w:left w:val="single" w:color="auto" w:sz="4" w:space="0"/>
              <w:bottom w:val="single" w:color="auto" w:sz="4" w:space="0"/>
              <w:right w:val="single" w:color="auto" w:sz="4" w:space="0"/>
            </w:tcBorders>
            <w:vAlign w:val="center"/>
          </w:tcPr>
          <w:p w14:paraId="3D1819DA">
            <w:pPr>
              <w:jc w:val="right"/>
            </w:pPr>
            <w:r>
              <w:rPr>
                <w:rFonts w:hint="eastAsia" w:ascii="宋体" w:hAnsi="宋体"/>
                <w:sz w:val="18"/>
                <w:szCs w:val="18"/>
              </w:rPr>
              <w:t>2,065,134.67</w:t>
            </w:r>
          </w:p>
        </w:tc>
      </w:tr>
      <w:tr w14:paraId="0D07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3CDB0CEB">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3A8B596E">
            <w:r>
              <w:rPr>
                <w:rFonts w:hint="eastAsia" w:ascii="宋体" w:hAnsi="宋体"/>
                <w:sz w:val="18"/>
                <w:szCs w:val="18"/>
              </w:rPr>
              <w:t>荣成好当家物业服务有限公司</w:t>
            </w:r>
          </w:p>
        </w:tc>
        <w:tc>
          <w:tcPr>
            <w:tcW w:w="1205" w:type="pct"/>
            <w:tcBorders>
              <w:top w:val="single" w:color="auto" w:sz="4" w:space="0"/>
              <w:left w:val="single" w:color="auto" w:sz="4" w:space="0"/>
              <w:bottom w:val="single" w:color="auto" w:sz="4" w:space="0"/>
              <w:right w:val="single" w:color="auto" w:sz="4" w:space="0"/>
            </w:tcBorders>
          </w:tcPr>
          <w:p w14:paraId="0EF2A46F">
            <w:pPr>
              <w:jc w:val="right"/>
              <w:rPr>
                <w:sz w:val="18"/>
                <w:szCs w:val="18"/>
              </w:rPr>
            </w:pPr>
          </w:p>
        </w:tc>
        <w:tc>
          <w:tcPr>
            <w:tcW w:w="1227" w:type="pct"/>
            <w:tcBorders>
              <w:top w:val="single" w:color="auto" w:sz="4" w:space="0"/>
              <w:left w:val="single" w:color="auto" w:sz="4" w:space="0"/>
              <w:bottom w:val="single" w:color="auto" w:sz="4" w:space="0"/>
              <w:right w:val="single" w:color="auto" w:sz="4" w:space="0"/>
            </w:tcBorders>
            <w:vAlign w:val="center"/>
          </w:tcPr>
          <w:p w14:paraId="0D9AF724">
            <w:pPr>
              <w:jc w:val="right"/>
            </w:pPr>
            <w:r>
              <w:rPr>
                <w:rFonts w:hint="eastAsia" w:ascii="宋体" w:hAnsi="宋体"/>
                <w:sz w:val="18"/>
                <w:szCs w:val="18"/>
              </w:rPr>
              <w:t>54,200.00</w:t>
            </w:r>
          </w:p>
        </w:tc>
      </w:tr>
      <w:tr w14:paraId="542A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704BAA29">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21CBC741">
            <w:r>
              <w:rPr>
                <w:rFonts w:hint="eastAsia" w:ascii="宋体" w:hAnsi="宋体"/>
                <w:sz w:val="18"/>
                <w:szCs w:val="18"/>
              </w:rPr>
              <w:t>荣成好和玻璃钢制品有限公司</w:t>
            </w:r>
          </w:p>
        </w:tc>
        <w:tc>
          <w:tcPr>
            <w:tcW w:w="1205" w:type="pct"/>
            <w:tcBorders>
              <w:top w:val="single" w:color="auto" w:sz="4" w:space="0"/>
              <w:left w:val="single" w:color="auto" w:sz="4" w:space="0"/>
              <w:bottom w:val="single" w:color="auto" w:sz="4" w:space="0"/>
              <w:right w:val="single" w:color="auto" w:sz="4" w:space="0"/>
            </w:tcBorders>
          </w:tcPr>
          <w:p w14:paraId="21A7D2DF">
            <w:pPr>
              <w:jc w:val="right"/>
              <w:rPr>
                <w:sz w:val="18"/>
                <w:szCs w:val="18"/>
              </w:rPr>
            </w:pPr>
            <w:r>
              <w:rPr>
                <w:sz w:val="18"/>
                <w:szCs w:val="18"/>
              </w:rPr>
              <w:t>11,797.00</w:t>
            </w:r>
          </w:p>
        </w:tc>
        <w:tc>
          <w:tcPr>
            <w:tcW w:w="1227" w:type="pct"/>
            <w:tcBorders>
              <w:top w:val="single" w:color="auto" w:sz="4" w:space="0"/>
              <w:left w:val="single" w:color="auto" w:sz="4" w:space="0"/>
              <w:bottom w:val="single" w:color="auto" w:sz="4" w:space="0"/>
              <w:right w:val="single" w:color="auto" w:sz="4" w:space="0"/>
            </w:tcBorders>
            <w:vAlign w:val="center"/>
          </w:tcPr>
          <w:p w14:paraId="3E5168B6">
            <w:pPr>
              <w:jc w:val="right"/>
            </w:pPr>
            <w:r>
              <w:rPr>
                <w:rFonts w:hint="eastAsia" w:ascii="宋体" w:hAnsi="宋体"/>
                <w:sz w:val="18"/>
                <w:szCs w:val="18"/>
              </w:rPr>
              <w:t>11,797.00</w:t>
            </w:r>
          </w:p>
        </w:tc>
      </w:tr>
      <w:tr w14:paraId="49B8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2E5C24FE">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2003F4D3">
            <w:r>
              <w:rPr>
                <w:rFonts w:hint="eastAsia" w:ascii="宋体" w:hAnsi="宋体"/>
                <w:sz w:val="18"/>
                <w:szCs w:val="18"/>
              </w:rPr>
              <w:t>荣成加荣食品有限公司</w:t>
            </w:r>
          </w:p>
        </w:tc>
        <w:tc>
          <w:tcPr>
            <w:tcW w:w="1205" w:type="pct"/>
            <w:tcBorders>
              <w:top w:val="single" w:color="auto" w:sz="4" w:space="0"/>
              <w:left w:val="single" w:color="auto" w:sz="4" w:space="0"/>
              <w:bottom w:val="single" w:color="auto" w:sz="4" w:space="0"/>
              <w:right w:val="single" w:color="auto" w:sz="4" w:space="0"/>
            </w:tcBorders>
          </w:tcPr>
          <w:p w14:paraId="52D4003E">
            <w:pPr>
              <w:jc w:val="right"/>
              <w:rPr>
                <w:sz w:val="18"/>
                <w:szCs w:val="18"/>
              </w:rPr>
            </w:pPr>
            <w:r>
              <w:rPr>
                <w:sz w:val="18"/>
                <w:szCs w:val="18"/>
              </w:rPr>
              <w:t>3,733,635.29</w:t>
            </w:r>
          </w:p>
        </w:tc>
        <w:tc>
          <w:tcPr>
            <w:tcW w:w="1227" w:type="pct"/>
            <w:tcBorders>
              <w:top w:val="single" w:color="auto" w:sz="4" w:space="0"/>
              <w:left w:val="single" w:color="auto" w:sz="4" w:space="0"/>
              <w:bottom w:val="single" w:color="auto" w:sz="4" w:space="0"/>
              <w:right w:val="single" w:color="auto" w:sz="4" w:space="0"/>
            </w:tcBorders>
            <w:vAlign w:val="center"/>
          </w:tcPr>
          <w:p w14:paraId="2A1A3034">
            <w:pPr>
              <w:jc w:val="right"/>
            </w:pPr>
            <w:r>
              <w:rPr>
                <w:rFonts w:hint="eastAsia" w:ascii="宋体" w:hAnsi="宋体"/>
                <w:sz w:val="18"/>
                <w:szCs w:val="18"/>
              </w:rPr>
              <w:t>1,261,358.74</w:t>
            </w:r>
          </w:p>
        </w:tc>
      </w:tr>
      <w:tr w14:paraId="29F9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1CA5662F">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104DE9C6">
            <w:r>
              <w:rPr>
                <w:rFonts w:hint="eastAsia" w:ascii="宋体" w:hAnsi="宋体"/>
                <w:sz w:val="18"/>
                <w:szCs w:val="18"/>
              </w:rPr>
              <w:t>荣成邱家水产有限公司</w:t>
            </w:r>
          </w:p>
        </w:tc>
        <w:tc>
          <w:tcPr>
            <w:tcW w:w="1205" w:type="pct"/>
            <w:tcBorders>
              <w:top w:val="single" w:color="auto" w:sz="4" w:space="0"/>
              <w:left w:val="single" w:color="auto" w:sz="4" w:space="0"/>
              <w:bottom w:val="single" w:color="auto" w:sz="4" w:space="0"/>
              <w:right w:val="single" w:color="auto" w:sz="4" w:space="0"/>
            </w:tcBorders>
          </w:tcPr>
          <w:p w14:paraId="180E1C76">
            <w:pPr>
              <w:jc w:val="right"/>
              <w:rPr>
                <w:sz w:val="18"/>
                <w:szCs w:val="18"/>
              </w:rPr>
            </w:pPr>
            <w:r>
              <w:rPr>
                <w:sz w:val="18"/>
                <w:szCs w:val="18"/>
              </w:rPr>
              <w:t>6,424,538.41</w:t>
            </w:r>
          </w:p>
        </w:tc>
        <w:tc>
          <w:tcPr>
            <w:tcW w:w="1227" w:type="pct"/>
            <w:tcBorders>
              <w:top w:val="single" w:color="auto" w:sz="4" w:space="0"/>
              <w:left w:val="single" w:color="auto" w:sz="4" w:space="0"/>
              <w:bottom w:val="single" w:color="auto" w:sz="4" w:space="0"/>
              <w:right w:val="single" w:color="auto" w:sz="4" w:space="0"/>
            </w:tcBorders>
            <w:vAlign w:val="center"/>
          </w:tcPr>
          <w:p w14:paraId="706691F0">
            <w:pPr>
              <w:jc w:val="right"/>
            </w:pPr>
            <w:r>
              <w:rPr>
                <w:rFonts w:hint="eastAsia" w:ascii="宋体" w:hAnsi="宋体"/>
                <w:sz w:val="18"/>
                <w:szCs w:val="18"/>
              </w:rPr>
              <w:t>10,533,993.66</w:t>
            </w:r>
          </w:p>
        </w:tc>
      </w:tr>
      <w:tr w14:paraId="32BD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0605BA1F">
            <w:pPr>
              <w:rPr>
                <w:rFonts w:hint="eastAsia" w:ascii="宋体" w:hAnsi="宋体"/>
                <w:sz w:val="18"/>
                <w:szCs w:val="18"/>
              </w:rPr>
            </w:pPr>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24C1FDFF">
            <w:pPr>
              <w:rPr>
                <w:rFonts w:hint="eastAsia" w:ascii="宋体" w:hAnsi="宋体"/>
                <w:sz w:val="18"/>
                <w:szCs w:val="18"/>
              </w:rPr>
            </w:pPr>
            <w:r>
              <w:rPr>
                <w:rFonts w:hint="eastAsia" w:ascii="宋体" w:hAnsi="宋体"/>
                <w:sz w:val="18"/>
                <w:szCs w:val="18"/>
              </w:rPr>
              <w:t>山东邱家实业有限公司</w:t>
            </w:r>
          </w:p>
        </w:tc>
        <w:tc>
          <w:tcPr>
            <w:tcW w:w="1205" w:type="pct"/>
            <w:tcBorders>
              <w:top w:val="single" w:color="auto" w:sz="4" w:space="0"/>
              <w:left w:val="single" w:color="auto" w:sz="4" w:space="0"/>
              <w:bottom w:val="single" w:color="auto" w:sz="4" w:space="0"/>
              <w:right w:val="single" w:color="auto" w:sz="4" w:space="0"/>
            </w:tcBorders>
          </w:tcPr>
          <w:p w14:paraId="4139E518">
            <w:pPr>
              <w:jc w:val="right"/>
              <w:rPr>
                <w:sz w:val="18"/>
                <w:szCs w:val="18"/>
              </w:rPr>
            </w:pPr>
            <w:r>
              <w:rPr>
                <w:sz w:val="18"/>
                <w:szCs w:val="18"/>
              </w:rPr>
              <w:t>1,775,600.00</w:t>
            </w:r>
          </w:p>
        </w:tc>
        <w:tc>
          <w:tcPr>
            <w:tcW w:w="1227" w:type="pct"/>
            <w:tcBorders>
              <w:top w:val="single" w:color="auto" w:sz="4" w:space="0"/>
              <w:left w:val="single" w:color="auto" w:sz="4" w:space="0"/>
              <w:bottom w:val="single" w:color="auto" w:sz="4" w:space="0"/>
              <w:right w:val="single" w:color="auto" w:sz="4" w:space="0"/>
            </w:tcBorders>
            <w:vAlign w:val="center"/>
          </w:tcPr>
          <w:p w14:paraId="6516B22B">
            <w:pPr>
              <w:jc w:val="right"/>
              <w:rPr>
                <w:rFonts w:hint="eastAsia" w:ascii="宋体" w:hAnsi="宋体"/>
                <w:sz w:val="18"/>
                <w:szCs w:val="18"/>
              </w:rPr>
            </w:pPr>
          </w:p>
        </w:tc>
      </w:tr>
      <w:tr w14:paraId="14646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1701E072">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3E0C3840">
            <w:r>
              <w:rPr>
                <w:rFonts w:hint="eastAsia" w:ascii="宋体" w:hAnsi="宋体"/>
                <w:sz w:val="18"/>
                <w:szCs w:val="18"/>
              </w:rPr>
              <w:t>荣成荣安建筑工程有限公司</w:t>
            </w:r>
          </w:p>
        </w:tc>
        <w:tc>
          <w:tcPr>
            <w:tcW w:w="1205" w:type="pct"/>
            <w:tcBorders>
              <w:top w:val="single" w:color="auto" w:sz="4" w:space="0"/>
              <w:left w:val="single" w:color="auto" w:sz="4" w:space="0"/>
              <w:bottom w:val="single" w:color="auto" w:sz="4" w:space="0"/>
              <w:right w:val="single" w:color="auto" w:sz="4" w:space="0"/>
            </w:tcBorders>
          </w:tcPr>
          <w:p w14:paraId="75D6C9FC">
            <w:pPr>
              <w:jc w:val="right"/>
              <w:rPr>
                <w:sz w:val="18"/>
                <w:szCs w:val="18"/>
              </w:rPr>
            </w:pPr>
            <w:r>
              <w:rPr>
                <w:sz w:val="18"/>
                <w:szCs w:val="18"/>
              </w:rPr>
              <w:t>883,647.62</w:t>
            </w:r>
          </w:p>
        </w:tc>
        <w:tc>
          <w:tcPr>
            <w:tcW w:w="1227" w:type="pct"/>
            <w:tcBorders>
              <w:top w:val="single" w:color="auto" w:sz="4" w:space="0"/>
              <w:left w:val="single" w:color="auto" w:sz="4" w:space="0"/>
              <w:bottom w:val="single" w:color="auto" w:sz="4" w:space="0"/>
              <w:right w:val="single" w:color="auto" w:sz="4" w:space="0"/>
            </w:tcBorders>
            <w:vAlign w:val="center"/>
          </w:tcPr>
          <w:p w14:paraId="4C0FC77A">
            <w:pPr>
              <w:jc w:val="right"/>
            </w:pPr>
            <w:r>
              <w:rPr>
                <w:rFonts w:hint="eastAsia" w:ascii="宋体" w:hAnsi="宋体"/>
                <w:sz w:val="18"/>
                <w:szCs w:val="18"/>
              </w:rPr>
              <w:t>873,220.62</w:t>
            </w:r>
          </w:p>
        </w:tc>
      </w:tr>
      <w:tr w14:paraId="6EAF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7CF39AE2">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2889C3DE">
            <w:r>
              <w:rPr>
                <w:rFonts w:hint="eastAsia" w:ascii="宋体" w:hAnsi="宋体"/>
                <w:sz w:val="18"/>
                <w:szCs w:val="18"/>
              </w:rPr>
              <w:t>荣成荣昌纸制品有限公司</w:t>
            </w:r>
          </w:p>
        </w:tc>
        <w:tc>
          <w:tcPr>
            <w:tcW w:w="1205" w:type="pct"/>
            <w:tcBorders>
              <w:top w:val="single" w:color="auto" w:sz="4" w:space="0"/>
              <w:left w:val="single" w:color="auto" w:sz="4" w:space="0"/>
              <w:bottom w:val="single" w:color="auto" w:sz="4" w:space="0"/>
              <w:right w:val="single" w:color="auto" w:sz="4" w:space="0"/>
            </w:tcBorders>
          </w:tcPr>
          <w:p w14:paraId="482BE78D">
            <w:pPr>
              <w:jc w:val="right"/>
              <w:rPr>
                <w:sz w:val="18"/>
                <w:szCs w:val="18"/>
              </w:rPr>
            </w:pPr>
            <w:r>
              <w:rPr>
                <w:sz w:val="18"/>
                <w:szCs w:val="18"/>
              </w:rPr>
              <w:t>24,927.01</w:t>
            </w:r>
          </w:p>
        </w:tc>
        <w:tc>
          <w:tcPr>
            <w:tcW w:w="1227" w:type="pct"/>
            <w:tcBorders>
              <w:top w:val="single" w:color="auto" w:sz="4" w:space="0"/>
              <w:left w:val="single" w:color="auto" w:sz="4" w:space="0"/>
              <w:bottom w:val="single" w:color="auto" w:sz="4" w:space="0"/>
              <w:right w:val="single" w:color="auto" w:sz="4" w:space="0"/>
            </w:tcBorders>
            <w:vAlign w:val="center"/>
          </w:tcPr>
          <w:p w14:paraId="575EE623">
            <w:pPr>
              <w:jc w:val="right"/>
            </w:pPr>
            <w:r>
              <w:rPr>
                <w:rFonts w:hint="eastAsia" w:ascii="宋体" w:hAnsi="宋体"/>
                <w:sz w:val="18"/>
                <w:szCs w:val="18"/>
              </w:rPr>
              <w:t>24,927.01</w:t>
            </w:r>
          </w:p>
        </w:tc>
      </w:tr>
      <w:tr w14:paraId="125E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33D54628">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17F14267">
            <w:r>
              <w:rPr>
                <w:rFonts w:hint="eastAsia" w:ascii="宋体" w:hAnsi="宋体"/>
                <w:sz w:val="18"/>
                <w:szCs w:val="18"/>
              </w:rPr>
              <w:t>荣成荣盛包装材料有限公司</w:t>
            </w:r>
          </w:p>
        </w:tc>
        <w:tc>
          <w:tcPr>
            <w:tcW w:w="1205" w:type="pct"/>
            <w:tcBorders>
              <w:top w:val="single" w:color="auto" w:sz="4" w:space="0"/>
              <w:left w:val="single" w:color="auto" w:sz="4" w:space="0"/>
              <w:bottom w:val="single" w:color="auto" w:sz="4" w:space="0"/>
              <w:right w:val="single" w:color="auto" w:sz="4" w:space="0"/>
            </w:tcBorders>
          </w:tcPr>
          <w:p w14:paraId="1D8D230A">
            <w:pPr>
              <w:jc w:val="right"/>
              <w:rPr>
                <w:sz w:val="18"/>
                <w:szCs w:val="18"/>
              </w:rPr>
            </w:pPr>
            <w:r>
              <w:rPr>
                <w:sz w:val="18"/>
                <w:szCs w:val="18"/>
              </w:rPr>
              <w:t>3,398,977.96</w:t>
            </w:r>
          </w:p>
        </w:tc>
        <w:tc>
          <w:tcPr>
            <w:tcW w:w="1227" w:type="pct"/>
            <w:tcBorders>
              <w:top w:val="single" w:color="auto" w:sz="4" w:space="0"/>
              <w:left w:val="single" w:color="auto" w:sz="4" w:space="0"/>
              <w:bottom w:val="single" w:color="auto" w:sz="4" w:space="0"/>
              <w:right w:val="single" w:color="auto" w:sz="4" w:space="0"/>
            </w:tcBorders>
            <w:vAlign w:val="center"/>
          </w:tcPr>
          <w:p w14:paraId="4A860442">
            <w:pPr>
              <w:jc w:val="right"/>
            </w:pPr>
            <w:r>
              <w:rPr>
                <w:rFonts w:hint="eastAsia" w:ascii="宋体" w:hAnsi="宋体"/>
                <w:sz w:val="18"/>
                <w:szCs w:val="18"/>
              </w:rPr>
              <w:t>2,473,692.88</w:t>
            </w:r>
          </w:p>
        </w:tc>
      </w:tr>
      <w:tr w14:paraId="7B43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27669359">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252F979F">
            <w:r>
              <w:rPr>
                <w:rFonts w:hint="eastAsia" w:ascii="宋体" w:hAnsi="宋体"/>
                <w:sz w:val="18"/>
                <w:szCs w:val="18"/>
              </w:rPr>
              <w:t>荣成荣研食品有限公司</w:t>
            </w:r>
          </w:p>
        </w:tc>
        <w:tc>
          <w:tcPr>
            <w:tcW w:w="1205" w:type="pct"/>
            <w:tcBorders>
              <w:top w:val="single" w:color="auto" w:sz="4" w:space="0"/>
              <w:left w:val="single" w:color="auto" w:sz="4" w:space="0"/>
              <w:bottom w:val="single" w:color="auto" w:sz="4" w:space="0"/>
              <w:right w:val="single" w:color="auto" w:sz="4" w:space="0"/>
            </w:tcBorders>
          </w:tcPr>
          <w:p w14:paraId="2DD883E2">
            <w:pPr>
              <w:jc w:val="right"/>
              <w:rPr>
                <w:sz w:val="18"/>
                <w:szCs w:val="18"/>
              </w:rPr>
            </w:pPr>
            <w:r>
              <w:rPr>
                <w:sz w:val="18"/>
                <w:szCs w:val="18"/>
              </w:rPr>
              <w:t>655,282.80</w:t>
            </w:r>
          </w:p>
        </w:tc>
        <w:tc>
          <w:tcPr>
            <w:tcW w:w="1227" w:type="pct"/>
            <w:tcBorders>
              <w:top w:val="single" w:color="auto" w:sz="4" w:space="0"/>
              <w:left w:val="single" w:color="auto" w:sz="4" w:space="0"/>
              <w:bottom w:val="single" w:color="auto" w:sz="4" w:space="0"/>
              <w:right w:val="single" w:color="auto" w:sz="4" w:space="0"/>
            </w:tcBorders>
            <w:vAlign w:val="center"/>
          </w:tcPr>
          <w:p w14:paraId="664835C3">
            <w:pPr>
              <w:jc w:val="right"/>
            </w:pPr>
            <w:r>
              <w:rPr>
                <w:rFonts w:hint="eastAsia" w:ascii="宋体" w:hAnsi="宋体"/>
                <w:sz w:val="18"/>
                <w:szCs w:val="18"/>
              </w:rPr>
              <w:t>578,432.80</w:t>
            </w:r>
          </w:p>
        </w:tc>
      </w:tr>
      <w:tr w14:paraId="3F39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6AD02D6E">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4F6BC0EF">
            <w:r>
              <w:rPr>
                <w:rFonts w:hint="eastAsia" w:ascii="宋体" w:hAnsi="宋体"/>
                <w:sz w:val="18"/>
                <w:szCs w:val="18"/>
              </w:rPr>
              <w:t>荣成市好当家物业服务有限公司</w:t>
            </w:r>
          </w:p>
        </w:tc>
        <w:tc>
          <w:tcPr>
            <w:tcW w:w="1205" w:type="pct"/>
            <w:tcBorders>
              <w:top w:val="single" w:color="auto" w:sz="4" w:space="0"/>
              <w:left w:val="single" w:color="auto" w:sz="4" w:space="0"/>
              <w:bottom w:val="single" w:color="auto" w:sz="4" w:space="0"/>
              <w:right w:val="single" w:color="auto" w:sz="4" w:space="0"/>
            </w:tcBorders>
          </w:tcPr>
          <w:p w14:paraId="73D560EB">
            <w:pPr>
              <w:jc w:val="right"/>
              <w:rPr>
                <w:sz w:val="18"/>
                <w:szCs w:val="18"/>
              </w:rPr>
            </w:pPr>
            <w:r>
              <w:rPr>
                <w:sz w:val="18"/>
                <w:szCs w:val="18"/>
              </w:rPr>
              <w:t>130,500.00</w:t>
            </w:r>
          </w:p>
        </w:tc>
        <w:tc>
          <w:tcPr>
            <w:tcW w:w="1227" w:type="pct"/>
            <w:tcBorders>
              <w:top w:val="single" w:color="auto" w:sz="4" w:space="0"/>
              <w:left w:val="single" w:color="auto" w:sz="4" w:space="0"/>
              <w:bottom w:val="single" w:color="auto" w:sz="4" w:space="0"/>
              <w:right w:val="single" w:color="auto" w:sz="4" w:space="0"/>
            </w:tcBorders>
            <w:vAlign w:val="center"/>
          </w:tcPr>
          <w:p w14:paraId="5BF41E3E">
            <w:pPr>
              <w:jc w:val="right"/>
            </w:pPr>
            <w:r>
              <w:rPr>
                <w:rFonts w:hint="eastAsia" w:ascii="宋体" w:hAnsi="宋体"/>
                <w:sz w:val="18"/>
                <w:szCs w:val="18"/>
              </w:rPr>
              <w:t>94,300.00</w:t>
            </w:r>
          </w:p>
        </w:tc>
      </w:tr>
      <w:tr w14:paraId="607D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0FA2AABD">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6E7CBE3E">
            <w:r>
              <w:rPr>
                <w:rFonts w:hint="eastAsia" w:ascii="宋体" w:hAnsi="宋体"/>
                <w:sz w:val="18"/>
                <w:szCs w:val="18"/>
              </w:rPr>
              <w:t>荣成市荣航安装有限公司</w:t>
            </w:r>
          </w:p>
        </w:tc>
        <w:tc>
          <w:tcPr>
            <w:tcW w:w="1205" w:type="pct"/>
            <w:tcBorders>
              <w:top w:val="single" w:color="auto" w:sz="4" w:space="0"/>
              <w:left w:val="single" w:color="auto" w:sz="4" w:space="0"/>
              <w:bottom w:val="single" w:color="auto" w:sz="4" w:space="0"/>
              <w:right w:val="single" w:color="auto" w:sz="4" w:space="0"/>
            </w:tcBorders>
          </w:tcPr>
          <w:p w14:paraId="429B4975">
            <w:pPr>
              <w:jc w:val="right"/>
              <w:rPr>
                <w:sz w:val="18"/>
                <w:szCs w:val="18"/>
              </w:rPr>
            </w:pPr>
            <w:r>
              <w:rPr>
                <w:sz w:val="18"/>
                <w:szCs w:val="18"/>
              </w:rPr>
              <w:t>1,042,852.30</w:t>
            </w:r>
          </w:p>
        </w:tc>
        <w:tc>
          <w:tcPr>
            <w:tcW w:w="1227" w:type="pct"/>
            <w:tcBorders>
              <w:top w:val="single" w:color="auto" w:sz="4" w:space="0"/>
              <w:left w:val="single" w:color="auto" w:sz="4" w:space="0"/>
              <w:bottom w:val="single" w:color="auto" w:sz="4" w:space="0"/>
              <w:right w:val="single" w:color="auto" w:sz="4" w:space="0"/>
            </w:tcBorders>
            <w:vAlign w:val="center"/>
          </w:tcPr>
          <w:p w14:paraId="5A5DEDEF">
            <w:pPr>
              <w:jc w:val="right"/>
            </w:pPr>
            <w:r>
              <w:rPr>
                <w:rFonts w:hint="eastAsia" w:ascii="宋体" w:hAnsi="宋体"/>
                <w:sz w:val="18"/>
                <w:szCs w:val="18"/>
              </w:rPr>
              <w:t>10,990.00</w:t>
            </w:r>
          </w:p>
        </w:tc>
      </w:tr>
      <w:tr w14:paraId="0B3A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blHeader/>
        </w:trPr>
        <w:tc>
          <w:tcPr>
            <w:tcW w:w="640" w:type="pct"/>
            <w:tcBorders>
              <w:top w:val="single" w:color="auto" w:sz="4" w:space="0"/>
              <w:left w:val="single" w:color="auto" w:sz="4" w:space="0"/>
              <w:right w:val="single" w:color="auto" w:sz="4" w:space="0"/>
            </w:tcBorders>
            <w:vAlign w:val="center"/>
          </w:tcPr>
          <w:p w14:paraId="43487CB4">
            <w:pPr>
              <w:rPr>
                <w:rFonts w:hint="eastAsia" w:ascii="宋体" w:hAnsi="宋体"/>
                <w:sz w:val="18"/>
                <w:szCs w:val="18"/>
              </w:rPr>
            </w:pPr>
            <w:r>
              <w:rPr>
                <w:rFonts w:hint="eastAsia" w:ascii="宋体" w:hAnsi="宋体"/>
                <w:sz w:val="18"/>
                <w:szCs w:val="18"/>
              </w:rPr>
              <w:t>应付账款</w:t>
            </w:r>
          </w:p>
        </w:tc>
        <w:tc>
          <w:tcPr>
            <w:tcW w:w="1927" w:type="pct"/>
            <w:tcBorders>
              <w:top w:val="single" w:color="auto" w:sz="4" w:space="0"/>
              <w:left w:val="single" w:color="auto" w:sz="4" w:space="0"/>
              <w:right w:val="single" w:color="auto" w:sz="4" w:space="0"/>
            </w:tcBorders>
            <w:vAlign w:val="center"/>
          </w:tcPr>
          <w:p w14:paraId="4EE4D14B">
            <w:pPr>
              <w:rPr>
                <w:rFonts w:hint="eastAsia" w:ascii="宋体" w:hAnsi="宋体"/>
                <w:sz w:val="18"/>
                <w:szCs w:val="18"/>
              </w:rPr>
            </w:pPr>
            <w:r>
              <w:rPr>
                <w:rFonts w:hint="eastAsia" w:ascii="宋体" w:hAnsi="宋体"/>
                <w:sz w:val="18"/>
                <w:szCs w:val="18"/>
              </w:rPr>
              <w:t>荣成市好当家船舶制造有限公司</w:t>
            </w:r>
          </w:p>
        </w:tc>
        <w:tc>
          <w:tcPr>
            <w:tcW w:w="1205" w:type="pct"/>
            <w:tcBorders>
              <w:top w:val="single" w:color="auto" w:sz="4" w:space="0"/>
              <w:left w:val="single" w:color="auto" w:sz="4" w:space="0"/>
              <w:bottom w:val="single" w:color="auto" w:sz="4" w:space="0"/>
              <w:right w:val="single" w:color="auto" w:sz="4" w:space="0"/>
            </w:tcBorders>
          </w:tcPr>
          <w:p w14:paraId="3B3E0429">
            <w:pPr>
              <w:jc w:val="right"/>
              <w:rPr>
                <w:sz w:val="18"/>
                <w:szCs w:val="18"/>
              </w:rPr>
            </w:pPr>
            <w:r>
              <w:rPr>
                <w:sz w:val="18"/>
                <w:szCs w:val="18"/>
              </w:rPr>
              <w:t>42,000.00</w:t>
            </w:r>
          </w:p>
        </w:tc>
        <w:tc>
          <w:tcPr>
            <w:tcW w:w="1227" w:type="pct"/>
            <w:tcBorders>
              <w:top w:val="single" w:color="auto" w:sz="4" w:space="0"/>
              <w:left w:val="single" w:color="auto" w:sz="4" w:space="0"/>
              <w:bottom w:val="single" w:color="auto" w:sz="4" w:space="0"/>
              <w:right w:val="single" w:color="auto" w:sz="4" w:space="0"/>
            </w:tcBorders>
            <w:vAlign w:val="center"/>
          </w:tcPr>
          <w:p w14:paraId="55327189">
            <w:pPr>
              <w:jc w:val="right"/>
              <w:rPr>
                <w:rFonts w:hint="eastAsia" w:ascii="宋体" w:hAnsi="宋体"/>
                <w:sz w:val="18"/>
                <w:szCs w:val="18"/>
              </w:rPr>
            </w:pPr>
          </w:p>
        </w:tc>
      </w:tr>
      <w:tr w14:paraId="14DE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13145C5B">
            <w:pPr>
              <w:autoSpaceDE w:val="0"/>
              <w:autoSpaceDN w:val="0"/>
              <w:adjustRightInd w:val="0"/>
            </w:pPr>
            <w:r>
              <w:rPr>
                <w:rFonts w:hint="eastAsia" w:ascii="宋体" w:hAnsi="宋体"/>
                <w:sz w:val="18"/>
                <w:szCs w:val="18"/>
              </w:rPr>
              <w:t>应付账款</w:t>
            </w:r>
          </w:p>
        </w:tc>
        <w:tc>
          <w:tcPr>
            <w:tcW w:w="1927" w:type="pct"/>
            <w:tcBorders>
              <w:top w:val="single" w:color="auto" w:sz="4" w:space="0"/>
              <w:left w:val="single" w:color="auto" w:sz="4" w:space="0"/>
              <w:bottom w:val="single" w:color="auto" w:sz="4" w:space="0"/>
              <w:right w:val="single" w:color="auto" w:sz="4" w:space="0"/>
            </w:tcBorders>
            <w:vAlign w:val="center"/>
          </w:tcPr>
          <w:p w14:paraId="0F27DD70">
            <w:pPr>
              <w:autoSpaceDE w:val="0"/>
              <w:autoSpaceDN w:val="0"/>
              <w:adjustRightInd w:val="0"/>
            </w:pPr>
            <w:r>
              <w:rPr>
                <w:rFonts w:hint="eastAsia" w:ascii="宋体" w:hAnsi="宋体"/>
                <w:sz w:val="18"/>
                <w:szCs w:val="18"/>
              </w:rPr>
              <w:t>山东惠民好当家食品有限公司</w:t>
            </w:r>
          </w:p>
        </w:tc>
        <w:tc>
          <w:tcPr>
            <w:tcW w:w="1205" w:type="pct"/>
            <w:tcBorders>
              <w:top w:val="single" w:color="auto" w:sz="4" w:space="0"/>
              <w:left w:val="single" w:color="auto" w:sz="4" w:space="0"/>
              <w:bottom w:val="single" w:color="auto" w:sz="4" w:space="0"/>
              <w:right w:val="single" w:color="auto" w:sz="4" w:space="0"/>
            </w:tcBorders>
          </w:tcPr>
          <w:p w14:paraId="0766C504">
            <w:pPr>
              <w:autoSpaceDE w:val="0"/>
              <w:autoSpaceDN w:val="0"/>
              <w:adjustRightInd w:val="0"/>
              <w:jc w:val="right"/>
              <w:rPr>
                <w:sz w:val="18"/>
                <w:szCs w:val="18"/>
              </w:rPr>
            </w:pPr>
            <w:r>
              <w:rPr>
                <w:sz w:val="18"/>
                <w:szCs w:val="18"/>
              </w:rPr>
              <w:t>265,605.86</w:t>
            </w:r>
          </w:p>
        </w:tc>
        <w:tc>
          <w:tcPr>
            <w:tcW w:w="1227" w:type="pct"/>
            <w:tcBorders>
              <w:top w:val="single" w:color="auto" w:sz="4" w:space="0"/>
              <w:left w:val="single" w:color="auto" w:sz="4" w:space="0"/>
              <w:bottom w:val="single" w:color="auto" w:sz="4" w:space="0"/>
              <w:right w:val="single" w:color="auto" w:sz="4" w:space="0"/>
            </w:tcBorders>
            <w:vAlign w:val="center"/>
          </w:tcPr>
          <w:p w14:paraId="0CA0EE31">
            <w:pPr>
              <w:autoSpaceDE w:val="0"/>
              <w:autoSpaceDN w:val="0"/>
              <w:adjustRightInd w:val="0"/>
              <w:jc w:val="right"/>
            </w:pPr>
            <w:r>
              <w:rPr>
                <w:rFonts w:hint="eastAsia" w:ascii="宋体" w:hAnsi="宋体"/>
                <w:sz w:val="18"/>
                <w:szCs w:val="18"/>
              </w:rPr>
              <w:t>32,033.43</w:t>
            </w:r>
          </w:p>
        </w:tc>
      </w:tr>
      <w:tr w14:paraId="425E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65061C63">
            <w:pPr>
              <w:autoSpaceDE w:val="0"/>
              <w:autoSpaceDN w:val="0"/>
              <w:adjustRightInd w:val="0"/>
            </w:pPr>
            <w:r>
              <w:rPr>
                <w:rFonts w:hint="eastAsia" w:ascii="宋体" w:hAnsi="宋体"/>
                <w:sz w:val="18"/>
                <w:szCs w:val="18"/>
              </w:rPr>
              <w:t>应付账款</w:t>
            </w:r>
          </w:p>
        </w:tc>
        <w:tc>
          <w:tcPr>
            <w:tcW w:w="1927" w:type="pct"/>
            <w:tcBorders>
              <w:top w:val="single" w:color="auto" w:sz="4" w:space="0"/>
              <w:left w:val="single" w:color="auto" w:sz="4" w:space="0"/>
              <w:bottom w:val="single" w:color="auto" w:sz="4" w:space="0"/>
              <w:right w:val="single" w:color="auto" w:sz="4" w:space="0"/>
            </w:tcBorders>
            <w:vAlign w:val="center"/>
          </w:tcPr>
          <w:p w14:paraId="367BDD61">
            <w:pPr>
              <w:autoSpaceDE w:val="0"/>
              <w:autoSpaceDN w:val="0"/>
              <w:adjustRightInd w:val="0"/>
            </w:pPr>
            <w:r>
              <w:rPr>
                <w:rFonts w:hint="eastAsia" w:ascii="宋体" w:hAnsi="宋体"/>
                <w:sz w:val="18"/>
                <w:szCs w:val="18"/>
              </w:rPr>
              <w:t>威海好当家调味品有限公司</w:t>
            </w:r>
          </w:p>
        </w:tc>
        <w:tc>
          <w:tcPr>
            <w:tcW w:w="1205" w:type="pct"/>
            <w:tcBorders>
              <w:top w:val="single" w:color="auto" w:sz="4" w:space="0"/>
              <w:left w:val="single" w:color="auto" w:sz="4" w:space="0"/>
              <w:bottom w:val="single" w:color="auto" w:sz="4" w:space="0"/>
              <w:right w:val="single" w:color="auto" w:sz="4" w:space="0"/>
            </w:tcBorders>
          </w:tcPr>
          <w:p w14:paraId="48E89CCB">
            <w:pPr>
              <w:autoSpaceDE w:val="0"/>
              <w:autoSpaceDN w:val="0"/>
              <w:adjustRightInd w:val="0"/>
              <w:jc w:val="right"/>
              <w:rPr>
                <w:sz w:val="18"/>
                <w:szCs w:val="18"/>
              </w:rPr>
            </w:pPr>
            <w:r>
              <w:rPr>
                <w:sz w:val="18"/>
                <w:szCs w:val="18"/>
              </w:rPr>
              <w:t>254,665.00</w:t>
            </w:r>
          </w:p>
        </w:tc>
        <w:tc>
          <w:tcPr>
            <w:tcW w:w="1227" w:type="pct"/>
            <w:tcBorders>
              <w:top w:val="single" w:color="auto" w:sz="4" w:space="0"/>
              <w:left w:val="single" w:color="auto" w:sz="4" w:space="0"/>
              <w:bottom w:val="single" w:color="auto" w:sz="4" w:space="0"/>
              <w:right w:val="single" w:color="auto" w:sz="4" w:space="0"/>
            </w:tcBorders>
            <w:vAlign w:val="center"/>
          </w:tcPr>
          <w:p w14:paraId="1ED3E753">
            <w:pPr>
              <w:autoSpaceDE w:val="0"/>
              <w:autoSpaceDN w:val="0"/>
              <w:adjustRightInd w:val="0"/>
              <w:jc w:val="right"/>
            </w:pPr>
            <w:r>
              <w:rPr>
                <w:rFonts w:hint="eastAsia" w:ascii="宋体" w:hAnsi="宋体"/>
                <w:sz w:val="18"/>
                <w:szCs w:val="18"/>
              </w:rPr>
              <w:t>134,998.50</w:t>
            </w:r>
          </w:p>
        </w:tc>
      </w:tr>
      <w:tr w14:paraId="1759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1EE6AA66">
            <w:pPr>
              <w:autoSpaceDE w:val="0"/>
              <w:autoSpaceDN w:val="0"/>
              <w:adjustRightInd w:val="0"/>
            </w:pPr>
            <w:r>
              <w:rPr>
                <w:rFonts w:hint="eastAsia" w:ascii="宋体" w:hAnsi="宋体"/>
                <w:sz w:val="18"/>
                <w:szCs w:val="18"/>
              </w:rPr>
              <w:t>应付账款</w:t>
            </w:r>
          </w:p>
        </w:tc>
        <w:tc>
          <w:tcPr>
            <w:tcW w:w="1927" w:type="pct"/>
            <w:tcBorders>
              <w:top w:val="single" w:color="auto" w:sz="4" w:space="0"/>
              <w:left w:val="single" w:color="auto" w:sz="4" w:space="0"/>
              <w:bottom w:val="single" w:color="auto" w:sz="4" w:space="0"/>
              <w:right w:val="single" w:color="auto" w:sz="4" w:space="0"/>
            </w:tcBorders>
            <w:vAlign w:val="center"/>
          </w:tcPr>
          <w:p w14:paraId="1223D90F">
            <w:pPr>
              <w:autoSpaceDE w:val="0"/>
              <w:autoSpaceDN w:val="0"/>
              <w:adjustRightInd w:val="0"/>
            </w:pPr>
            <w:r>
              <w:rPr>
                <w:rFonts w:hint="eastAsia" w:ascii="宋体" w:hAnsi="宋体"/>
                <w:sz w:val="18"/>
                <w:szCs w:val="18"/>
              </w:rPr>
              <w:t>威海好当家天海湾水城旅游服务有限公司</w:t>
            </w:r>
          </w:p>
        </w:tc>
        <w:tc>
          <w:tcPr>
            <w:tcW w:w="1205" w:type="pct"/>
            <w:tcBorders>
              <w:top w:val="single" w:color="auto" w:sz="4" w:space="0"/>
              <w:left w:val="single" w:color="auto" w:sz="4" w:space="0"/>
              <w:bottom w:val="single" w:color="auto" w:sz="4" w:space="0"/>
              <w:right w:val="single" w:color="auto" w:sz="4" w:space="0"/>
            </w:tcBorders>
          </w:tcPr>
          <w:p w14:paraId="044ACB4D">
            <w:pPr>
              <w:autoSpaceDE w:val="0"/>
              <w:autoSpaceDN w:val="0"/>
              <w:adjustRightInd w:val="0"/>
              <w:jc w:val="right"/>
              <w:rPr>
                <w:sz w:val="18"/>
                <w:szCs w:val="18"/>
              </w:rPr>
            </w:pPr>
            <w:r>
              <w:rPr>
                <w:sz w:val="18"/>
                <w:szCs w:val="18"/>
              </w:rPr>
              <w:t>417,287.33</w:t>
            </w:r>
          </w:p>
        </w:tc>
        <w:tc>
          <w:tcPr>
            <w:tcW w:w="1227" w:type="pct"/>
            <w:tcBorders>
              <w:top w:val="single" w:color="auto" w:sz="4" w:space="0"/>
              <w:left w:val="single" w:color="auto" w:sz="4" w:space="0"/>
              <w:bottom w:val="single" w:color="auto" w:sz="4" w:space="0"/>
              <w:right w:val="single" w:color="auto" w:sz="4" w:space="0"/>
            </w:tcBorders>
            <w:vAlign w:val="center"/>
          </w:tcPr>
          <w:p w14:paraId="4465FAF3">
            <w:pPr>
              <w:autoSpaceDE w:val="0"/>
              <w:autoSpaceDN w:val="0"/>
              <w:adjustRightInd w:val="0"/>
              <w:jc w:val="right"/>
            </w:pPr>
            <w:r>
              <w:rPr>
                <w:rFonts w:hint="eastAsia" w:ascii="宋体" w:hAnsi="宋体"/>
                <w:sz w:val="18"/>
                <w:szCs w:val="18"/>
              </w:rPr>
              <w:t>220,013.91</w:t>
            </w:r>
          </w:p>
        </w:tc>
      </w:tr>
      <w:tr w14:paraId="7471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3CB1D62A">
            <w:pPr>
              <w:autoSpaceDE w:val="0"/>
              <w:autoSpaceDN w:val="0"/>
              <w:adjustRightInd w:val="0"/>
            </w:pPr>
            <w:r>
              <w:rPr>
                <w:rFonts w:hint="eastAsia" w:ascii="宋体" w:hAnsi="宋体"/>
                <w:sz w:val="18"/>
                <w:szCs w:val="18"/>
              </w:rPr>
              <w:t>其他应付款</w:t>
            </w:r>
          </w:p>
        </w:tc>
        <w:tc>
          <w:tcPr>
            <w:tcW w:w="1927" w:type="pct"/>
            <w:tcBorders>
              <w:top w:val="single" w:color="auto" w:sz="4" w:space="0"/>
              <w:left w:val="single" w:color="auto" w:sz="4" w:space="0"/>
              <w:bottom w:val="single" w:color="auto" w:sz="4" w:space="0"/>
              <w:right w:val="single" w:color="auto" w:sz="4" w:space="0"/>
            </w:tcBorders>
            <w:vAlign w:val="center"/>
          </w:tcPr>
          <w:p w14:paraId="0D71DA8F">
            <w:pPr>
              <w:autoSpaceDE w:val="0"/>
              <w:autoSpaceDN w:val="0"/>
              <w:adjustRightInd w:val="0"/>
            </w:pPr>
            <w:r>
              <w:rPr>
                <w:rFonts w:hint="eastAsia" w:ascii="宋体" w:hAnsi="宋体"/>
                <w:sz w:val="18"/>
                <w:szCs w:val="18"/>
              </w:rPr>
              <w:t>好当家昌江水产开发有限公司</w:t>
            </w:r>
          </w:p>
        </w:tc>
        <w:tc>
          <w:tcPr>
            <w:tcW w:w="1205" w:type="pct"/>
            <w:tcBorders>
              <w:top w:val="single" w:color="auto" w:sz="4" w:space="0"/>
              <w:left w:val="single" w:color="auto" w:sz="4" w:space="0"/>
              <w:bottom w:val="single" w:color="auto" w:sz="4" w:space="0"/>
              <w:right w:val="single" w:color="auto" w:sz="4" w:space="0"/>
            </w:tcBorders>
          </w:tcPr>
          <w:p w14:paraId="63DA567F">
            <w:pPr>
              <w:autoSpaceDE w:val="0"/>
              <w:autoSpaceDN w:val="0"/>
              <w:adjustRightInd w:val="0"/>
              <w:jc w:val="right"/>
              <w:rPr>
                <w:sz w:val="18"/>
                <w:szCs w:val="18"/>
              </w:rPr>
            </w:pPr>
          </w:p>
        </w:tc>
        <w:tc>
          <w:tcPr>
            <w:tcW w:w="1227" w:type="pct"/>
            <w:tcBorders>
              <w:top w:val="single" w:color="auto" w:sz="4" w:space="0"/>
              <w:left w:val="single" w:color="auto" w:sz="4" w:space="0"/>
              <w:bottom w:val="single" w:color="auto" w:sz="4" w:space="0"/>
              <w:right w:val="single" w:color="auto" w:sz="4" w:space="0"/>
            </w:tcBorders>
            <w:vAlign w:val="center"/>
          </w:tcPr>
          <w:p w14:paraId="4A3528F8">
            <w:pPr>
              <w:autoSpaceDE w:val="0"/>
              <w:autoSpaceDN w:val="0"/>
              <w:adjustRightInd w:val="0"/>
              <w:jc w:val="right"/>
            </w:pPr>
            <w:r>
              <w:rPr>
                <w:rFonts w:hint="eastAsia" w:ascii="宋体" w:hAnsi="宋体"/>
                <w:sz w:val="18"/>
                <w:szCs w:val="18"/>
              </w:rPr>
              <w:t>300.00</w:t>
            </w:r>
          </w:p>
        </w:tc>
      </w:tr>
      <w:tr w14:paraId="35A2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2D05DFB5">
            <w:pPr>
              <w:autoSpaceDE w:val="0"/>
              <w:autoSpaceDN w:val="0"/>
              <w:adjustRightInd w:val="0"/>
            </w:pPr>
            <w:r>
              <w:rPr>
                <w:rFonts w:hint="eastAsia" w:ascii="宋体" w:hAnsi="宋体"/>
                <w:sz w:val="18"/>
                <w:szCs w:val="18"/>
              </w:rPr>
              <w:t>其他应付款</w:t>
            </w:r>
          </w:p>
        </w:tc>
        <w:tc>
          <w:tcPr>
            <w:tcW w:w="1927" w:type="pct"/>
            <w:tcBorders>
              <w:top w:val="single" w:color="auto" w:sz="4" w:space="0"/>
              <w:left w:val="single" w:color="auto" w:sz="4" w:space="0"/>
              <w:bottom w:val="single" w:color="auto" w:sz="4" w:space="0"/>
              <w:right w:val="single" w:color="auto" w:sz="4" w:space="0"/>
            </w:tcBorders>
            <w:vAlign w:val="center"/>
          </w:tcPr>
          <w:p w14:paraId="55640116">
            <w:pPr>
              <w:autoSpaceDE w:val="0"/>
              <w:autoSpaceDN w:val="0"/>
              <w:adjustRightInd w:val="0"/>
            </w:pPr>
            <w:r>
              <w:rPr>
                <w:rFonts w:hint="eastAsia" w:ascii="宋体" w:hAnsi="宋体"/>
                <w:sz w:val="18"/>
                <w:szCs w:val="18"/>
              </w:rPr>
              <w:t>威海好当家调味品有限公司</w:t>
            </w:r>
          </w:p>
        </w:tc>
        <w:tc>
          <w:tcPr>
            <w:tcW w:w="1205" w:type="pct"/>
            <w:tcBorders>
              <w:top w:val="single" w:color="auto" w:sz="4" w:space="0"/>
              <w:left w:val="single" w:color="auto" w:sz="4" w:space="0"/>
              <w:bottom w:val="single" w:color="auto" w:sz="4" w:space="0"/>
              <w:right w:val="single" w:color="auto" w:sz="4" w:space="0"/>
            </w:tcBorders>
          </w:tcPr>
          <w:p w14:paraId="788A9D21">
            <w:pPr>
              <w:autoSpaceDE w:val="0"/>
              <w:autoSpaceDN w:val="0"/>
              <w:adjustRightInd w:val="0"/>
              <w:jc w:val="right"/>
            </w:pPr>
          </w:p>
        </w:tc>
        <w:tc>
          <w:tcPr>
            <w:tcW w:w="1227" w:type="pct"/>
            <w:tcBorders>
              <w:top w:val="single" w:color="auto" w:sz="4" w:space="0"/>
              <w:left w:val="single" w:color="auto" w:sz="4" w:space="0"/>
              <w:bottom w:val="single" w:color="auto" w:sz="4" w:space="0"/>
              <w:right w:val="single" w:color="auto" w:sz="4" w:space="0"/>
            </w:tcBorders>
            <w:vAlign w:val="center"/>
          </w:tcPr>
          <w:p w14:paraId="78BAE9A7">
            <w:pPr>
              <w:autoSpaceDE w:val="0"/>
              <w:autoSpaceDN w:val="0"/>
              <w:adjustRightInd w:val="0"/>
              <w:jc w:val="right"/>
            </w:pPr>
            <w:r>
              <w:rPr>
                <w:rFonts w:hint="eastAsia" w:ascii="宋体" w:hAnsi="宋体"/>
                <w:sz w:val="18"/>
                <w:szCs w:val="18"/>
              </w:rPr>
              <w:t>595.00</w:t>
            </w:r>
          </w:p>
        </w:tc>
      </w:tr>
      <w:tr w14:paraId="7E69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2F7F8BE0">
            <w:pPr>
              <w:autoSpaceDE w:val="0"/>
              <w:autoSpaceDN w:val="0"/>
              <w:adjustRightInd w:val="0"/>
            </w:pPr>
            <w:r>
              <w:rPr>
                <w:rFonts w:hint="eastAsia" w:ascii="宋体" w:hAnsi="宋体"/>
                <w:sz w:val="18"/>
                <w:szCs w:val="18"/>
              </w:rPr>
              <w:t>其他应付款</w:t>
            </w:r>
          </w:p>
        </w:tc>
        <w:tc>
          <w:tcPr>
            <w:tcW w:w="1927" w:type="pct"/>
            <w:tcBorders>
              <w:top w:val="single" w:color="auto" w:sz="4" w:space="0"/>
              <w:left w:val="single" w:color="auto" w:sz="4" w:space="0"/>
              <w:bottom w:val="single" w:color="auto" w:sz="4" w:space="0"/>
              <w:right w:val="single" w:color="auto" w:sz="4" w:space="0"/>
            </w:tcBorders>
            <w:vAlign w:val="center"/>
          </w:tcPr>
          <w:p w14:paraId="4B25E6FE">
            <w:pPr>
              <w:autoSpaceDE w:val="0"/>
              <w:autoSpaceDN w:val="0"/>
              <w:adjustRightInd w:val="0"/>
            </w:pPr>
            <w:r>
              <w:rPr>
                <w:rFonts w:hint="eastAsia" w:ascii="宋体" w:hAnsi="宋体"/>
                <w:sz w:val="18"/>
                <w:szCs w:val="18"/>
              </w:rPr>
              <w:t>好当家东方水产食品有限公司</w:t>
            </w:r>
          </w:p>
        </w:tc>
        <w:tc>
          <w:tcPr>
            <w:tcW w:w="1205" w:type="pct"/>
            <w:tcBorders>
              <w:top w:val="single" w:color="auto" w:sz="4" w:space="0"/>
              <w:left w:val="single" w:color="auto" w:sz="4" w:space="0"/>
              <w:bottom w:val="single" w:color="auto" w:sz="4" w:space="0"/>
              <w:right w:val="single" w:color="auto" w:sz="4" w:space="0"/>
            </w:tcBorders>
          </w:tcPr>
          <w:p w14:paraId="081B7738">
            <w:pPr>
              <w:autoSpaceDE w:val="0"/>
              <w:autoSpaceDN w:val="0"/>
              <w:adjustRightInd w:val="0"/>
              <w:jc w:val="right"/>
            </w:pPr>
          </w:p>
        </w:tc>
        <w:tc>
          <w:tcPr>
            <w:tcW w:w="1227" w:type="pct"/>
            <w:tcBorders>
              <w:top w:val="single" w:color="auto" w:sz="4" w:space="0"/>
              <w:left w:val="single" w:color="auto" w:sz="4" w:space="0"/>
              <w:bottom w:val="single" w:color="auto" w:sz="4" w:space="0"/>
              <w:right w:val="single" w:color="auto" w:sz="4" w:space="0"/>
            </w:tcBorders>
            <w:vAlign w:val="center"/>
          </w:tcPr>
          <w:p w14:paraId="20B943C3">
            <w:pPr>
              <w:autoSpaceDE w:val="0"/>
              <w:autoSpaceDN w:val="0"/>
              <w:adjustRightInd w:val="0"/>
              <w:jc w:val="right"/>
            </w:pPr>
            <w:r>
              <w:rPr>
                <w:rFonts w:hint="eastAsia" w:ascii="宋体" w:hAnsi="宋体"/>
                <w:sz w:val="18"/>
                <w:szCs w:val="18"/>
              </w:rPr>
              <w:t>70.00</w:t>
            </w:r>
          </w:p>
        </w:tc>
      </w:tr>
      <w:tr w14:paraId="5BF0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074277A4">
            <w:pPr>
              <w:autoSpaceDE w:val="0"/>
              <w:autoSpaceDN w:val="0"/>
              <w:adjustRightInd w:val="0"/>
            </w:pPr>
            <w:r>
              <w:rPr>
                <w:rFonts w:hint="eastAsia" w:ascii="宋体" w:hAnsi="宋体"/>
                <w:sz w:val="18"/>
                <w:szCs w:val="18"/>
              </w:rPr>
              <w:t>其他应付款</w:t>
            </w:r>
          </w:p>
        </w:tc>
        <w:tc>
          <w:tcPr>
            <w:tcW w:w="1927" w:type="pct"/>
            <w:tcBorders>
              <w:top w:val="single" w:color="auto" w:sz="4" w:space="0"/>
              <w:left w:val="single" w:color="auto" w:sz="4" w:space="0"/>
              <w:bottom w:val="single" w:color="auto" w:sz="4" w:space="0"/>
              <w:right w:val="single" w:color="auto" w:sz="4" w:space="0"/>
            </w:tcBorders>
            <w:vAlign w:val="center"/>
          </w:tcPr>
          <w:p w14:paraId="1BF4941D">
            <w:pPr>
              <w:autoSpaceDE w:val="0"/>
              <w:autoSpaceDN w:val="0"/>
              <w:adjustRightInd w:val="0"/>
            </w:pPr>
            <w:r>
              <w:rPr>
                <w:rFonts w:hint="eastAsia" w:ascii="宋体" w:hAnsi="宋体"/>
                <w:sz w:val="18"/>
                <w:szCs w:val="18"/>
              </w:rPr>
              <w:t>好当家集团有限公司</w:t>
            </w:r>
          </w:p>
        </w:tc>
        <w:tc>
          <w:tcPr>
            <w:tcW w:w="1205" w:type="pct"/>
            <w:tcBorders>
              <w:top w:val="single" w:color="auto" w:sz="4" w:space="0"/>
              <w:left w:val="single" w:color="auto" w:sz="4" w:space="0"/>
              <w:bottom w:val="single" w:color="auto" w:sz="4" w:space="0"/>
              <w:right w:val="single" w:color="auto" w:sz="4" w:space="0"/>
            </w:tcBorders>
          </w:tcPr>
          <w:p w14:paraId="10E2E598">
            <w:pPr>
              <w:autoSpaceDE w:val="0"/>
              <w:autoSpaceDN w:val="0"/>
              <w:adjustRightInd w:val="0"/>
              <w:jc w:val="right"/>
            </w:pPr>
          </w:p>
        </w:tc>
        <w:tc>
          <w:tcPr>
            <w:tcW w:w="1227" w:type="pct"/>
            <w:tcBorders>
              <w:top w:val="single" w:color="auto" w:sz="4" w:space="0"/>
              <w:left w:val="single" w:color="auto" w:sz="4" w:space="0"/>
              <w:bottom w:val="single" w:color="auto" w:sz="4" w:space="0"/>
              <w:right w:val="single" w:color="auto" w:sz="4" w:space="0"/>
            </w:tcBorders>
            <w:vAlign w:val="center"/>
          </w:tcPr>
          <w:p w14:paraId="6B8EAF83">
            <w:pPr>
              <w:autoSpaceDE w:val="0"/>
              <w:autoSpaceDN w:val="0"/>
              <w:adjustRightInd w:val="0"/>
              <w:jc w:val="right"/>
            </w:pPr>
            <w:r>
              <w:rPr>
                <w:rFonts w:hint="eastAsia" w:ascii="宋体" w:hAnsi="宋体"/>
                <w:sz w:val="18"/>
                <w:szCs w:val="18"/>
              </w:rPr>
              <w:t>19,460.00</w:t>
            </w:r>
          </w:p>
        </w:tc>
      </w:tr>
      <w:tr w14:paraId="1A534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76CE2218">
            <w:pPr>
              <w:autoSpaceDE w:val="0"/>
              <w:autoSpaceDN w:val="0"/>
              <w:adjustRightInd w:val="0"/>
            </w:pPr>
            <w:r>
              <w:rPr>
                <w:rFonts w:hint="eastAsia" w:ascii="宋体" w:hAnsi="宋体"/>
                <w:sz w:val="18"/>
                <w:szCs w:val="18"/>
              </w:rPr>
              <w:t>其他应付款</w:t>
            </w:r>
          </w:p>
        </w:tc>
        <w:tc>
          <w:tcPr>
            <w:tcW w:w="1927" w:type="pct"/>
            <w:tcBorders>
              <w:top w:val="single" w:color="auto" w:sz="4" w:space="0"/>
              <w:left w:val="single" w:color="auto" w:sz="4" w:space="0"/>
              <w:bottom w:val="single" w:color="auto" w:sz="4" w:space="0"/>
              <w:right w:val="single" w:color="auto" w:sz="4" w:space="0"/>
            </w:tcBorders>
            <w:vAlign w:val="center"/>
          </w:tcPr>
          <w:p w14:paraId="5CFEE44F">
            <w:pPr>
              <w:autoSpaceDE w:val="0"/>
              <w:autoSpaceDN w:val="0"/>
              <w:adjustRightInd w:val="0"/>
            </w:pPr>
            <w:r>
              <w:rPr>
                <w:rFonts w:hint="eastAsia" w:ascii="宋体" w:hAnsi="宋体"/>
                <w:sz w:val="18"/>
                <w:szCs w:val="18"/>
              </w:rPr>
              <w:t>好当家生活服务公司</w:t>
            </w:r>
          </w:p>
        </w:tc>
        <w:tc>
          <w:tcPr>
            <w:tcW w:w="1205" w:type="pct"/>
            <w:tcBorders>
              <w:top w:val="single" w:color="auto" w:sz="4" w:space="0"/>
              <w:left w:val="single" w:color="auto" w:sz="4" w:space="0"/>
              <w:bottom w:val="single" w:color="auto" w:sz="4" w:space="0"/>
              <w:right w:val="single" w:color="auto" w:sz="4" w:space="0"/>
            </w:tcBorders>
          </w:tcPr>
          <w:p w14:paraId="398992A0">
            <w:pPr>
              <w:autoSpaceDE w:val="0"/>
              <w:autoSpaceDN w:val="0"/>
              <w:adjustRightInd w:val="0"/>
              <w:jc w:val="right"/>
            </w:pPr>
          </w:p>
        </w:tc>
        <w:tc>
          <w:tcPr>
            <w:tcW w:w="1227" w:type="pct"/>
            <w:tcBorders>
              <w:top w:val="single" w:color="auto" w:sz="4" w:space="0"/>
              <w:left w:val="single" w:color="auto" w:sz="4" w:space="0"/>
              <w:bottom w:val="single" w:color="auto" w:sz="4" w:space="0"/>
              <w:right w:val="single" w:color="auto" w:sz="4" w:space="0"/>
            </w:tcBorders>
            <w:vAlign w:val="center"/>
          </w:tcPr>
          <w:p w14:paraId="6DCADB7D">
            <w:pPr>
              <w:autoSpaceDE w:val="0"/>
              <w:autoSpaceDN w:val="0"/>
              <w:adjustRightInd w:val="0"/>
              <w:jc w:val="right"/>
            </w:pPr>
            <w:r>
              <w:rPr>
                <w:rFonts w:hint="eastAsia" w:ascii="宋体" w:hAnsi="宋体"/>
                <w:sz w:val="18"/>
                <w:szCs w:val="18"/>
              </w:rPr>
              <w:t>638,016.23</w:t>
            </w:r>
          </w:p>
        </w:tc>
      </w:tr>
      <w:tr w14:paraId="6820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0FC796FB">
            <w:pPr>
              <w:autoSpaceDE w:val="0"/>
              <w:autoSpaceDN w:val="0"/>
              <w:adjustRightInd w:val="0"/>
            </w:pPr>
            <w:r>
              <w:rPr>
                <w:rFonts w:hint="eastAsia" w:ascii="宋体" w:hAnsi="宋体"/>
                <w:sz w:val="18"/>
                <w:szCs w:val="18"/>
              </w:rPr>
              <w:t>其他应付款</w:t>
            </w:r>
          </w:p>
        </w:tc>
        <w:tc>
          <w:tcPr>
            <w:tcW w:w="1927" w:type="pct"/>
            <w:tcBorders>
              <w:top w:val="single" w:color="auto" w:sz="4" w:space="0"/>
              <w:left w:val="single" w:color="auto" w:sz="4" w:space="0"/>
              <w:bottom w:val="single" w:color="auto" w:sz="4" w:space="0"/>
              <w:right w:val="single" w:color="auto" w:sz="4" w:space="0"/>
            </w:tcBorders>
            <w:vAlign w:val="center"/>
          </w:tcPr>
          <w:p w14:paraId="76F7C836">
            <w:pPr>
              <w:autoSpaceDE w:val="0"/>
              <w:autoSpaceDN w:val="0"/>
              <w:adjustRightInd w:val="0"/>
            </w:pPr>
            <w:r>
              <w:rPr>
                <w:rFonts w:hint="eastAsia" w:ascii="宋体" w:hAnsi="宋体"/>
                <w:sz w:val="18"/>
                <w:szCs w:val="18"/>
              </w:rPr>
              <w:t>荣成海盛纸业有限公司</w:t>
            </w:r>
          </w:p>
        </w:tc>
        <w:tc>
          <w:tcPr>
            <w:tcW w:w="1205" w:type="pct"/>
            <w:tcBorders>
              <w:top w:val="single" w:color="auto" w:sz="4" w:space="0"/>
              <w:left w:val="single" w:color="auto" w:sz="4" w:space="0"/>
              <w:bottom w:val="single" w:color="auto" w:sz="4" w:space="0"/>
              <w:right w:val="single" w:color="auto" w:sz="4" w:space="0"/>
            </w:tcBorders>
          </w:tcPr>
          <w:p w14:paraId="1AC8C631">
            <w:pPr>
              <w:autoSpaceDE w:val="0"/>
              <w:autoSpaceDN w:val="0"/>
              <w:adjustRightInd w:val="0"/>
              <w:jc w:val="right"/>
            </w:pPr>
          </w:p>
        </w:tc>
        <w:tc>
          <w:tcPr>
            <w:tcW w:w="1227" w:type="pct"/>
            <w:tcBorders>
              <w:top w:val="single" w:color="auto" w:sz="4" w:space="0"/>
              <w:left w:val="single" w:color="auto" w:sz="4" w:space="0"/>
              <w:bottom w:val="single" w:color="auto" w:sz="4" w:space="0"/>
              <w:right w:val="single" w:color="auto" w:sz="4" w:space="0"/>
            </w:tcBorders>
            <w:vAlign w:val="center"/>
          </w:tcPr>
          <w:p w14:paraId="236801F8">
            <w:pPr>
              <w:autoSpaceDE w:val="0"/>
              <w:autoSpaceDN w:val="0"/>
              <w:adjustRightInd w:val="0"/>
              <w:jc w:val="right"/>
            </w:pPr>
            <w:r>
              <w:rPr>
                <w:rFonts w:hint="eastAsia" w:ascii="宋体" w:hAnsi="宋体"/>
                <w:sz w:val="18"/>
                <w:szCs w:val="18"/>
              </w:rPr>
              <w:t>4,000.00</w:t>
            </w:r>
          </w:p>
        </w:tc>
      </w:tr>
      <w:tr w14:paraId="71A5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7C984497">
            <w:pPr>
              <w:autoSpaceDE w:val="0"/>
              <w:autoSpaceDN w:val="0"/>
              <w:adjustRightInd w:val="0"/>
            </w:pPr>
            <w:r>
              <w:rPr>
                <w:rFonts w:hint="eastAsia" w:ascii="宋体" w:hAnsi="宋体"/>
                <w:sz w:val="18"/>
                <w:szCs w:val="18"/>
              </w:rPr>
              <w:t>其他应付款</w:t>
            </w:r>
          </w:p>
        </w:tc>
        <w:tc>
          <w:tcPr>
            <w:tcW w:w="1927" w:type="pct"/>
            <w:tcBorders>
              <w:top w:val="single" w:color="auto" w:sz="4" w:space="0"/>
              <w:left w:val="single" w:color="auto" w:sz="4" w:space="0"/>
              <w:bottom w:val="single" w:color="auto" w:sz="4" w:space="0"/>
              <w:right w:val="single" w:color="auto" w:sz="4" w:space="0"/>
            </w:tcBorders>
            <w:vAlign w:val="center"/>
          </w:tcPr>
          <w:p w14:paraId="788C434C">
            <w:pPr>
              <w:autoSpaceDE w:val="0"/>
              <w:autoSpaceDN w:val="0"/>
              <w:adjustRightInd w:val="0"/>
            </w:pPr>
            <w:r>
              <w:rPr>
                <w:rFonts w:hint="eastAsia" w:ascii="宋体" w:hAnsi="宋体"/>
                <w:sz w:val="18"/>
                <w:szCs w:val="18"/>
              </w:rPr>
              <w:t>荣成好当家物业服务有限公司</w:t>
            </w:r>
          </w:p>
        </w:tc>
        <w:tc>
          <w:tcPr>
            <w:tcW w:w="1205" w:type="pct"/>
            <w:tcBorders>
              <w:top w:val="single" w:color="auto" w:sz="4" w:space="0"/>
              <w:left w:val="single" w:color="auto" w:sz="4" w:space="0"/>
              <w:bottom w:val="single" w:color="auto" w:sz="4" w:space="0"/>
              <w:right w:val="single" w:color="auto" w:sz="4" w:space="0"/>
            </w:tcBorders>
          </w:tcPr>
          <w:p w14:paraId="37FEB0EC">
            <w:pPr>
              <w:autoSpaceDE w:val="0"/>
              <w:autoSpaceDN w:val="0"/>
              <w:adjustRightInd w:val="0"/>
              <w:jc w:val="right"/>
            </w:pPr>
          </w:p>
        </w:tc>
        <w:tc>
          <w:tcPr>
            <w:tcW w:w="1227" w:type="pct"/>
            <w:tcBorders>
              <w:top w:val="single" w:color="auto" w:sz="4" w:space="0"/>
              <w:left w:val="single" w:color="auto" w:sz="4" w:space="0"/>
              <w:bottom w:val="single" w:color="auto" w:sz="4" w:space="0"/>
              <w:right w:val="single" w:color="auto" w:sz="4" w:space="0"/>
            </w:tcBorders>
            <w:vAlign w:val="center"/>
          </w:tcPr>
          <w:p w14:paraId="40D62061">
            <w:pPr>
              <w:autoSpaceDE w:val="0"/>
              <w:autoSpaceDN w:val="0"/>
              <w:adjustRightInd w:val="0"/>
              <w:jc w:val="right"/>
            </w:pPr>
            <w:r>
              <w:rPr>
                <w:rFonts w:hint="eastAsia" w:ascii="宋体" w:hAnsi="宋体"/>
                <w:sz w:val="18"/>
                <w:szCs w:val="18"/>
              </w:rPr>
              <w:t>31,500.00</w:t>
            </w:r>
          </w:p>
        </w:tc>
      </w:tr>
      <w:tr w14:paraId="0502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4A210FB3">
            <w:pPr>
              <w:autoSpaceDE w:val="0"/>
              <w:autoSpaceDN w:val="0"/>
              <w:adjustRightInd w:val="0"/>
            </w:pPr>
            <w:r>
              <w:rPr>
                <w:rFonts w:hint="eastAsia" w:ascii="宋体" w:hAnsi="宋体"/>
                <w:sz w:val="18"/>
                <w:szCs w:val="18"/>
              </w:rPr>
              <w:t>其他应付款</w:t>
            </w:r>
          </w:p>
        </w:tc>
        <w:tc>
          <w:tcPr>
            <w:tcW w:w="1927" w:type="pct"/>
            <w:tcBorders>
              <w:top w:val="single" w:color="auto" w:sz="4" w:space="0"/>
              <w:left w:val="single" w:color="auto" w:sz="4" w:space="0"/>
              <w:bottom w:val="single" w:color="auto" w:sz="4" w:space="0"/>
              <w:right w:val="single" w:color="auto" w:sz="4" w:space="0"/>
            </w:tcBorders>
            <w:vAlign w:val="center"/>
          </w:tcPr>
          <w:p w14:paraId="71642BED">
            <w:pPr>
              <w:autoSpaceDE w:val="0"/>
              <w:autoSpaceDN w:val="0"/>
              <w:adjustRightInd w:val="0"/>
            </w:pPr>
            <w:r>
              <w:rPr>
                <w:rFonts w:hint="eastAsia" w:ascii="宋体" w:hAnsi="宋体"/>
                <w:sz w:val="18"/>
                <w:szCs w:val="18"/>
              </w:rPr>
              <w:t>荣成加荣食品有限公司</w:t>
            </w:r>
          </w:p>
        </w:tc>
        <w:tc>
          <w:tcPr>
            <w:tcW w:w="1205" w:type="pct"/>
            <w:tcBorders>
              <w:top w:val="single" w:color="auto" w:sz="4" w:space="0"/>
              <w:left w:val="single" w:color="auto" w:sz="4" w:space="0"/>
              <w:bottom w:val="single" w:color="auto" w:sz="4" w:space="0"/>
              <w:right w:val="single" w:color="auto" w:sz="4" w:space="0"/>
            </w:tcBorders>
          </w:tcPr>
          <w:p w14:paraId="2AF62480">
            <w:pPr>
              <w:autoSpaceDE w:val="0"/>
              <w:autoSpaceDN w:val="0"/>
              <w:adjustRightInd w:val="0"/>
              <w:jc w:val="right"/>
            </w:pPr>
          </w:p>
        </w:tc>
        <w:tc>
          <w:tcPr>
            <w:tcW w:w="1227" w:type="pct"/>
            <w:tcBorders>
              <w:top w:val="single" w:color="auto" w:sz="4" w:space="0"/>
              <w:left w:val="single" w:color="auto" w:sz="4" w:space="0"/>
              <w:bottom w:val="single" w:color="auto" w:sz="4" w:space="0"/>
              <w:right w:val="single" w:color="auto" w:sz="4" w:space="0"/>
            </w:tcBorders>
            <w:vAlign w:val="center"/>
          </w:tcPr>
          <w:p w14:paraId="3FE310A7">
            <w:pPr>
              <w:autoSpaceDE w:val="0"/>
              <w:autoSpaceDN w:val="0"/>
              <w:adjustRightInd w:val="0"/>
              <w:jc w:val="right"/>
            </w:pPr>
            <w:r>
              <w:rPr>
                <w:rFonts w:hint="eastAsia" w:ascii="宋体" w:hAnsi="宋体"/>
                <w:sz w:val="18"/>
                <w:szCs w:val="18"/>
              </w:rPr>
              <w:t>6,738.00</w:t>
            </w:r>
          </w:p>
        </w:tc>
      </w:tr>
      <w:tr w14:paraId="2180F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2C0B535B">
            <w:pPr>
              <w:autoSpaceDE w:val="0"/>
              <w:autoSpaceDN w:val="0"/>
              <w:adjustRightInd w:val="0"/>
            </w:pPr>
            <w:r>
              <w:rPr>
                <w:rFonts w:hint="eastAsia" w:ascii="宋体" w:hAnsi="宋体"/>
                <w:sz w:val="18"/>
                <w:szCs w:val="18"/>
              </w:rPr>
              <w:t>其他应付款</w:t>
            </w:r>
          </w:p>
        </w:tc>
        <w:tc>
          <w:tcPr>
            <w:tcW w:w="1927" w:type="pct"/>
            <w:tcBorders>
              <w:top w:val="single" w:color="auto" w:sz="4" w:space="0"/>
              <w:left w:val="single" w:color="auto" w:sz="4" w:space="0"/>
              <w:bottom w:val="single" w:color="auto" w:sz="4" w:space="0"/>
              <w:right w:val="single" w:color="auto" w:sz="4" w:space="0"/>
            </w:tcBorders>
            <w:vAlign w:val="center"/>
          </w:tcPr>
          <w:p w14:paraId="49898F4B">
            <w:pPr>
              <w:autoSpaceDE w:val="0"/>
              <w:autoSpaceDN w:val="0"/>
              <w:adjustRightInd w:val="0"/>
            </w:pPr>
            <w:r>
              <w:rPr>
                <w:rFonts w:hint="eastAsia" w:ascii="宋体" w:hAnsi="宋体"/>
                <w:sz w:val="18"/>
                <w:szCs w:val="18"/>
              </w:rPr>
              <w:t>荣成邱家水产有限公司</w:t>
            </w:r>
          </w:p>
        </w:tc>
        <w:tc>
          <w:tcPr>
            <w:tcW w:w="1205" w:type="pct"/>
            <w:tcBorders>
              <w:top w:val="single" w:color="auto" w:sz="4" w:space="0"/>
              <w:left w:val="single" w:color="auto" w:sz="4" w:space="0"/>
              <w:bottom w:val="single" w:color="auto" w:sz="4" w:space="0"/>
              <w:right w:val="single" w:color="auto" w:sz="4" w:space="0"/>
            </w:tcBorders>
          </w:tcPr>
          <w:p w14:paraId="3D4B03CB">
            <w:pPr>
              <w:autoSpaceDE w:val="0"/>
              <w:autoSpaceDN w:val="0"/>
              <w:adjustRightInd w:val="0"/>
              <w:jc w:val="right"/>
            </w:pPr>
          </w:p>
        </w:tc>
        <w:tc>
          <w:tcPr>
            <w:tcW w:w="1227" w:type="pct"/>
            <w:tcBorders>
              <w:top w:val="single" w:color="auto" w:sz="4" w:space="0"/>
              <w:left w:val="single" w:color="auto" w:sz="4" w:space="0"/>
              <w:bottom w:val="single" w:color="auto" w:sz="4" w:space="0"/>
              <w:right w:val="single" w:color="auto" w:sz="4" w:space="0"/>
            </w:tcBorders>
            <w:vAlign w:val="center"/>
          </w:tcPr>
          <w:p w14:paraId="01DD4A88">
            <w:pPr>
              <w:autoSpaceDE w:val="0"/>
              <w:autoSpaceDN w:val="0"/>
              <w:adjustRightInd w:val="0"/>
              <w:jc w:val="right"/>
            </w:pPr>
            <w:r>
              <w:rPr>
                <w:rFonts w:hint="eastAsia" w:ascii="宋体" w:hAnsi="宋体"/>
                <w:sz w:val="18"/>
                <w:szCs w:val="18"/>
              </w:rPr>
              <w:t>53,100.00</w:t>
            </w:r>
          </w:p>
        </w:tc>
      </w:tr>
      <w:tr w14:paraId="2ED3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2F60F1E6">
            <w:pPr>
              <w:autoSpaceDE w:val="0"/>
              <w:autoSpaceDN w:val="0"/>
              <w:adjustRightInd w:val="0"/>
            </w:pPr>
            <w:r>
              <w:rPr>
                <w:rFonts w:hint="eastAsia" w:ascii="宋体" w:hAnsi="宋体"/>
                <w:sz w:val="18"/>
                <w:szCs w:val="18"/>
              </w:rPr>
              <w:t>其他应付款</w:t>
            </w:r>
          </w:p>
        </w:tc>
        <w:tc>
          <w:tcPr>
            <w:tcW w:w="1927" w:type="pct"/>
            <w:tcBorders>
              <w:top w:val="single" w:color="auto" w:sz="4" w:space="0"/>
              <w:left w:val="single" w:color="auto" w:sz="4" w:space="0"/>
              <w:bottom w:val="single" w:color="auto" w:sz="4" w:space="0"/>
              <w:right w:val="single" w:color="auto" w:sz="4" w:space="0"/>
            </w:tcBorders>
            <w:vAlign w:val="center"/>
          </w:tcPr>
          <w:p w14:paraId="352CBFAD">
            <w:pPr>
              <w:autoSpaceDE w:val="0"/>
              <w:autoSpaceDN w:val="0"/>
              <w:adjustRightInd w:val="0"/>
            </w:pPr>
            <w:r>
              <w:rPr>
                <w:rFonts w:hint="eastAsia" w:ascii="宋体" w:hAnsi="宋体"/>
                <w:sz w:val="18"/>
                <w:szCs w:val="18"/>
              </w:rPr>
              <w:t>荣成荣研食品有限公司</w:t>
            </w:r>
          </w:p>
        </w:tc>
        <w:tc>
          <w:tcPr>
            <w:tcW w:w="1205" w:type="pct"/>
            <w:tcBorders>
              <w:top w:val="single" w:color="auto" w:sz="4" w:space="0"/>
              <w:left w:val="single" w:color="auto" w:sz="4" w:space="0"/>
              <w:bottom w:val="single" w:color="auto" w:sz="4" w:space="0"/>
              <w:right w:val="single" w:color="auto" w:sz="4" w:space="0"/>
            </w:tcBorders>
          </w:tcPr>
          <w:p w14:paraId="10C20F64">
            <w:pPr>
              <w:autoSpaceDE w:val="0"/>
              <w:autoSpaceDN w:val="0"/>
              <w:adjustRightInd w:val="0"/>
              <w:jc w:val="right"/>
            </w:pPr>
          </w:p>
        </w:tc>
        <w:tc>
          <w:tcPr>
            <w:tcW w:w="1227" w:type="pct"/>
            <w:tcBorders>
              <w:top w:val="single" w:color="auto" w:sz="4" w:space="0"/>
              <w:left w:val="single" w:color="auto" w:sz="4" w:space="0"/>
              <w:bottom w:val="single" w:color="auto" w:sz="4" w:space="0"/>
              <w:right w:val="single" w:color="auto" w:sz="4" w:space="0"/>
            </w:tcBorders>
            <w:vAlign w:val="center"/>
          </w:tcPr>
          <w:p w14:paraId="7FD52400">
            <w:pPr>
              <w:autoSpaceDE w:val="0"/>
              <w:autoSpaceDN w:val="0"/>
              <w:adjustRightInd w:val="0"/>
              <w:jc w:val="right"/>
            </w:pPr>
            <w:r>
              <w:rPr>
                <w:rFonts w:hint="eastAsia" w:ascii="宋体" w:hAnsi="宋体"/>
                <w:sz w:val="18"/>
                <w:szCs w:val="18"/>
              </w:rPr>
              <w:t>2,440.00</w:t>
            </w:r>
          </w:p>
        </w:tc>
      </w:tr>
      <w:tr w14:paraId="6A7B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447F861F">
            <w:pPr>
              <w:autoSpaceDE w:val="0"/>
              <w:autoSpaceDN w:val="0"/>
              <w:adjustRightInd w:val="0"/>
            </w:pPr>
            <w:r>
              <w:rPr>
                <w:rFonts w:hint="eastAsia" w:ascii="宋体" w:hAnsi="宋体"/>
                <w:sz w:val="18"/>
                <w:szCs w:val="18"/>
              </w:rPr>
              <w:t>其他应付款</w:t>
            </w:r>
          </w:p>
        </w:tc>
        <w:tc>
          <w:tcPr>
            <w:tcW w:w="1927" w:type="pct"/>
            <w:tcBorders>
              <w:top w:val="single" w:color="auto" w:sz="4" w:space="0"/>
              <w:left w:val="single" w:color="auto" w:sz="4" w:space="0"/>
              <w:bottom w:val="single" w:color="auto" w:sz="4" w:space="0"/>
              <w:right w:val="single" w:color="auto" w:sz="4" w:space="0"/>
            </w:tcBorders>
            <w:vAlign w:val="center"/>
          </w:tcPr>
          <w:p w14:paraId="6B492CA6">
            <w:pPr>
              <w:autoSpaceDE w:val="0"/>
              <w:autoSpaceDN w:val="0"/>
              <w:adjustRightInd w:val="0"/>
            </w:pPr>
            <w:r>
              <w:rPr>
                <w:rFonts w:hint="eastAsia" w:ascii="宋体" w:hAnsi="宋体"/>
                <w:sz w:val="18"/>
                <w:szCs w:val="18"/>
              </w:rPr>
              <w:t>威海好当家调味品有限公司</w:t>
            </w:r>
          </w:p>
        </w:tc>
        <w:tc>
          <w:tcPr>
            <w:tcW w:w="1205" w:type="pct"/>
            <w:tcBorders>
              <w:top w:val="single" w:color="auto" w:sz="4" w:space="0"/>
              <w:left w:val="single" w:color="auto" w:sz="4" w:space="0"/>
              <w:bottom w:val="single" w:color="auto" w:sz="4" w:space="0"/>
              <w:right w:val="single" w:color="auto" w:sz="4" w:space="0"/>
            </w:tcBorders>
          </w:tcPr>
          <w:p w14:paraId="7142D0E4">
            <w:pPr>
              <w:autoSpaceDE w:val="0"/>
              <w:autoSpaceDN w:val="0"/>
              <w:adjustRightInd w:val="0"/>
              <w:jc w:val="right"/>
            </w:pPr>
          </w:p>
        </w:tc>
        <w:tc>
          <w:tcPr>
            <w:tcW w:w="1227" w:type="pct"/>
            <w:tcBorders>
              <w:top w:val="single" w:color="auto" w:sz="4" w:space="0"/>
              <w:left w:val="single" w:color="auto" w:sz="4" w:space="0"/>
              <w:bottom w:val="single" w:color="auto" w:sz="4" w:space="0"/>
              <w:right w:val="single" w:color="auto" w:sz="4" w:space="0"/>
            </w:tcBorders>
            <w:vAlign w:val="center"/>
          </w:tcPr>
          <w:p w14:paraId="2B54ACF2">
            <w:pPr>
              <w:autoSpaceDE w:val="0"/>
              <w:autoSpaceDN w:val="0"/>
              <w:adjustRightInd w:val="0"/>
              <w:jc w:val="right"/>
            </w:pPr>
            <w:r>
              <w:rPr>
                <w:rFonts w:hint="eastAsia" w:ascii="宋体" w:hAnsi="宋体"/>
                <w:sz w:val="18"/>
                <w:szCs w:val="18"/>
              </w:rPr>
              <w:t>11,836.00</w:t>
            </w:r>
          </w:p>
        </w:tc>
      </w:tr>
      <w:tr w14:paraId="1B44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640" w:type="pct"/>
            <w:tcBorders>
              <w:top w:val="single" w:color="auto" w:sz="4" w:space="0"/>
              <w:left w:val="single" w:color="auto" w:sz="4" w:space="0"/>
              <w:bottom w:val="single" w:color="auto" w:sz="4" w:space="0"/>
              <w:right w:val="single" w:color="auto" w:sz="4" w:space="0"/>
            </w:tcBorders>
            <w:vAlign w:val="center"/>
          </w:tcPr>
          <w:p w14:paraId="0B5FD307">
            <w:pPr>
              <w:autoSpaceDE w:val="0"/>
              <w:autoSpaceDN w:val="0"/>
              <w:adjustRightInd w:val="0"/>
            </w:pPr>
            <w:r>
              <w:rPr>
                <w:rFonts w:hint="eastAsia" w:ascii="宋体" w:hAnsi="宋体"/>
                <w:sz w:val="18"/>
                <w:szCs w:val="18"/>
              </w:rPr>
              <w:t>其他应付款</w:t>
            </w:r>
          </w:p>
        </w:tc>
        <w:tc>
          <w:tcPr>
            <w:tcW w:w="1927" w:type="pct"/>
            <w:tcBorders>
              <w:top w:val="single" w:color="auto" w:sz="4" w:space="0"/>
              <w:left w:val="single" w:color="auto" w:sz="4" w:space="0"/>
              <w:bottom w:val="single" w:color="auto" w:sz="4" w:space="0"/>
              <w:right w:val="single" w:color="auto" w:sz="4" w:space="0"/>
            </w:tcBorders>
            <w:vAlign w:val="center"/>
          </w:tcPr>
          <w:p w14:paraId="762F68AA">
            <w:pPr>
              <w:autoSpaceDE w:val="0"/>
              <w:autoSpaceDN w:val="0"/>
              <w:adjustRightInd w:val="0"/>
            </w:pPr>
            <w:r>
              <w:rPr>
                <w:rFonts w:hint="eastAsia" w:ascii="宋体" w:hAnsi="宋体"/>
                <w:sz w:val="18"/>
                <w:szCs w:val="18"/>
              </w:rPr>
              <w:t>威海好当家天海湾水城旅游服务有限公司</w:t>
            </w:r>
          </w:p>
        </w:tc>
        <w:tc>
          <w:tcPr>
            <w:tcW w:w="1205" w:type="pct"/>
            <w:tcBorders>
              <w:top w:val="single" w:color="auto" w:sz="4" w:space="0"/>
              <w:left w:val="single" w:color="auto" w:sz="4" w:space="0"/>
              <w:bottom w:val="single" w:color="auto" w:sz="4" w:space="0"/>
              <w:right w:val="single" w:color="auto" w:sz="4" w:space="0"/>
            </w:tcBorders>
          </w:tcPr>
          <w:p w14:paraId="13CF39A5">
            <w:pPr>
              <w:autoSpaceDE w:val="0"/>
              <w:autoSpaceDN w:val="0"/>
              <w:adjustRightInd w:val="0"/>
              <w:jc w:val="right"/>
            </w:pPr>
          </w:p>
        </w:tc>
        <w:tc>
          <w:tcPr>
            <w:tcW w:w="1227" w:type="pct"/>
            <w:tcBorders>
              <w:top w:val="single" w:color="auto" w:sz="4" w:space="0"/>
              <w:left w:val="single" w:color="auto" w:sz="4" w:space="0"/>
              <w:bottom w:val="single" w:color="auto" w:sz="4" w:space="0"/>
              <w:right w:val="single" w:color="auto" w:sz="4" w:space="0"/>
            </w:tcBorders>
            <w:vAlign w:val="center"/>
          </w:tcPr>
          <w:p w14:paraId="0FE33A66">
            <w:pPr>
              <w:autoSpaceDE w:val="0"/>
              <w:autoSpaceDN w:val="0"/>
              <w:adjustRightInd w:val="0"/>
              <w:jc w:val="right"/>
            </w:pPr>
            <w:r>
              <w:rPr>
                <w:rFonts w:hint="eastAsia" w:ascii="宋体" w:hAnsi="宋体"/>
                <w:sz w:val="18"/>
                <w:szCs w:val="18"/>
              </w:rPr>
              <w:t>5,215.00</w:t>
            </w:r>
          </w:p>
        </w:tc>
      </w:tr>
    </w:tbl>
    <w:p w14:paraId="3CE8683E">
      <w:pPr>
        <w:rPr>
          <w:rFonts w:cstheme="minorBidi"/>
          <w:color w:val="000000" w:themeColor="text1"/>
          <w14:textFill>
            <w14:solidFill>
              <w14:schemeClr w14:val="tx1"/>
            </w14:solidFill>
          </w14:textFill>
        </w:rPr>
      </w:pPr>
    </w:p>
    <w:p w14:paraId="3AF3F13C">
      <w:pPr>
        <w:pStyle w:val="5"/>
        <w:numPr>
          <w:ilvl w:val="0"/>
          <w:numId w:val="104"/>
        </w:numPr>
        <w:tabs>
          <w:tab w:val="left" w:pos="616"/>
        </w:tabs>
        <w:rPr>
          <w:color w:val="000000" w:themeColor="text1"/>
          <w14:textFill>
            <w14:solidFill>
              <w14:schemeClr w14:val="tx1"/>
            </w14:solidFill>
          </w14:textFill>
        </w:rPr>
      </w:pPr>
      <w:bookmarkStart w:id="419" w:name="_Hlk167976682"/>
      <w:r>
        <w:rPr>
          <w:rFonts w:hint="eastAsia"/>
          <w:color w:val="000000" w:themeColor="text1"/>
          <w14:textFill>
            <w14:solidFill>
              <w14:schemeClr w14:val="tx1"/>
            </w14:solidFill>
          </w14:textFill>
        </w:rPr>
        <w:t>其他</w:t>
      </w:r>
      <w:r>
        <w:rPr>
          <w:rFonts w:hint="eastAsia" w:ascii="宋体" w:hAnsi="宋体" w:cs="宋体"/>
          <w:color w:val="000000" w:themeColor="text1"/>
          <w:kern w:val="0"/>
          <w:szCs w:val="24"/>
          <w14:textFill>
            <w14:solidFill>
              <w14:schemeClr w14:val="tx1"/>
            </w14:solidFill>
          </w14:textFill>
        </w:rPr>
        <w:t>项目</w:t>
      </w:r>
    </w:p>
    <w:sdt>
      <w:sdtPr>
        <w:rPr>
          <w:color w:val="000000" w:themeColor="text1"/>
          <w14:textFill>
            <w14:solidFill>
              <w14:schemeClr w14:val="tx1"/>
            </w14:solidFill>
          </w14:textFill>
        </w:rPr>
        <w:alias w:val="是否适用：关联方其他未结算项目情况[双击切换]"/>
        <w:tag w:val="_GBC_459b27789b354473a02699da087a3b51"/>
        <w:id w:val="289024449"/>
        <w:placeholder>
          <w:docPart w:val="GBC22222222222222222222222222222"/>
        </w:placeholder>
      </w:sdtPr>
      <w:sdtEndPr>
        <w:rPr>
          <w:color w:val="000000" w:themeColor="text1"/>
          <w14:textFill>
            <w14:solidFill>
              <w14:schemeClr w14:val="tx1"/>
            </w14:solidFill>
          </w14:textFill>
        </w:rPr>
      </w:sdtEndPr>
      <w:sdtContent>
        <w:p w14:paraId="7DFCD92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527327C">
      <w:pPr>
        <w:rPr>
          <w:rFonts w:ascii="仿宋_GB2312" w:eastAsia="仿宋_GB2312"/>
          <w:color w:val="000000" w:themeColor="text1"/>
          <w14:textFill>
            <w14:solidFill>
              <w14:schemeClr w14:val="tx1"/>
            </w14:solidFill>
          </w14:textFill>
        </w:rPr>
      </w:pPr>
    </w:p>
    <w:bookmarkEnd w:id="419"/>
    <w:p w14:paraId="6823B17D">
      <w:pPr>
        <w:pStyle w:val="4"/>
        <w:numPr>
          <w:ilvl w:val="0"/>
          <w:numId w:val="102"/>
        </w:numPr>
        <w:rPr>
          <w:rFonts w:hint="eastAsia" w:ascii="宋体" w:hAnsi="宋体" w:cs="Arial"/>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关联方</w:t>
      </w:r>
      <w:r>
        <w:rPr>
          <w:rFonts w:hint="eastAsia" w:ascii="宋体" w:hAnsi="宋体" w:cs="Arial"/>
          <w:color w:val="000000" w:themeColor="text1"/>
          <w:szCs w:val="21"/>
          <w14:textFill>
            <w14:solidFill>
              <w14:schemeClr w14:val="tx1"/>
            </w14:solidFill>
          </w14:textFill>
        </w:rPr>
        <w:t>承诺</w:t>
      </w:r>
    </w:p>
    <w:sdt>
      <w:sdtPr>
        <w:rPr>
          <w:color w:val="000000" w:themeColor="text1"/>
          <w14:textFill>
            <w14:solidFill>
              <w14:schemeClr w14:val="tx1"/>
            </w14:solidFill>
          </w14:textFill>
        </w:rPr>
        <w:alias w:val="是否适用：关联方承诺[双击切换]"/>
        <w:tag w:val="_GBC_b906cacab2e94825966fa70e345656b5"/>
        <w:id w:val="162211718"/>
        <w:placeholder>
          <w:docPart w:val="GBC22222222222222222222222222222"/>
        </w:placeholder>
      </w:sdtPr>
      <w:sdtEndPr>
        <w:rPr>
          <w:color w:val="000000" w:themeColor="text1"/>
          <w14:textFill>
            <w14:solidFill>
              <w14:schemeClr w14:val="tx1"/>
            </w14:solidFill>
          </w14:textFill>
        </w:rPr>
      </w:sdtEndPr>
      <w:sdtContent>
        <w:p w14:paraId="56DE4F3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990E564">
      <w:pPr>
        <w:tabs>
          <w:tab w:val="left" w:pos="1134"/>
        </w:tabs>
        <w:rPr>
          <w:rFonts w:cs="Cambria"/>
          <w:color w:val="000000" w:themeColor="text1"/>
          <w:sz w:val="20"/>
          <w:szCs w:val="20"/>
          <w14:textFill>
            <w14:solidFill>
              <w14:schemeClr w14:val="tx1"/>
            </w14:solidFill>
          </w14:textFill>
        </w:rPr>
      </w:pPr>
    </w:p>
    <w:p w14:paraId="36BCF7F5">
      <w:pPr>
        <w:pStyle w:val="4"/>
        <w:numPr>
          <w:ilvl w:val="0"/>
          <w:numId w:val="102"/>
        </w:numP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其他</w:t>
      </w:r>
    </w:p>
    <w:sdt>
      <w:sdtPr>
        <w:rPr>
          <w:color w:val="000000" w:themeColor="text1"/>
          <w14:textFill>
            <w14:solidFill>
              <w14:schemeClr w14:val="tx1"/>
            </w14:solidFill>
          </w14:textFill>
        </w:rPr>
        <w:alias w:val="是否适用：关联方及关联情况的其他说明[双击切换]"/>
        <w:tag w:val="_GBC_87161343db8b4a0b9e041c62c0df5e87"/>
        <w:id w:val="-415163947"/>
        <w:placeholder>
          <w:docPart w:val="GBC22222222222222222222222222222"/>
        </w:placeholder>
      </w:sdtPr>
      <w:sdtEndPr>
        <w:rPr>
          <w:color w:val="000000" w:themeColor="text1"/>
          <w14:textFill>
            <w14:solidFill>
              <w14:schemeClr w14:val="tx1"/>
            </w14:solidFill>
          </w14:textFill>
        </w:rPr>
      </w:sdtEndPr>
      <w:sdtContent>
        <w:p w14:paraId="1CC8F4D5">
          <w:pPr>
            <w:rPr>
              <w:rFonts w:cs="Cambria"/>
              <w:color w:val="000000" w:themeColor="text1"/>
              <w:sz w:val="20"/>
              <w:szCs w:val="20"/>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4655E47">
      <w:pPr>
        <w:tabs>
          <w:tab w:val="left" w:pos="1134"/>
        </w:tabs>
        <w:rPr>
          <w:rFonts w:cs="Cambria"/>
          <w:b/>
          <w:color w:val="000000" w:themeColor="text1"/>
          <w:sz w:val="20"/>
          <w:szCs w:val="20"/>
          <w14:textFill>
            <w14:solidFill>
              <w14:schemeClr w14:val="tx1"/>
            </w14:solidFill>
          </w14:textFill>
        </w:rPr>
      </w:pPr>
    </w:p>
    <w:p w14:paraId="1FDEADE6">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股份支付</w:t>
      </w:r>
    </w:p>
    <w:p w14:paraId="3CC21DCE">
      <w:pPr>
        <w:pStyle w:val="4"/>
        <w:numPr>
          <w:ilvl w:val="0"/>
          <w:numId w:val="105"/>
        </w:numPr>
        <w:ind w:left="420" w:hanging="420"/>
        <w:rPr>
          <w:rFonts w:hint="eastAsia" w:ascii="宋体" w:hAnsi="宋体" w:cs="宋体"/>
          <w:color w:val="000000" w:themeColor="text1"/>
          <w:kern w:val="0"/>
          <w:szCs w:val="24"/>
          <w14:textFill>
            <w14:solidFill>
              <w14:schemeClr w14:val="tx1"/>
            </w14:solidFill>
          </w14:textFill>
        </w:rPr>
      </w:pPr>
      <w:bookmarkStart w:id="420" w:name="_Hlk168492989"/>
      <w:r>
        <w:rPr>
          <w:rFonts w:hint="eastAsia" w:ascii="宋体" w:hAnsi="宋体" w:cs="宋体"/>
          <w:color w:val="000000" w:themeColor="text1"/>
          <w:kern w:val="0"/>
          <w:szCs w:val="24"/>
          <w14:textFill>
            <w14:solidFill>
              <w14:schemeClr w14:val="tx1"/>
            </w14:solidFill>
          </w14:textFill>
        </w:rPr>
        <w:t>各项权益工具</w:t>
      </w:r>
    </w:p>
    <w:p w14:paraId="7DFE4C16">
      <w:pPr>
        <w:pStyle w:val="5"/>
        <w:numPr>
          <w:ilvl w:val="0"/>
          <w:numId w:val="106"/>
        </w:numPr>
      </w:pPr>
      <w:r>
        <w:rPr>
          <w:rFonts w:hint="eastAsia"/>
        </w:rPr>
        <w:t>明细情况</w:t>
      </w:r>
    </w:p>
    <w:sdt>
      <w:sdtPr>
        <w:rPr>
          <w:color w:val="000000" w:themeColor="text1"/>
          <w14:textFill>
            <w14:solidFill>
              <w14:schemeClr w14:val="tx1"/>
            </w14:solidFill>
          </w14:textFill>
        </w:rPr>
        <w:alias w:val="是否适用：各项权益工具[双击切换]"/>
        <w:tag w:val="_GBC_65abee0b78064363a3f4a058a40176bf"/>
        <w:id w:val="-1848625197"/>
        <w:placeholder>
          <w:docPart w:val="GBC22222222222222222222222222222"/>
        </w:placeholder>
      </w:sdtPr>
      <w:sdtEndPr>
        <w:rPr>
          <w:color w:val="000000" w:themeColor="text1"/>
          <w14:textFill>
            <w14:solidFill>
              <w14:schemeClr w14:val="tx1"/>
            </w14:solidFill>
          </w14:textFill>
        </w:rPr>
      </w:sdtEndPr>
      <w:sdtContent>
        <w:p w14:paraId="4EC4E98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420"/>
    <w:p w14:paraId="77D7EC2C">
      <w:pPr>
        <w:rPr>
          <w:color w:val="000000" w:themeColor="text1"/>
          <w14:textFill>
            <w14:solidFill>
              <w14:schemeClr w14:val="tx1"/>
            </w14:solidFill>
          </w14:textFill>
        </w:rPr>
      </w:pPr>
      <w:bookmarkStart w:id="421" w:name="_Hlk168478628"/>
      <w:bookmarkStart w:id="422" w:name="_Hlk40787153"/>
      <w:bookmarkStart w:id="423" w:name="_Hlk167977283"/>
    </w:p>
    <w:p w14:paraId="733FFED0">
      <w:pPr>
        <w:pStyle w:val="5"/>
        <w:numPr>
          <w:ilvl w:val="0"/>
          <w:numId w:val="106"/>
        </w:numPr>
      </w:pPr>
      <w:r>
        <w:rPr>
          <w:rFonts w:hint="eastAsia"/>
        </w:rPr>
        <w:t>期末发行在外的股票期权或其他权益工具</w:t>
      </w:r>
    </w:p>
    <w:sdt>
      <w:sdtPr>
        <w:rPr>
          <w:color w:val="000000" w:themeColor="text1"/>
          <w14:textFill>
            <w14:solidFill>
              <w14:schemeClr w14:val="tx1"/>
            </w14:solidFill>
          </w14:textFill>
        </w:rPr>
        <w:alias w:val="是否适用：期末发行在外的股票期权或其他权益工具[双击切换]"/>
        <w:tag w:val="_GBC_f17c034d860345b98ee280169a254e4a"/>
        <w:id w:val="-1267846559"/>
        <w:placeholder>
          <w:docPart w:val="GBC22222222222222222222222222222"/>
        </w:placeholder>
      </w:sdtPr>
      <w:sdtEndPr>
        <w:rPr>
          <w:color w:val="000000" w:themeColor="text1"/>
          <w14:textFill>
            <w14:solidFill>
              <w14:schemeClr w14:val="tx1"/>
            </w14:solidFill>
          </w14:textFill>
        </w:rPr>
      </w:sdtEndPr>
      <w:sdtContent>
        <w:p w14:paraId="791F6DCA">
          <w:pPr>
            <w:rPr>
              <w:color w:val="000000" w:themeColor="text1"/>
              <w14:textFill>
                <w14:solidFill>
                  <w14:schemeClr w14:val="tx1"/>
                </w14:solidFill>
              </w14:textFill>
            </w:rPr>
          </w:pPr>
          <w:bookmarkStart w:id="424" w:name="_Hlk168493896"/>
          <w:bookmarkStart w:id="425" w:name="_Hlk168493917"/>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421"/>
    <w:bookmarkEnd w:id="424"/>
    <w:bookmarkEnd w:id="425"/>
    <w:p w14:paraId="7A2738E6">
      <w:pPr>
        <w:rPr>
          <w:color w:val="000000" w:themeColor="text1"/>
          <w14:textFill>
            <w14:solidFill>
              <w14:schemeClr w14:val="tx1"/>
            </w14:solidFill>
          </w14:textFill>
        </w:rPr>
      </w:pPr>
      <w:bookmarkStart w:id="426" w:name="_Hlk168487614"/>
    </w:p>
    <w:p w14:paraId="4DBED8D3">
      <w:pPr>
        <w:rPr>
          <w:color w:val="000000" w:themeColor="text1"/>
          <w14:textFill>
            <w14:solidFill>
              <w14:schemeClr w14:val="tx1"/>
            </w14:solidFill>
          </w14:textFill>
        </w:rPr>
      </w:pPr>
    </w:p>
    <w:bookmarkEnd w:id="422"/>
    <w:bookmarkEnd w:id="423"/>
    <w:bookmarkEnd w:id="426"/>
    <w:p w14:paraId="2D90E780">
      <w:pPr>
        <w:pStyle w:val="4"/>
        <w:numPr>
          <w:ilvl w:val="0"/>
          <w:numId w:val="105"/>
        </w:numPr>
        <w:ind w:left="420" w:hanging="420"/>
        <w:rPr>
          <w:rFonts w:hint="eastAsia" w:ascii="宋体" w:hAnsi="宋体"/>
          <w:color w:val="000000" w:themeColor="text1"/>
          <w14:textFill>
            <w14:solidFill>
              <w14:schemeClr w14:val="tx1"/>
            </w14:solidFill>
          </w14:textFill>
        </w:rPr>
      </w:pPr>
      <w:bookmarkStart w:id="427" w:name="_Hlk40787299"/>
      <w:bookmarkStart w:id="428" w:name="_Hlk167977424"/>
      <w:bookmarkStart w:id="429" w:name="_Hlk40787204"/>
      <w:r>
        <w:rPr>
          <w:rFonts w:hint="eastAsia" w:ascii="宋体" w:hAnsi="宋体"/>
          <w:color w:val="000000" w:themeColor="text1"/>
          <w14:textFill>
            <w14:solidFill>
              <w14:schemeClr w14:val="tx1"/>
            </w14:solidFill>
          </w14:textFill>
        </w:rPr>
        <w:t>以权益结算的股份支付情况</w:t>
      </w:r>
    </w:p>
    <w:sdt>
      <w:sdtPr>
        <w:rPr>
          <w:color w:val="000000" w:themeColor="text1"/>
          <w14:textFill>
            <w14:solidFill>
              <w14:schemeClr w14:val="tx1"/>
            </w14:solidFill>
          </w14:textFill>
        </w:rPr>
        <w:alias w:val="是否适用：以权益结算的股份支付情况[双击切换]"/>
        <w:tag w:val="_GBC_6dde9ffab03943229cd0918c8621502d"/>
        <w:id w:val="379455844"/>
        <w:placeholder>
          <w:docPart w:val="GBC22222222222222222222222222222"/>
        </w:placeholder>
      </w:sdtPr>
      <w:sdtEndPr>
        <w:rPr>
          <w:color w:val="000000" w:themeColor="text1"/>
          <w14:textFill>
            <w14:solidFill>
              <w14:schemeClr w14:val="tx1"/>
            </w14:solidFill>
          </w14:textFill>
        </w:rPr>
      </w:sdtEndPr>
      <w:sdtContent>
        <w:p w14:paraId="2B0DF2F7">
          <w:pPr>
            <w:rPr>
              <w:rFonts w:cstheme="minorBidi"/>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C4B7B1B">
      <w:pPr>
        <w:rPr>
          <w:rFonts w:cstheme="minorBidi"/>
          <w:color w:val="000000" w:themeColor="text1"/>
          <w14:textFill>
            <w14:solidFill>
              <w14:schemeClr w14:val="tx1"/>
            </w14:solidFill>
          </w14:textFill>
        </w:rPr>
      </w:pPr>
    </w:p>
    <w:bookmarkEnd w:id="427"/>
    <w:bookmarkEnd w:id="428"/>
    <w:p w14:paraId="76BEA308">
      <w:pPr>
        <w:rPr>
          <w:color w:val="000000" w:themeColor="text1"/>
          <w14:textFill>
            <w14:solidFill>
              <w14:schemeClr w14:val="tx1"/>
            </w14:solidFill>
          </w14:textFill>
        </w:rPr>
      </w:pPr>
    </w:p>
    <w:bookmarkEnd w:id="429"/>
    <w:p w14:paraId="0A815D39">
      <w:pPr>
        <w:pStyle w:val="4"/>
        <w:numPr>
          <w:ilvl w:val="0"/>
          <w:numId w:val="105"/>
        </w:numPr>
        <w:ind w:left="420" w:hanging="420"/>
        <w:rPr>
          <w:color w:val="000000" w:themeColor="text1"/>
          <w14:textFill>
            <w14:solidFill>
              <w14:schemeClr w14:val="tx1"/>
            </w14:solidFill>
          </w14:textFill>
        </w:rPr>
      </w:pPr>
      <w:bookmarkStart w:id="430" w:name="_Hlk167977563"/>
      <w:r>
        <w:rPr>
          <w:rFonts w:hint="eastAsia"/>
          <w:color w:val="000000" w:themeColor="text1"/>
          <w14:textFill>
            <w14:solidFill>
              <w14:schemeClr w14:val="tx1"/>
            </w14:solidFill>
          </w14:textFill>
        </w:rPr>
        <w:t>以现金结算的股份支付情况</w:t>
      </w:r>
    </w:p>
    <w:sdt>
      <w:sdtPr>
        <w:rPr>
          <w:color w:val="000000" w:themeColor="text1"/>
          <w14:textFill>
            <w14:solidFill>
              <w14:schemeClr w14:val="tx1"/>
            </w14:solidFill>
          </w14:textFill>
        </w:rPr>
        <w:alias w:val="是否适用：以现金结算的股份支付情况[双击切换]"/>
        <w:tag w:val="_GBC_2a6bb5b9d8a04286865cd607e7260a60"/>
        <w:id w:val="835185518"/>
        <w:placeholder>
          <w:docPart w:val="GBC22222222222222222222222222222"/>
        </w:placeholder>
      </w:sdtPr>
      <w:sdtEndPr>
        <w:rPr>
          <w:color w:val="000000" w:themeColor="text1"/>
          <w14:textFill>
            <w14:solidFill>
              <w14:schemeClr w14:val="tx1"/>
            </w14:solidFill>
          </w14:textFill>
        </w:rPr>
      </w:sdtEndPr>
      <w:sdtContent>
        <w:p w14:paraId="7A86C4D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A7B2DF5">
      <w:pPr>
        <w:rPr>
          <w:color w:val="000000" w:themeColor="text1"/>
          <w14:textFill>
            <w14:solidFill>
              <w14:schemeClr w14:val="tx1"/>
            </w14:solidFill>
          </w14:textFill>
        </w:rPr>
      </w:pPr>
    </w:p>
    <w:p w14:paraId="1F3B68BE">
      <w:pPr>
        <w:pStyle w:val="4"/>
        <w:numPr>
          <w:ilvl w:val="0"/>
          <w:numId w:val="105"/>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本期</w:t>
      </w:r>
      <w:r>
        <w:rPr>
          <w:rFonts w:hint="eastAsia"/>
          <w:color w:val="000000" w:themeColor="text1"/>
          <w14:textFill>
            <w14:solidFill>
              <w14:schemeClr w14:val="tx1"/>
            </w14:solidFill>
          </w14:textFill>
        </w:rPr>
        <w:t>股份支付费用</w:t>
      </w:r>
    </w:p>
    <w:sdt>
      <w:sdtPr>
        <w:rPr>
          <w:color w:val="000000" w:themeColor="text1"/>
          <w14:textFill>
            <w14:solidFill>
              <w14:schemeClr w14:val="tx1"/>
            </w14:solidFill>
          </w14:textFill>
        </w:rPr>
        <w:alias w:val="是否适用：股份支付费用[双击切换]"/>
        <w:tag w:val="_GBC_5b0304a006c7437ca2961c2d2bdf142a"/>
        <w:id w:val="-959565370"/>
        <w:placeholder>
          <w:docPart w:val="GBC22222222222222222222222222222"/>
        </w:placeholder>
      </w:sdtPr>
      <w:sdtEndPr>
        <w:rPr>
          <w:color w:val="000000" w:themeColor="text1"/>
          <w14:textFill>
            <w14:solidFill>
              <w14:schemeClr w14:val="tx1"/>
            </w14:solidFill>
          </w14:textFill>
        </w:rPr>
      </w:sdtEndPr>
      <w:sdtContent>
        <w:p w14:paraId="452E10AC">
          <w:pPr>
            <w:rPr>
              <w:color w:val="000000" w:themeColor="text1"/>
              <w14:textFill>
                <w14:solidFill>
                  <w14:schemeClr w14:val="tx1"/>
                </w14:solidFill>
              </w14:textFill>
            </w:rPr>
          </w:pPr>
          <w:bookmarkStart w:id="431" w:name="_Hlk168494235"/>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430"/>
    <w:bookmarkEnd w:id="431"/>
    <w:p w14:paraId="79080E30">
      <w:pPr>
        <w:rPr>
          <w:color w:val="000000" w:themeColor="text1"/>
          <w14:textFill>
            <w14:solidFill>
              <w14:schemeClr w14:val="tx1"/>
            </w14:solidFill>
          </w14:textFill>
        </w:rPr>
      </w:pPr>
      <w:bookmarkStart w:id="432" w:name="_Hlk168494436"/>
    </w:p>
    <w:p w14:paraId="45155341">
      <w:pPr>
        <w:rPr>
          <w:color w:val="000000" w:themeColor="text1"/>
          <w14:textFill>
            <w14:solidFill>
              <w14:schemeClr w14:val="tx1"/>
            </w14:solidFill>
          </w14:textFill>
        </w:rPr>
      </w:pPr>
    </w:p>
    <w:bookmarkEnd w:id="432"/>
    <w:p w14:paraId="5E27BC5A">
      <w:pPr>
        <w:pStyle w:val="4"/>
        <w:numPr>
          <w:ilvl w:val="0"/>
          <w:numId w:val="105"/>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股份支付的修改、终止情况</w:t>
      </w:r>
    </w:p>
    <w:sdt>
      <w:sdtPr>
        <w:rPr>
          <w:color w:val="000000" w:themeColor="text1"/>
          <w14:textFill>
            <w14:solidFill>
              <w14:schemeClr w14:val="tx1"/>
            </w14:solidFill>
          </w14:textFill>
        </w:rPr>
        <w:alias w:val="是否适用：股份支付的修改、终止情况[双击切换]"/>
        <w:tag w:val="_GBC_794cdee9be3b4b478fa83b914d22ea66"/>
        <w:id w:val="-439528623"/>
        <w:placeholder>
          <w:docPart w:val="GBC22222222222222222222222222222"/>
        </w:placeholder>
      </w:sdtPr>
      <w:sdtEndPr>
        <w:rPr>
          <w:color w:val="000000" w:themeColor="text1"/>
          <w14:textFill>
            <w14:solidFill>
              <w14:schemeClr w14:val="tx1"/>
            </w14:solidFill>
          </w14:textFill>
        </w:rPr>
      </w:sdtEndPr>
      <w:sdtContent>
        <w:p w14:paraId="677D2503">
          <w:pPr>
            <w:rPr>
              <w:rFonts w:cstheme="minorBidi"/>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701CE30">
      <w:pPr>
        <w:ind w:firstLine="210" w:firstLineChars="100"/>
        <w:rPr>
          <w:color w:val="000000" w:themeColor="text1"/>
          <w14:textFill>
            <w14:solidFill>
              <w14:schemeClr w14:val="tx1"/>
            </w14:solidFill>
          </w14:textFill>
        </w:rPr>
      </w:pPr>
    </w:p>
    <w:p w14:paraId="2B4FE912">
      <w:pPr>
        <w:pStyle w:val="4"/>
        <w:numPr>
          <w:ilvl w:val="0"/>
          <w:numId w:val="105"/>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w:t>
      </w:r>
    </w:p>
    <w:sdt>
      <w:sdtPr>
        <w:rPr>
          <w:color w:val="000000" w:themeColor="text1"/>
          <w14:textFill>
            <w14:solidFill>
              <w14:schemeClr w14:val="tx1"/>
            </w14:solidFill>
          </w14:textFill>
        </w:rPr>
        <w:alias w:val="是否适用：股份支付的其他情况说明[双击切换]"/>
        <w:tag w:val="_GBC_b8be1a19715949cab94dc673580d61a2"/>
        <w:id w:val="-129477815"/>
        <w:placeholder>
          <w:docPart w:val="GBC22222222222222222222222222222"/>
        </w:placeholder>
      </w:sdtPr>
      <w:sdtEndPr>
        <w:rPr>
          <w:color w:val="000000" w:themeColor="text1"/>
          <w14:textFill>
            <w14:solidFill>
              <w14:schemeClr w14:val="tx1"/>
            </w14:solidFill>
          </w14:textFill>
        </w:rPr>
      </w:sdtEndPr>
      <w:sdtContent>
        <w:p w14:paraId="1471DD4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F41AF12">
      <w:pPr>
        <w:rPr>
          <w:color w:val="000000" w:themeColor="text1"/>
          <w14:textFill>
            <w14:solidFill>
              <w14:schemeClr w14:val="tx1"/>
            </w14:solidFill>
          </w14:textFill>
        </w:rPr>
      </w:pPr>
    </w:p>
    <w:p w14:paraId="45E6490A">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承诺及或有事项</w:t>
      </w:r>
    </w:p>
    <w:p w14:paraId="2E8CD615">
      <w:pPr>
        <w:pStyle w:val="4"/>
        <w:numPr>
          <w:ilvl w:val="0"/>
          <w:numId w:val="107"/>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重要承诺事项</w:t>
      </w:r>
    </w:p>
    <w:sdt>
      <w:sdtPr>
        <w:rPr>
          <w:color w:val="000000" w:themeColor="text1"/>
          <w14:textFill>
            <w14:solidFill>
              <w14:schemeClr w14:val="tx1"/>
            </w14:solidFill>
          </w14:textFill>
        </w:rPr>
        <w:alias w:val="是否适用：重要承诺事项[双击切换]"/>
        <w:tag w:val="_GBC_3ee02d2bff5e4dd69f75cc6148bdda8f"/>
        <w:id w:val="1217399506"/>
        <w:placeholder>
          <w:docPart w:val="GBC22222222222222222222222222222"/>
        </w:placeholder>
      </w:sdtPr>
      <w:sdtEndPr>
        <w:rPr>
          <w:color w:val="000000" w:themeColor="text1"/>
          <w14:textFill>
            <w14:solidFill>
              <w14:schemeClr w14:val="tx1"/>
            </w14:solidFill>
          </w14:textFill>
        </w:rPr>
      </w:sdtEndPr>
      <w:sdtContent>
        <w:p w14:paraId="6BFDA81C">
          <w:pPr>
            <w:rPr>
              <w:rFonts w:cs="Cambria"/>
              <w:bCs w:val="0"/>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5140554">
      <w:pPr>
        <w:rPr>
          <w:rFonts w:cs="Cambria"/>
          <w:bCs w:val="0"/>
          <w:color w:val="000000" w:themeColor="text1"/>
          <w14:textFill>
            <w14:solidFill>
              <w14:schemeClr w14:val="tx1"/>
            </w14:solidFill>
          </w14:textFill>
        </w:rPr>
      </w:pPr>
    </w:p>
    <w:p w14:paraId="4C1D451A">
      <w:pPr>
        <w:rPr>
          <w:color w:val="000000" w:themeColor="text1"/>
          <w14:textFill>
            <w14:solidFill>
              <w14:schemeClr w14:val="tx1"/>
            </w14:solidFill>
          </w14:textFill>
        </w:rPr>
      </w:pPr>
    </w:p>
    <w:p w14:paraId="19F0CB44">
      <w:pPr>
        <w:pStyle w:val="4"/>
        <w:numPr>
          <w:ilvl w:val="0"/>
          <w:numId w:val="107"/>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或有事项</w:t>
      </w:r>
    </w:p>
    <w:p w14:paraId="45B2BADB">
      <w:pPr>
        <w:pStyle w:val="5"/>
        <w:numPr>
          <w:ilvl w:val="0"/>
          <w:numId w:val="108"/>
        </w:numPr>
        <w:tabs>
          <w:tab w:val="left" w:pos="616"/>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资产负债表日存在的重要或有事项</w:t>
      </w:r>
    </w:p>
    <w:sdt>
      <w:sdtPr>
        <w:rPr>
          <w:color w:val="000000" w:themeColor="text1"/>
          <w14:textFill>
            <w14:solidFill>
              <w14:schemeClr w14:val="tx1"/>
            </w14:solidFill>
          </w14:textFill>
        </w:rPr>
        <w:alias w:val="是否适用：资产负债表日存在的重要或有事项[双击切换]"/>
        <w:tag w:val="_GBC_dea854a30b4642f6b78351afe6791c32"/>
        <w:id w:val="871582461"/>
        <w:placeholder>
          <w:docPart w:val="GBC22222222222222222222222222222"/>
        </w:placeholder>
      </w:sdtPr>
      <w:sdtEndPr>
        <w:rPr>
          <w:color w:val="000000" w:themeColor="text1"/>
          <w14:textFill>
            <w14:solidFill>
              <w14:schemeClr w14:val="tx1"/>
            </w14:solidFill>
          </w14:textFill>
        </w:rPr>
      </w:sdtEndPr>
      <w:sdtContent>
        <w:p w14:paraId="35CC577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B435BA5">
      <w:pPr>
        <w:rPr>
          <w:color w:val="000000" w:themeColor="text1"/>
          <w14:textFill>
            <w14:solidFill>
              <w14:schemeClr w14:val="tx1"/>
            </w14:solidFill>
          </w14:textFill>
        </w:rPr>
      </w:pPr>
    </w:p>
    <w:p w14:paraId="621FC1B9">
      <w:pPr>
        <w:pStyle w:val="5"/>
        <w:numPr>
          <w:ilvl w:val="0"/>
          <w:numId w:val="108"/>
        </w:numPr>
        <w:tabs>
          <w:tab w:val="left" w:pos="616"/>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公司没有需要披露的重要或有事项，也应予以说明：</w:t>
      </w:r>
    </w:p>
    <w:sdt>
      <w:sdtPr>
        <w:rPr>
          <w:color w:val="000000" w:themeColor="text1"/>
          <w14:textFill>
            <w14:solidFill>
              <w14:schemeClr w14:val="tx1"/>
            </w14:solidFill>
          </w14:textFill>
        </w:rPr>
        <w:alias w:val="是否适用：公司没有需要披露的重要或有事项，也应予以说明[双击切换]"/>
        <w:tag w:val="_GBC_a0545390a9694adcaaee8509e290303c"/>
        <w:id w:val="-15938073"/>
        <w:placeholder>
          <w:docPart w:val="GBC22222222222222222222222222222"/>
        </w:placeholder>
      </w:sdtPr>
      <w:sdtEndPr>
        <w:rPr>
          <w:color w:val="000000" w:themeColor="text1"/>
          <w14:textFill>
            <w14:solidFill>
              <w14:schemeClr w14:val="tx1"/>
            </w14:solidFill>
          </w14:textFill>
        </w:rPr>
      </w:sdtEndPr>
      <w:sdtContent>
        <w:p w14:paraId="7EA9D8B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4ED0D66">
      <w:pPr>
        <w:rPr>
          <w:rFonts w:cstheme="minorBidi"/>
          <w:color w:val="000000" w:themeColor="text1"/>
          <w14:textFill>
            <w14:solidFill>
              <w14:schemeClr w14:val="tx1"/>
            </w14:solidFill>
          </w14:textFill>
        </w:rPr>
      </w:pPr>
    </w:p>
    <w:p w14:paraId="2527DF31">
      <w:pPr>
        <w:pStyle w:val="4"/>
        <w:numPr>
          <w:ilvl w:val="0"/>
          <w:numId w:val="107"/>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w:t>
      </w:r>
    </w:p>
    <w:sdt>
      <w:sdtPr>
        <w:rPr>
          <w:color w:val="000000" w:themeColor="text1"/>
          <w14:textFill>
            <w14:solidFill>
              <w14:schemeClr w14:val="tx1"/>
            </w14:solidFill>
          </w14:textFill>
        </w:rPr>
        <w:alias w:val="是否适用：承诺及或有事项的其他情况说明[双击切换]"/>
        <w:tag w:val="_GBC_ff33b21a56eb4d3291f2b4875be5a2b2"/>
        <w:id w:val="-1398283682"/>
        <w:placeholder>
          <w:docPart w:val="GBC22222222222222222222222222222"/>
        </w:placeholder>
      </w:sdtPr>
      <w:sdtEndPr>
        <w:rPr>
          <w:color w:val="000000" w:themeColor="text1"/>
          <w14:textFill>
            <w14:solidFill>
              <w14:schemeClr w14:val="tx1"/>
            </w14:solidFill>
          </w14:textFill>
        </w:rPr>
      </w:sdtEndPr>
      <w:sdtContent>
        <w:p w14:paraId="6C6D77D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E9C37FF">
      <w:pPr>
        <w:rPr>
          <w:color w:val="000000" w:themeColor="text1"/>
          <w14:textFill>
            <w14:solidFill>
              <w14:schemeClr w14:val="tx1"/>
            </w14:solidFill>
          </w14:textFill>
        </w:rPr>
      </w:pPr>
    </w:p>
    <w:p w14:paraId="0A1CFBE5">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资产负债表日后事项</w:t>
      </w:r>
    </w:p>
    <w:p w14:paraId="14F833E5">
      <w:pPr>
        <w:pStyle w:val="4"/>
        <w:numPr>
          <w:ilvl w:val="0"/>
          <w:numId w:val="109"/>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重要的非调整事项</w:t>
      </w:r>
    </w:p>
    <w:sdt>
      <w:sdtPr>
        <w:rPr>
          <w:color w:val="000000" w:themeColor="text1"/>
          <w14:textFill>
            <w14:solidFill>
              <w14:schemeClr w14:val="tx1"/>
            </w14:solidFill>
          </w14:textFill>
        </w:rPr>
        <w:alias w:val="是否适用：重要的非调整事项[双击切换]"/>
        <w:tag w:val="_GBC_ab366a8fb12748d6aa2a8401b360857c"/>
        <w:id w:val="-1189281565"/>
        <w:placeholder>
          <w:docPart w:val="GBC22222222222222222222222222222"/>
        </w:placeholder>
      </w:sdtPr>
      <w:sdtEndPr>
        <w:rPr>
          <w:color w:val="000000" w:themeColor="text1"/>
          <w14:textFill>
            <w14:solidFill>
              <w14:schemeClr w14:val="tx1"/>
            </w14:solidFill>
          </w14:textFill>
        </w:rPr>
      </w:sdtEndPr>
      <w:sdtContent>
        <w:p w14:paraId="2BE44FC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496C17F">
      <w:pPr>
        <w:rPr>
          <w:color w:val="000000" w:themeColor="text1"/>
          <w14:textFill>
            <w14:solidFill>
              <w14:schemeClr w14:val="tx1"/>
            </w14:solidFill>
          </w14:textFill>
        </w:rPr>
      </w:pPr>
    </w:p>
    <w:p w14:paraId="70D68B97">
      <w:pPr>
        <w:pStyle w:val="4"/>
        <w:numPr>
          <w:ilvl w:val="0"/>
          <w:numId w:val="109"/>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利润分配情况</w:t>
      </w:r>
    </w:p>
    <w:sdt>
      <w:sdtPr>
        <w:rPr>
          <w:color w:val="000000" w:themeColor="text1"/>
          <w14:textFill>
            <w14:solidFill>
              <w14:schemeClr w14:val="tx1"/>
            </w14:solidFill>
          </w14:textFill>
        </w:rPr>
        <w:alias w:val="是否适用：利润分配情况[双击切换]"/>
        <w:tag w:val="_GBC_a2ea8cd0604f474db0e7e62eb7fc0435"/>
        <w:id w:val="1362561271"/>
        <w:placeholder>
          <w:docPart w:val="GBC22222222222222222222222222222"/>
        </w:placeholder>
      </w:sdtPr>
      <w:sdtEndPr>
        <w:rPr>
          <w:color w:val="000000" w:themeColor="text1"/>
          <w14:textFill>
            <w14:solidFill>
              <w14:schemeClr w14:val="tx1"/>
            </w14:solidFill>
          </w14:textFill>
        </w:rPr>
      </w:sdtEndPr>
      <w:sdtContent>
        <w:p w14:paraId="71B6266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3ED0620">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资产负债表日后利润分配情况说明"/>
          <w:tag w:val="_GBC_2cd50742f31e450d918c4d757ac95355"/>
          <w:id w:val="100193839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资产负债表日后利润分配情况说明"/>
          <w:tag w:val="_GBC_3cd32df399a942d9a0192661fd8c3923"/>
          <w:id w:val="20850171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30"/>
        <w:gridCol w:w="5193"/>
      </w:tblGrid>
      <w:tr w14:paraId="4FFB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7" w:type="pct"/>
            <w:tcBorders>
              <w:top w:val="single" w:color="auto" w:sz="4" w:space="0"/>
              <w:left w:val="single" w:color="auto" w:sz="4" w:space="0"/>
              <w:bottom w:val="single" w:color="auto" w:sz="4" w:space="0"/>
              <w:right w:val="single" w:color="auto" w:sz="4" w:space="0"/>
            </w:tcBorders>
          </w:tcPr>
          <w:p w14:paraId="6710F46E">
            <w:pPr>
              <w:rPr>
                <w:color w:val="000000" w:themeColor="text1"/>
                <w14:textFill>
                  <w14:solidFill>
                    <w14:schemeClr w14:val="tx1"/>
                  </w14:solidFill>
                </w14:textFill>
              </w:rPr>
            </w:pPr>
            <w:r>
              <w:rPr>
                <w:rFonts w:hint="eastAsia"/>
                <w:color w:val="000000" w:themeColor="text1"/>
                <w14:textFill>
                  <w14:solidFill>
                    <w14:schemeClr w14:val="tx1"/>
                  </w14:solidFill>
                </w14:textFill>
              </w:rPr>
              <w:t>拟分配的利润或股利</w:t>
            </w:r>
          </w:p>
        </w:tc>
        <w:sdt>
          <w:sdtPr>
            <w:rPr>
              <w:color w:val="000000" w:themeColor="text1"/>
              <w14:textFill>
                <w14:solidFill>
                  <w14:schemeClr w14:val="tx1"/>
                </w14:solidFill>
              </w14:textFill>
            </w:rPr>
            <w:alias w:val="资产负债表日后拟分配的利润或股利"/>
            <w:tag w:val="_GBC_0673339193f94043bd739ad6bed78c34"/>
            <w:id w:val="1110324737"/>
          </w:sdtPr>
          <w:sdtEndPr>
            <w:rPr>
              <w:color w:val="000000" w:themeColor="text1"/>
              <w14:textFill>
                <w14:solidFill>
                  <w14:schemeClr w14:val="tx1"/>
                </w14:solidFill>
              </w14:textFill>
            </w:rPr>
          </w:sdtEndPr>
          <w:sdtContent>
            <w:tc>
              <w:tcPr>
                <w:tcW w:w="2943" w:type="pct"/>
                <w:tcBorders>
                  <w:top w:val="single" w:color="auto" w:sz="4" w:space="0"/>
                  <w:left w:val="single" w:color="auto" w:sz="4" w:space="0"/>
                  <w:bottom w:val="single" w:color="auto" w:sz="4" w:space="0"/>
                  <w:right w:val="single" w:color="auto" w:sz="4" w:space="0"/>
                </w:tcBorders>
              </w:tcPr>
              <w:p w14:paraId="107E1514">
                <w:pPr>
                  <w:jc w:val="right"/>
                  <w:rPr>
                    <w:color w:val="000000" w:themeColor="text1"/>
                    <w14:textFill>
                      <w14:solidFill>
                        <w14:schemeClr w14:val="tx1"/>
                      </w14:solidFill>
                    </w14:textFill>
                  </w:rPr>
                </w:pPr>
                <w:r>
                  <w:rPr>
                    <w:color w:val="000000" w:themeColor="text1"/>
                    <w14:textFill>
                      <w14:solidFill>
                        <w14:schemeClr w14:val="tx1"/>
                      </w14:solidFill>
                    </w14:textFill>
                  </w:rPr>
                  <w:t>8,970,505.03</w:t>
                </w:r>
              </w:p>
            </w:tc>
          </w:sdtContent>
        </w:sdt>
      </w:tr>
      <w:tr w14:paraId="0B80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7" w:type="pct"/>
            <w:tcBorders>
              <w:top w:val="single" w:color="auto" w:sz="4" w:space="0"/>
              <w:left w:val="single" w:color="auto" w:sz="4" w:space="0"/>
              <w:bottom w:val="single" w:color="auto" w:sz="4" w:space="0"/>
              <w:right w:val="single" w:color="auto" w:sz="4" w:space="0"/>
            </w:tcBorders>
          </w:tcPr>
          <w:p w14:paraId="773B9807">
            <w:pPr>
              <w:rPr>
                <w:color w:val="000000" w:themeColor="text1"/>
                <w14:textFill>
                  <w14:solidFill>
                    <w14:schemeClr w14:val="tx1"/>
                  </w14:solidFill>
                </w14:textFill>
              </w:rPr>
            </w:pPr>
            <w:r>
              <w:rPr>
                <w:rFonts w:hint="eastAsia"/>
                <w:color w:val="000000" w:themeColor="text1"/>
                <w14:textFill>
                  <w14:solidFill>
                    <w14:schemeClr w14:val="tx1"/>
                  </w14:solidFill>
                </w14:textFill>
              </w:rPr>
              <w:t>经审议批准宣告发放的利润或股利</w:t>
            </w:r>
          </w:p>
        </w:tc>
        <w:tc>
          <w:tcPr>
            <w:tcW w:w="2943" w:type="pct"/>
            <w:tcBorders>
              <w:top w:val="single" w:color="auto" w:sz="4" w:space="0"/>
              <w:left w:val="single" w:color="auto" w:sz="4" w:space="0"/>
              <w:bottom w:val="single" w:color="auto" w:sz="4" w:space="0"/>
              <w:right w:val="single" w:color="auto" w:sz="4" w:space="0"/>
            </w:tcBorders>
          </w:tcPr>
          <w:p w14:paraId="44444E69">
            <w:pPr>
              <w:jc w:val="right"/>
            </w:pPr>
            <w:r>
              <w:t>8,970,505.03</w:t>
            </w:r>
          </w:p>
        </w:tc>
      </w:tr>
    </w:tbl>
    <w:p w14:paraId="6D2BE5BB">
      <w:pPr>
        <w:rPr>
          <w:color w:val="000000" w:themeColor="text1"/>
          <w14:textFill>
            <w14:solidFill>
              <w14:schemeClr w14:val="tx1"/>
            </w14:solidFill>
          </w14:textFill>
        </w:rPr>
      </w:pPr>
    </w:p>
    <w:p w14:paraId="4819357D">
      <w:pPr>
        <w:pStyle w:val="4"/>
        <w:numPr>
          <w:ilvl w:val="0"/>
          <w:numId w:val="109"/>
        </w:numPr>
        <w:rPr>
          <w:rFonts w:hint="eastAsia" w:ascii="宋体" w:hAnsi="宋体"/>
          <w:color w:val="000000" w:themeColor="text1"/>
          <w14:textFill>
            <w14:solidFill>
              <w14:schemeClr w14:val="tx1"/>
            </w14:solidFill>
          </w14:textFill>
        </w:rPr>
      </w:pPr>
      <w:bookmarkStart w:id="433" w:name="_Toc241636515"/>
      <w:r>
        <w:rPr>
          <w:rFonts w:hint="eastAsia" w:ascii="宋体" w:hAnsi="宋体"/>
          <w:color w:val="000000" w:themeColor="text1"/>
          <w:szCs w:val="21"/>
          <w14:textFill>
            <w14:solidFill>
              <w14:schemeClr w14:val="tx1"/>
            </w14:solidFill>
          </w14:textFill>
        </w:rPr>
        <w:t>销售</w:t>
      </w:r>
      <w:r>
        <w:rPr>
          <w:rFonts w:hint="eastAsia" w:ascii="宋体" w:hAnsi="宋体"/>
          <w:color w:val="000000" w:themeColor="text1"/>
          <w14:textFill>
            <w14:solidFill>
              <w14:schemeClr w14:val="tx1"/>
            </w14:solidFill>
          </w14:textFill>
        </w:rPr>
        <w:t>退回</w:t>
      </w:r>
    </w:p>
    <w:sdt>
      <w:sdtPr>
        <w:rPr>
          <w:color w:val="000000" w:themeColor="text1"/>
          <w14:textFill>
            <w14:solidFill>
              <w14:schemeClr w14:val="tx1"/>
            </w14:solidFill>
          </w14:textFill>
        </w:rPr>
        <w:alias w:val="是否适用：销售退回[双击切换]"/>
        <w:tag w:val="_GBC_4175c0e820fa43cd98dd2d05c0dea8a8"/>
        <w:id w:val="254877208"/>
        <w:placeholder>
          <w:docPart w:val="GBC22222222222222222222222222222"/>
        </w:placeholder>
      </w:sdtPr>
      <w:sdtEndPr>
        <w:rPr>
          <w:color w:val="000000" w:themeColor="text1"/>
          <w14:textFill>
            <w14:solidFill>
              <w14:schemeClr w14:val="tx1"/>
            </w14:solidFill>
          </w14:textFill>
        </w:rPr>
      </w:sdtEndPr>
      <w:sdtContent>
        <w:p w14:paraId="676874A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D4F2CB7">
      <w:pPr>
        <w:rPr>
          <w:color w:val="000000" w:themeColor="text1"/>
          <w14:textFill>
            <w14:solidFill>
              <w14:schemeClr w14:val="tx1"/>
            </w14:solidFill>
          </w14:textFill>
        </w:rPr>
      </w:pPr>
    </w:p>
    <w:p w14:paraId="5173355B">
      <w:pPr>
        <w:pStyle w:val="4"/>
        <w:numPr>
          <w:ilvl w:val="0"/>
          <w:numId w:val="109"/>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其他资产负债表日后事项说明</w:t>
      </w:r>
      <w:bookmarkEnd w:id="433"/>
    </w:p>
    <w:sdt>
      <w:sdtPr>
        <w:rPr>
          <w:color w:val="000000" w:themeColor="text1"/>
          <w14:textFill>
            <w14:solidFill>
              <w14:schemeClr w14:val="tx1"/>
            </w14:solidFill>
          </w14:textFill>
        </w:rPr>
        <w:alias w:val="是否适用：其他资产负债表日后事项说明[双击切换]"/>
        <w:tag w:val="_GBC_3da0e7092a0048ed9e147e2e860785f5"/>
        <w:id w:val="-938131281"/>
        <w:placeholder>
          <w:docPart w:val="GBC22222222222222222222222222222"/>
        </w:placeholder>
      </w:sdtPr>
      <w:sdtEndPr>
        <w:rPr>
          <w:color w:val="000000" w:themeColor="text1"/>
          <w14:textFill>
            <w14:solidFill>
              <w14:schemeClr w14:val="tx1"/>
            </w14:solidFill>
          </w14:textFill>
        </w:rPr>
      </w:sdtEndPr>
      <w:sdtContent>
        <w:p w14:paraId="70E29A2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0416420">
      <w:pPr>
        <w:rPr>
          <w:color w:val="000000" w:themeColor="text1"/>
          <w14:textFill>
            <w14:solidFill>
              <w14:schemeClr w14:val="tx1"/>
            </w14:solidFill>
          </w14:textFill>
        </w:rPr>
      </w:pPr>
    </w:p>
    <w:p w14:paraId="27AAE6E2">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其他重要事项</w:t>
      </w:r>
    </w:p>
    <w:p w14:paraId="62683BF9">
      <w:pPr>
        <w:pStyle w:val="4"/>
        <w:numPr>
          <w:ilvl w:val="0"/>
          <w:numId w:val="110"/>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前期会计差错更正</w:t>
      </w:r>
    </w:p>
    <w:p w14:paraId="53D1B16C">
      <w:pPr>
        <w:pStyle w:val="5"/>
        <w:numPr>
          <w:ilvl w:val="0"/>
          <w:numId w:val="111"/>
        </w:numPr>
        <w:tabs>
          <w:tab w:val="left" w:pos="602"/>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追溯重述法</w:t>
      </w:r>
    </w:p>
    <w:sdt>
      <w:sdtPr>
        <w:rPr>
          <w:rFonts w:hint="eastAsia"/>
          <w:color w:val="000000" w:themeColor="text1"/>
          <w14:textFill>
            <w14:solidFill>
              <w14:schemeClr w14:val="tx1"/>
            </w14:solidFill>
          </w14:textFill>
        </w:rPr>
        <w:alias w:val="是否适用：追溯重述法[双击切换]"/>
        <w:tag w:val="_GBC_9d59987ec8f64e568cc0874cd76bb5ce"/>
        <w:id w:val="-756283637"/>
        <w:placeholder>
          <w:docPart w:val="GBC22222222222222222222222222222"/>
        </w:placeholder>
      </w:sdtPr>
      <w:sdtEndPr>
        <w:rPr>
          <w:rFonts w:hint="eastAsia"/>
          <w:color w:val="000000" w:themeColor="text1"/>
          <w14:textFill>
            <w14:solidFill>
              <w14:schemeClr w14:val="tx1"/>
            </w14:solidFill>
          </w14:textFill>
        </w:rPr>
      </w:sdtEndPr>
      <w:sdtContent>
        <w:p w14:paraId="0764812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C0E138D">
      <w:pPr>
        <w:rPr>
          <w:color w:val="000000" w:themeColor="text1"/>
          <w14:textFill>
            <w14:solidFill>
              <w14:schemeClr w14:val="tx1"/>
            </w14:solidFill>
          </w14:textFill>
        </w:rPr>
      </w:pPr>
    </w:p>
    <w:p w14:paraId="35BADE1A">
      <w:pPr>
        <w:pStyle w:val="5"/>
        <w:numPr>
          <w:ilvl w:val="0"/>
          <w:numId w:val="111"/>
        </w:numPr>
        <w:tabs>
          <w:tab w:val="left" w:pos="602"/>
        </w:tabs>
        <w:rPr>
          <w:rFonts w:hint="eastAsia" w:ascii="宋体" w:hAnsi="宋体" w:cs="Cambria"/>
          <w:bCs/>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未来适用法</w:t>
      </w:r>
    </w:p>
    <w:sdt>
      <w:sdtPr>
        <w:rPr>
          <w:color w:val="000000" w:themeColor="text1"/>
          <w14:textFill>
            <w14:solidFill>
              <w14:schemeClr w14:val="tx1"/>
            </w14:solidFill>
          </w14:textFill>
        </w:rPr>
        <w:alias w:val="是否适用：未来适用法[双击切换]"/>
        <w:tag w:val="_GBC_add0977272ee43e7938e3e96c6aaa92d"/>
        <w:id w:val="-636184510"/>
        <w:placeholder>
          <w:docPart w:val="GBC22222222222222222222222222222"/>
        </w:placeholder>
      </w:sdtPr>
      <w:sdtEndPr>
        <w:rPr>
          <w:color w:val="000000" w:themeColor="text1"/>
          <w14:textFill>
            <w14:solidFill>
              <w14:schemeClr w14:val="tx1"/>
            </w14:solidFill>
          </w14:textFill>
        </w:rPr>
      </w:sdtEndPr>
      <w:sdtContent>
        <w:p w14:paraId="2211330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D3EAA27">
      <w:pPr>
        <w:rPr>
          <w:color w:val="000000" w:themeColor="text1"/>
          <w14:textFill>
            <w14:solidFill>
              <w14:schemeClr w14:val="tx1"/>
            </w14:solidFill>
          </w14:textFill>
        </w:rPr>
      </w:pPr>
    </w:p>
    <w:p w14:paraId="08E088EA">
      <w:pPr>
        <w:pStyle w:val="4"/>
        <w:numPr>
          <w:ilvl w:val="0"/>
          <w:numId w:val="110"/>
        </w:numPr>
        <w:ind w:left="0" w:firstLine="0"/>
        <w:rPr>
          <w:color w:val="000000" w:themeColor="text1"/>
          <w14:textFill>
            <w14:solidFill>
              <w14:schemeClr w14:val="tx1"/>
            </w14:solidFill>
          </w14:textFill>
        </w:rPr>
      </w:pPr>
      <w:bookmarkStart w:id="434" w:name="_Hlk167977672"/>
      <w:r>
        <w:rPr>
          <w:rFonts w:hint="eastAsia" w:ascii="宋体" w:hAnsi="宋体" w:cs="宋体"/>
          <w:color w:val="000000" w:themeColor="text1"/>
          <w:kern w:val="0"/>
          <w:szCs w:val="24"/>
          <w14:textFill>
            <w14:solidFill>
              <w14:schemeClr w14:val="tx1"/>
            </w14:solidFill>
          </w14:textFill>
        </w:rPr>
        <w:t>重要</w:t>
      </w:r>
      <w:r>
        <w:rPr>
          <w:rFonts w:hint="eastAsia"/>
          <w:color w:val="000000" w:themeColor="text1"/>
          <w14:textFill>
            <w14:solidFill>
              <w14:schemeClr w14:val="tx1"/>
            </w14:solidFill>
          </w14:textFill>
        </w:rPr>
        <w:t>债务重组</w:t>
      </w:r>
    </w:p>
    <w:sdt>
      <w:sdtPr>
        <w:rPr>
          <w:color w:val="000000" w:themeColor="text1"/>
          <w14:textFill>
            <w14:solidFill>
              <w14:schemeClr w14:val="tx1"/>
            </w14:solidFill>
          </w14:textFill>
        </w:rPr>
        <w:alias w:val="是否适用：重要债务重组[双击切换]"/>
        <w:tag w:val="_GBC_14f62373def24b6b994f6cfe645fabcb"/>
        <w:id w:val="-180978481"/>
        <w:placeholder>
          <w:docPart w:val="GBC22222222222222222222222222222"/>
        </w:placeholder>
      </w:sdtPr>
      <w:sdtEndPr>
        <w:rPr>
          <w:color w:val="000000" w:themeColor="text1"/>
          <w14:textFill>
            <w14:solidFill>
              <w14:schemeClr w14:val="tx1"/>
            </w14:solidFill>
          </w14:textFill>
        </w:rPr>
      </w:sdtEndPr>
      <w:sdtContent>
        <w:p w14:paraId="28F130E8">
          <w:pPr>
            <w:rPr>
              <w:rFonts w:asciiTheme="minorHAnsi" w:hAnsiTheme="minorHAnsi" w:eastAsiaTheme="minorEastAsia" w:cstheme="minorBidi"/>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A4AF07B">
      <w:pPr>
        <w:spacing w:line="360" w:lineRule="exact"/>
        <w:ind w:right="5"/>
        <w:rPr>
          <w:rFonts w:asciiTheme="minorHAnsi" w:hAnsiTheme="minorHAnsi" w:eastAsiaTheme="minorEastAsia" w:cstheme="minorBidi"/>
          <w:color w:val="000000" w:themeColor="text1"/>
          <w14:textFill>
            <w14:solidFill>
              <w14:schemeClr w14:val="tx1"/>
            </w14:solidFill>
          </w14:textFill>
        </w:rPr>
      </w:pPr>
    </w:p>
    <w:bookmarkEnd w:id="434"/>
    <w:p w14:paraId="37F86DBC">
      <w:pPr>
        <w:rPr>
          <w:color w:val="000000" w:themeColor="text1"/>
          <w14:textFill>
            <w14:solidFill>
              <w14:schemeClr w14:val="tx1"/>
            </w14:solidFill>
          </w14:textFill>
        </w:rPr>
      </w:pPr>
    </w:p>
    <w:p w14:paraId="509690F9">
      <w:pPr>
        <w:pStyle w:val="4"/>
        <w:numPr>
          <w:ilvl w:val="0"/>
          <w:numId w:val="110"/>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资产置换</w:t>
      </w:r>
    </w:p>
    <w:p w14:paraId="3B448BD4">
      <w:pPr>
        <w:pStyle w:val="5"/>
        <w:numPr>
          <w:ilvl w:val="0"/>
          <w:numId w:val="112"/>
        </w:numPr>
        <w:tabs>
          <w:tab w:val="left" w:pos="644"/>
        </w:tabs>
        <w:rPr>
          <w:rFonts w:hint="eastAsia" w:ascii="宋体" w:hAnsi="宋体"/>
          <w:color w:val="000000" w:themeColor="text1"/>
          <w14:textFill>
            <w14:solidFill>
              <w14:schemeClr w14:val="tx1"/>
            </w14:solidFill>
          </w14:textFill>
        </w:rPr>
      </w:pPr>
      <w:bookmarkStart w:id="435" w:name="_Toc161412438"/>
      <w:bookmarkStart w:id="436" w:name="_Toc241636517"/>
      <w:r>
        <w:rPr>
          <w:rFonts w:hint="eastAsia" w:ascii="宋体" w:hAnsi="宋体"/>
          <w:color w:val="000000" w:themeColor="text1"/>
          <w14:textFill>
            <w14:solidFill>
              <w14:schemeClr w14:val="tx1"/>
            </w14:solidFill>
          </w14:textFill>
        </w:rPr>
        <w:t>非货币性资产交换</w:t>
      </w:r>
      <w:bookmarkEnd w:id="435"/>
      <w:bookmarkEnd w:id="436"/>
    </w:p>
    <w:sdt>
      <w:sdtPr>
        <w:rPr>
          <w:color w:val="000000" w:themeColor="text1"/>
          <w14:textFill>
            <w14:solidFill>
              <w14:schemeClr w14:val="tx1"/>
            </w14:solidFill>
          </w14:textFill>
        </w:rPr>
        <w:alias w:val="是否适用：非货币性资产交换[双击切换]"/>
        <w:tag w:val="_GBC_1e8378570c9a4db08ad001118944af2e"/>
        <w:id w:val="1460914445"/>
        <w:placeholder>
          <w:docPart w:val="GBC22222222222222222222222222222"/>
        </w:placeholder>
      </w:sdtPr>
      <w:sdtEndPr>
        <w:rPr>
          <w:color w:val="000000" w:themeColor="text1"/>
          <w14:textFill>
            <w14:solidFill>
              <w14:schemeClr w14:val="tx1"/>
            </w14:solidFill>
          </w14:textFill>
        </w:rPr>
      </w:sdtEndPr>
      <w:sdtContent>
        <w:p w14:paraId="73F378F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E744E88">
      <w:pPr>
        <w:rPr>
          <w:color w:val="000000" w:themeColor="text1"/>
          <w14:textFill>
            <w14:solidFill>
              <w14:schemeClr w14:val="tx1"/>
            </w14:solidFill>
          </w14:textFill>
        </w:rPr>
      </w:pPr>
    </w:p>
    <w:p w14:paraId="2EF5973E">
      <w:pPr>
        <w:pStyle w:val="5"/>
        <w:numPr>
          <w:ilvl w:val="0"/>
          <w:numId w:val="112"/>
        </w:numPr>
        <w:tabs>
          <w:tab w:val="left" w:pos="644"/>
        </w:tabs>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其他资产置换</w:t>
      </w:r>
    </w:p>
    <w:sdt>
      <w:sdtPr>
        <w:rPr>
          <w:color w:val="000000" w:themeColor="text1"/>
          <w14:textFill>
            <w14:solidFill>
              <w14:schemeClr w14:val="tx1"/>
            </w14:solidFill>
          </w14:textFill>
        </w:rPr>
        <w:alias w:val="是否适用：其他资产置换[双击切换]"/>
        <w:tag w:val="_GBC_e20be5fc12b94f43a4090c14cc3aec63"/>
        <w:id w:val="1184861554"/>
        <w:placeholder>
          <w:docPart w:val="GBC22222222222222222222222222222"/>
        </w:placeholder>
      </w:sdtPr>
      <w:sdtEndPr>
        <w:rPr>
          <w:color w:val="000000" w:themeColor="text1"/>
          <w14:textFill>
            <w14:solidFill>
              <w14:schemeClr w14:val="tx1"/>
            </w14:solidFill>
          </w14:textFill>
        </w:rPr>
      </w:sdtEndPr>
      <w:sdtContent>
        <w:p w14:paraId="0FE1319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D385A0D">
      <w:pPr>
        <w:rPr>
          <w:color w:val="000000" w:themeColor="text1"/>
          <w14:textFill>
            <w14:solidFill>
              <w14:schemeClr w14:val="tx1"/>
            </w14:solidFill>
          </w14:textFill>
        </w:rPr>
      </w:pPr>
    </w:p>
    <w:p w14:paraId="05E389A8">
      <w:pPr>
        <w:pStyle w:val="4"/>
        <w:numPr>
          <w:ilvl w:val="0"/>
          <w:numId w:val="110"/>
        </w:numPr>
        <w:rPr>
          <w:rFonts w:hint="eastAsia" w:ascii="宋体" w:hAnsi="宋体"/>
          <w:color w:val="000000" w:themeColor="text1"/>
          <w14:textFill>
            <w14:solidFill>
              <w14:schemeClr w14:val="tx1"/>
            </w14:solidFill>
          </w14:textFill>
        </w:rPr>
      </w:pPr>
      <w:bookmarkStart w:id="437" w:name="_Toc247371936"/>
      <w:r>
        <w:rPr>
          <w:rFonts w:hint="eastAsia" w:ascii="宋体" w:hAnsi="宋体"/>
          <w:color w:val="000000" w:themeColor="text1"/>
          <w14:textFill>
            <w14:solidFill>
              <w14:schemeClr w14:val="tx1"/>
            </w14:solidFill>
          </w14:textFill>
        </w:rPr>
        <w:t>年金计划</w:t>
      </w:r>
      <w:bookmarkEnd w:id="437"/>
    </w:p>
    <w:sdt>
      <w:sdtPr>
        <w:rPr>
          <w:color w:val="000000" w:themeColor="text1"/>
          <w14:textFill>
            <w14:solidFill>
              <w14:schemeClr w14:val="tx1"/>
            </w14:solidFill>
          </w14:textFill>
        </w:rPr>
        <w:alias w:val="是否适用：年金计划[双击切换]"/>
        <w:tag w:val="_GBC_f69a163f78f74a54a6443aaa7388f0dd"/>
        <w:id w:val="-388192680"/>
        <w:placeholder>
          <w:docPart w:val="GBC22222222222222222222222222222"/>
        </w:placeholder>
      </w:sdtPr>
      <w:sdtEndPr>
        <w:rPr>
          <w:color w:val="000000" w:themeColor="text1"/>
          <w14:textFill>
            <w14:solidFill>
              <w14:schemeClr w14:val="tx1"/>
            </w14:solidFill>
          </w14:textFill>
        </w:rPr>
      </w:sdtEndPr>
      <w:sdtContent>
        <w:p w14:paraId="680873C1">
          <w:pPr>
            <w:rPr>
              <w:rFonts w:cstheme="minorBidi"/>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74D926D">
      <w:pPr>
        <w:rPr>
          <w:color w:val="000000" w:themeColor="text1"/>
          <w14:textFill>
            <w14:solidFill>
              <w14:schemeClr w14:val="tx1"/>
            </w14:solidFill>
          </w14:textFill>
        </w:rPr>
      </w:pPr>
    </w:p>
    <w:p w14:paraId="65F714DF">
      <w:pPr>
        <w:pStyle w:val="4"/>
        <w:numPr>
          <w:ilvl w:val="0"/>
          <w:numId w:val="110"/>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终止经营</w:t>
      </w:r>
    </w:p>
    <w:sdt>
      <w:sdtPr>
        <w:rPr>
          <w:color w:val="000000" w:themeColor="text1"/>
          <w14:textFill>
            <w14:solidFill>
              <w14:schemeClr w14:val="tx1"/>
            </w14:solidFill>
          </w14:textFill>
        </w:rPr>
        <w:alias w:val="是否适用：终止经营[双击切换]"/>
        <w:tag w:val="_GBC_8e88002e405543f593111633f63e4d8b"/>
        <w:id w:val="949588088"/>
        <w:placeholder>
          <w:docPart w:val="GBC22222222222222222222222222222"/>
        </w:placeholder>
      </w:sdtPr>
      <w:sdtEndPr>
        <w:rPr>
          <w:color w:val="000000" w:themeColor="text1"/>
          <w14:textFill>
            <w14:solidFill>
              <w14:schemeClr w14:val="tx1"/>
            </w14:solidFill>
          </w14:textFill>
        </w:rPr>
      </w:sdtEndPr>
      <w:sdtContent>
        <w:p w14:paraId="52E88E78">
          <w:pPr>
            <w:rPr>
              <w:rFonts w:cstheme="minorBidi"/>
              <w:color w:val="000000" w:themeColor="text1"/>
              <w:kern w:val="2"/>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CF77DFA">
      <w:pPr>
        <w:rPr>
          <w:rFonts w:cstheme="minorBidi"/>
          <w:color w:val="000000" w:themeColor="text1"/>
          <w:kern w:val="2"/>
          <w14:textFill>
            <w14:solidFill>
              <w14:schemeClr w14:val="tx1"/>
            </w14:solidFill>
          </w14:textFill>
        </w:rPr>
      </w:pPr>
    </w:p>
    <w:p w14:paraId="5DA8AD4B">
      <w:pPr>
        <w:rPr>
          <w:color w:val="000000" w:themeColor="text1"/>
          <w14:textFill>
            <w14:solidFill>
              <w14:schemeClr w14:val="tx1"/>
            </w14:solidFill>
          </w14:textFill>
        </w:rPr>
      </w:pPr>
    </w:p>
    <w:p w14:paraId="2B0D0F68">
      <w:pPr>
        <w:pStyle w:val="4"/>
        <w:numPr>
          <w:ilvl w:val="0"/>
          <w:numId w:val="110"/>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分部信息</w:t>
      </w:r>
    </w:p>
    <w:p w14:paraId="2F14D79B">
      <w:pPr>
        <w:pStyle w:val="5"/>
        <w:numPr>
          <w:ilvl w:val="1"/>
          <w:numId w:val="113"/>
        </w:numPr>
        <w:tabs>
          <w:tab w:val="left" w:pos="644"/>
        </w:tabs>
        <w:ind w:left="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报告分部的确定依据与会计政策</w:t>
      </w:r>
    </w:p>
    <w:sdt>
      <w:sdtPr>
        <w:rPr>
          <w:color w:val="000000" w:themeColor="text1"/>
          <w14:textFill>
            <w14:solidFill>
              <w14:schemeClr w14:val="tx1"/>
            </w14:solidFill>
          </w14:textFill>
        </w:rPr>
        <w:alias w:val="是否适用：报告分部的确定依据与会计政策[双击切换]"/>
        <w:tag w:val="_GBC_3684a11ce06644529eba619783a75583"/>
        <w:id w:val="146566208"/>
        <w:placeholder>
          <w:docPart w:val="GBC22222222222222222222222222222"/>
        </w:placeholder>
      </w:sdtPr>
      <w:sdtEndPr>
        <w:rPr>
          <w:color w:val="000000" w:themeColor="text1"/>
          <w14:textFill>
            <w14:solidFill>
              <w14:schemeClr w14:val="tx1"/>
            </w14:solidFill>
          </w14:textFill>
        </w:rPr>
      </w:sdtEndPr>
      <w:sdtContent>
        <w:p w14:paraId="15BC10C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ADCD2E6">
      <w:pPr>
        <w:rPr>
          <w:color w:val="000000" w:themeColor="text1"/>
          <w14:textFill>
            <w14:solidFill>
              <w14:schemeClr w14:val="tx1"/>
            </w14:solidFill>
          </w14:textFill>
        </w:rPr>
      </w:pPr>
    </w:p>
    <w:p w14:paraId="3493A044">
      <w:pPr>
        <w:pStyle w:val="5"/>
        <w:numPr>
          <w:ilvl w:val="1"/>
          <w:numId w:val="113"/>
        </w:numPr>
        <w:tabs>
          <w:tab w:val="left" w:pos="644"/>
        </w:tabs>
        <w:ind w:left="42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报告分部的财务信息</w:t>
      </w:r>
    </w:p>
    <w:sdt>
      <w:sdtPr>
        <w:rPr>
          <w:color w:val="000000" w:themeColor="text1"/>
          <w14:textFill>
            <w14:solidFill>
              <w14:schemeClr w14:val="tx1"/>
            </w14:solidFill>
          </w14:textFill>
        </w:rPr>
        <w:alias w:val="是否适用：报告分部的财务信息[双击切换]"/>
        <w:tag w:val="_GBC_25e6ee3686524d959ae273bb5aaa9cfb"/>
        <w:id w:val="1427074404"/>
        <w:placeholder>
          <w:docPart w:val="GBC22222222222222222222222222222"/>
        </w:placeholder>
      </w:sdtPr>
      <w:sdtEndPr>
        <w:rPr>
          <w:color w:val="000000" w:themeColor="text1"/>
          <w14:textFill>
            <w14:solidFill>
              <w14:schemeClr w14:val="tx1"/>
            </w14:solidFill>
          </w14:textFill>
        </w:rPr>
      </w:sdtEndPr>
      <w:sdtContent>
        <w:p w14:paraId="34BDDF2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C9394FA">
      <w:pPr>
        <w:rPr>
          <w:color w:val="000000" w:themeColor="text1"/>
          <w14:textFill>
            <w14:solidFill>
              <w14:schemeClr w14:val="tx1"/>
            </w14:solidFill>
          </w14:textFill>
        </w:rPr>
      </w:pPr>
    </w:p>
    <w:p w14:paraId="732740F8">
      <w:pPr>
        <w:pStyle w:val="5"/>
        <w:numPr>
          <w:ilvl w:val="1"/>
          <w:numId w:val="113"/>
        </w:numPr>
        <w:tabs>
          <w:tab w:val="left" w:pos="644"/>
        </w:tabs>
        <w:ind w:left="42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公司无报告分部的，或者不能披露各报告分部的资产总额和负债总额的，应说明原因</w:t>
      </w:r>
    </w:p>
    <w:sdt>
      <w:sdtPr>
        <w:rPr>
          <w:rFonts w:hint="eastAsia"/>
          <w:color w:val="000000" w:themeColor="text1"/>
          <w14:textFill>
            <w14:solidFill>
              <w14:schemeClr w14:val="tx1"/>
            </w14:solidFill>
          </w14:textFill>
        </w:rPr>
        <w:alias w:val="是否适用：公司无报告分部的，或者不能披露各报告分部的资产总额和负债总额的，应说明原因[双击切换]"/>
        <w:tag w:val="_GBC_de327191b263431db97d3ba75838aba8"/>
        <w:id w:val="-991863774"/>
        <w:placeholder>
          <w:docPart w:val="GBC22222222222222222222222222222"/>
        </w:placeholder>
      </w:sdtPr>
      <w:sdtEndPr>
        <w:rPr>
          <w:rFonts w:hint="eastAsia"/>
          <w:color w:val="000000" w:themeColor="text1"/>
          <w14:textFill>
            <w14:solidFill>
              <w14:schemeClr w14:val="tx1"/>
            </w14:solidFill>
          </w14:textFill>
        </w:rPr>
      </w:sdtEndPr>
      <w:sdtContent>
        <w:p w14:paraId="1325D15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CDD4F26">
      <w:pPr>
        <w:rPr>
          <w:color w:val="000000" w:themeColor="text1"/>
          <w14:textFill>
            <w14:solidFill>
              <w14:schemeClr w14:val="tx1"/>
            </w14:solidFill>
          </w14:textFill>
        </w:rPr>
      </w:pPr>
    </w:p>
    <w:p w14:paraId="41323C65">
      <w:pPr>
        <w:pStyle w:val="5"/>
        <w:numPr>
          <w:ilvl w:val="1"/>
          <w:numId w:val="113"/>
        </w:numPr>
        <w:tabs>
          <w:tab w:val="left" w:pos="644"/>
        </w:tabs>
        <w:ind w:left="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w:t>
      </w:r>
      <w:r>
        <w:rPr>
          <w:rFonts w:hint="eastAsia" w:ascii="宋体" w:hAnsi="宋体"/>
          <w:color w:val="000000" w:themeColor="text1"/>
          <w14:textFill>
            <w14:solidFill>
              <w14:schemeClr w14:val="tx1"/>
            </w14:solidFill>
          </w14:textFill>
        </w:rPr>
        <w:t>说明</w:t>
      </w:r>
    </w:p>
    <w:sdt>
      <w:sdtPr>
        <w:rPr>
          <w:color w:val="000000" w:themeColor="text1"/>
          <w14:textFill>
            <w14:solidFill>
              <w14:schemeClr w14:val="tx1"/>
            </w14:solidFill>
          </w14:textFill>
        </w:rPr>
        <w:alias w:val="是否适用：分部信息的其他说明[双击切换]"/>
        <w:tag w:val="_GBC_d4186588d0fd49e5b2642a9422c2353f"/>
        <w:id w:val="-676116370"/>
        <w:placeholder>
          <w:docPart w:val="GBC22222222222222222222222222222"/>
        </w:placeholder>
      </w:sdtPr>
      <w:sdtEndPr>
        <w:rPr>
          <w:color w:val="000000" w:themeColor="text1"/>
          <w14:textFill>
            <w14:solidFill>
              <w14:schemeClr w14:val="tx1"/>
            </w14:solidFill>
          </w14:textFill>
        </w:rPr>
      </w:sdtEndPr>
      <w:sdtContent>
        <w:p w14:paraId="286224B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826F6BD">
      <w:pPr>
        <w:rPr>
          <w:color w:val="000000" w:themeColor="text1"/>
          <w14:textFill>
            <w14:solidFill>
              <w14:schemeClr w14:val="tx1"/>
            </w14:solidFill>
          </w14:textFill>
        </w:rPr>
      </w:pPr>
    </w:p>
    <w:p w14:paraId="69D49955">
      <w:pPr>
        <w:pStyle w:val="4"/>
        <w:numPr>
          <w:ilvl w:val="0"/>
          <w:numId w:val="110"/>
        </w:numPr>
        <w:rPr>
          <w:rFonts w:hint="eastAsia" w:ascii="宋体" w:hAnsi="宋体" w:cs="宋体"/>
          <w:bCs/>
          <w:color w:val="000000" w:themeColor="text1"/>
          <w:kern w:val="0"/>
          <w:szCs w:val="21"/>
          <w14:textFill>
            <w14:solidFill>
              <w14:schemeClr w14:val="tx1"/>
            </w14:solidFill>
          </w14:textFill>
        </w:rPr>
      </w:pPr>
      <w:bookmarkStart w:id="438" w:name="_Toc241636520"/>
      <w:bookmarkEnd w:id="438"/>
      <w:r>
        <w:rPr>
          <w:rFonts w:hint="eastAsia" w:ascii="宋体" w:hAnsi="宋体" w:cs="宋体"/>
          <w:color w:val="000000" w:themeColor="text1"/>
          <w:kern w:val="0"/>
          <w:szCs w:val="21"/>
          <w14:textFill>
            <w14:solidFill>
              <w14:schemeClr w14:val="tx1"/>
            </w14:solidFill>
          </w14:textFill>
        </w:rPr>
        <w:t>其他对投资者决策有影响的重要交易和事项</w:t>
      </w:r>
    </w:p>
    <w:sdt>
      <w:sdtPr>
        <w:rPr>
          <w:color w:val="000000" w:themeColor="text1"/>
          <w14:textFill>
            <w14:solidFill>
              <w14:schemeClr w14:val="tx1"/>
            </w14:solidFill>
          </w14:textFill>
        </w:rPr>
        <w:alias w:val="是否适用：其他对投资者决策有影响的重要交易和事项[双击切换]"/>
        <w:tag w:val="_GBC_6bb0ea1e73f644b99b2bccc9d2ea19e9"/>
        <w:id w:val="2059585696"/>
        <w:placeholder>
          <w:docPart w:val="GBC22222222222222222222222222222"/>
        </w:placeholder>
      </w:sdtPr>
      <w:sdtEndPr>
        <w:rPr>
          <w:color w:val="000000" w:themeColor="text1"/>
          <w14:textFill>
            <w14:solidFill>
              <w14:schemeClr w14:val="tx1"/>
            </w14:solidFill>
          </w14:textFill>
        </w:rPr>
      </w:sdtEndPr>
      <w:sdtContent>
        <w:p w14:paraId="77EBB1B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80DF840">
      <w:pPr>
        <w:rPr>
          <w:color w:val="000000" w:themeColor="text1"/>
          <w14:textFill>
            <w14:solidFill>
              <w14:schemeClr w14:val="tx1"/>
            </w14:solidFill>
          </w14:textFill>
        </w:rPr>
      </w:pPr>
    </w:p>
    <w:p w14:paraId="3AF97469">
      <w:pPr>
        <w:pStyle w:val="4"/>
        <w:numPr>
          <w:ilvl w:val="0"/>
          <w:numId w:val="110"/>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w:t>
      </w:r>
    </w:p>
    <w:sdt>
      <w:sdtPr>
        <w:rPr>
          <w:color w:val="000000" w:themeColor="text1"/>
          <w14:textFill>
            <w14:solidFill>
              <w14:schemeClr w14:val="tx1"/>
            </w14:solidFill>
          </w14:textFill>
        </w:rPr>
        <w:alias w:val="是否适用：其他重要事项的说明[双击切换]"/>
        <w:tag w:val="_GBC_518cb9b615c44ff597f57c3bba95c7fa"/>
        <w:id w:val="1997989714"/>
        <w:placeholder>
          <w:docPart w:val="GBC22222222222222222222222222222"/>
        </w:placeholder>
      </w:sdtPr>
      <w:sdtEndPr>
        <w:rPr>
          <w:color w:val="000000" w:themeColor="text1"/>
          <w14:textFill>
            <w14:solidFill>
              <w14:schemeClr w14:val="tx1"/>
            </w14:solidFill>
          </w14:textFill>
        </w:rPr>
      </w:sdtEndPr>
      <w:sdtContent>
        <w:p w14:paraId="3536011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3D56915">
      <w:pPr>
        <w:rPr>
          <w:color w:val="000000" w:themeColor="text1"/>
          <w14:textFill>
            <w14:solidFill>
              <w14:schemeClr w14:val="tx1"/>
            </w14:solidFill>
          </w14:textFill>
        </w:rPr>
      </w:pPr>
    </w:p>
    <w:p w14:paraId="5D2D49A2">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母公司财务报表主要项目注释</w:t>
      </w:r>
    </w:p>
    <w:p w14:paraId="2D6EA132">
      <w:pPr>
        <w:pStyle w:val="4"/>
        <w:numPr>
          <w:ilvl w:val="0"/>
          <w:numId w:val="114"/>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应收账款</w:t>
      </w:r>
    </w:p>
    <w:p w14:paraId="082AD0BC">
      <w:pPr>
        <w:pStyle w:val="5"/>
        <w:numPr>
          <w:ilvl w:val="3"/>
          <w:numId w:val="115"/>
        </w:numPr>
        <w:ind w:left="426" w:hanging="426" w:hangingChars="202"/>
        <w:rPr>
          <w:color w:val="000000" w:themeColor="text1"/>
          <w14:textFill>
            <w14:solidFill>
              <w14:schemeClr w14:val="tx1"/>
            </w14:solidFill>
          </w14:textFill>
        </w:rPr>
      </w:pPr>
      <w:bookmarkStart w:id="439" w:name="_Hlk533796665"/>
      <w:bookmarkStart w:id="440" w:name="_Hlk167980323"/>
      <w:r>
        <w:rPr>
          <w:rFonts w:hint="eastAsia"/>
          <w:color w:val="000000" w:themeColor="text1"/>
          <w14:textFill>
            <w14:solidFill>
              <w14:schemeClr w14:val="tx1"/>
            </w14:solidFill>
          </w14:textFill>
        </w:rPr>
        <w:t>按账龄披露</w:t>
      </w:r>
    </w:p>
    <w:sdt>
      <w:sdtPr>
        <w:rPr>
          <w:color w:val="000000" w:themeColor="text1"/>
          <w14:textFill>
            <w14:solidFill>
              <w14:schemeClr w14:val="tx1"/>
            </w14:solidFill>
          </w14:textFill>
        </w:rPr>
        <w:alias w:val="是否适用：母公司应收账款按账龄披露[双击切换]"/>
        <w:tag w:val="_GBC_801584c2698f4c75b9eab05c08a26afd"/>
        <w:id w:val="129602938"/>
        <w:placeholder>
          <w:docPart w:val="GBC22222222222222222222222222222"/>
        </w:placeholder>
      </w:sdtPr>
      <w:sdtEndPr>
        <w:rPr>
          <w:color w:val="000000" w:themeColor="text1"/>
          <w14:textFill>
            <w14:solidFill>
              <w14:schemeClr w14:val="tx1"/>
            </w14:solidFill>
          </w14:textFill>
        </w:rPr>
      </w:sdtEndPr>
      <w:sdtContent>
        <w:p w14:paraId="6D96806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1C8F3E4">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母公司应收账款按账龄披露"/>
          <w:tag w:val="_GBC_308a90728c1f4859ad3f446cb4ef9717"/>
          <w:id w:val="-8054646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母公司应收账款按账龄披露"/>
          <w:tag w:val="_GBC_777a884d0a3b4955b2e9309a1049a937"/>
          <w:id w:val="3567883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3"/>
        <w:gridCol w:w="2975"/>
        <w:gridCol w:w="2975"/>
      </w:tblGrid>
      <w:tr w14:paraId="52F8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cce686fc6c1f4a00a0687060595ff873"/>
            <w:id w:val="-1217660842"/>
          </w:sdtPr>
          <w:sdtContent>
            <w:tc>
              <w:tcPr>
                <w:tcW w:w="1628" w:type="pct"/>
                <w:tcBorders>
                  <w:top w:val="single" w:color="auto" w:sz="4" w:space="0"/>
                  <w:left w:val="single" w:color="auto" w:sz="4" w:space="0"/>
                  <w:bottom w:val="single" w:color="auto" w:sz="4" w:space="0"/>
                  <w:right w:val="single" w:color="auto" w:sz="4" w:space="0"/>
                </w:tcBorders>
                <w:vAlign w:val="center"/>
              </w:tcPr>
              <w:p w14:paraId="5541511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账龄</w:t>
                </w:r>
              </w:p>
            </w:tc>
          </w:sdtContent>
        </w:sdt>
        <w:sdt>
          <w:sdtPr>
            <w:tag w:val="_PLD_9fa8767136b3432ba1d3bea327b3af33"/>
            <w:id w:val="1626732053"/>
          </w:sdtPr>
          <w:sdtContent>
            <w:tc>
              <w:tcPr>
                <w:tcW w:w="1686" w:type="pct"/>
                <w:tcBorders>
                  <w:top w:val="single" w:color="auto" w:sz="4" w:space="0"/>
                  <w:left w:val="single" w:color="auto" w:sz="4" w:space="0"/>
                  <w:bottom w:val="single" w:color="auto" w:sz="4" w:space="0"/>
                  <w:right w:val="single" w:color="auto" w:sz="4" w:space="0"/>
                </w:tcBorders>
                <w:vAlign w:val="center"/>
              </w:tcPr>
              <w:p w14:paraId="45CFA77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期末账面余额</w:t>
                </w:r>
              </w:p>
            </w:tc>
          </w:sdtContent>
        </w:sdt>
        <w:sdt>
          <w:sdtPr>
            <w:tag w:val="_PLD_4053bba84d8a45f8a51648bc15113d5d"/>
            <w:id w:val="-551380866"/>
          </w:sdtPr>
          <w:sdtContent>
            <w:tc>
              <w:tcPr>
                <w:tcW w:w="1686" w:type="pct"/>
                <w:tcBorders>
                  <w:top w:val="single" w:color="auto" w:sz="4" w:space="0"/>
                  <w:left w:val="single" w:color="auto" w:sz="4" w:space="0"/>
                  <w:bottom w:val="single" w:color="auto" w:sz="4" w:space="0"/>
                  <w:right w:val="single" w:color="auto" w:sz="4" w:space="0"/>
                </w:tcBorders>
              </w:tcPr>
              <w:p w14:paraId="4A58FD4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期初账面余额</w:t>
                </w:r>
              </w:p>
            </w:tc>
          </w:sdtContent>
        </w:sdt>
      </w:tr>
      <w:tr w14:paraId="538DC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303174DF">
            <w:pPr>
              <w:rPr>
                <w:color w:val="000000" w:themeColor="text1"/>
                <w14:textFill>
                  <w14:solidFill>
                    <w14:schemeClr w14:val="tx1"/>
                  </w14:solidFill>
                </w14:textFill>
              </w:rPr>
            </w:pPr>
            <w:r>
              <w:rPr>
                <w:rFonts w:hint="eastAsia"/>
                <w:color w:val="000000" w:themeColor="text1"/>
                <w14:textFill>
                  <w14:solidFill>
                    <w14:schemeClr w14:val="tx1"/>
                  </w14:solidFill>
                </w14:textFill>
              </w:rPr>
              <w:t>1年以内（含1年）</w:t>
            </w:r>
          </w:p>
        </w:tc>
        <w:tc>
          <w:tcPr>
            <w:tcW w:w="1686" w:type="pct"/>
            <w:tcBorders>
              <w:top w:val="single" w:color="auto" w:sz="4" w:space="0"/>
              <w:left w:val="single" w:color="auto" w:sz="4" w:space="0"/>
              <w:bottom w:val="single" w:color="auto" w:sz="4" w:space="0"/>
              <w:right w:val="single" w:color="auto" w:sz="4" w:space="0"/>
            </w:tcBorders>
          </w:tcPr>
          <w:p w14:paraId="745D6793">
            <w:pPr>
              <w:jc w:val="right"/>
            </w:pPr>
            <w:r>
              <w:t>17,757,101.28</w:t>
            </w:r>
          </w:p>
        </w:tc>
        <w:tc>
          <w:tcPr>
            <w:tcW w:w="1686" w:type="pct"/>
            <w:tcBorders>
              <w:top w:val="single" w:color="auto" w:sz="4" w:space="0"/>
              <w:left w:val="single" w:color="auto" w:sz="4" w:space="0"/>
              <w:bottom w:val="single" w:color="auto" w:sz="4" w:space="0"/>
              <w:right w:val="single" w:color="auto" w:sz="4" w:space="0"/>
            </w:tcBorders>
          </w:tcPr>
          <w:p w14:paraId="3E5B6711">
            <w:pPr>
              <w:jc w:val="right"/>
            </w:pPr>
            <w:r>
              <w:t>24,622,012.80</w:t>
            </w:r>
          </w:p>
        </w:tc>
      </w:tr>
      <w:tr w14:paraId="79A5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018A2449">
            <w:r>
              <w:rPr>
                <w:rFonts w:hint="eastAsia"/>
              </w:rPr>
              <w:t>其中：1年以内分项</w:t>
            </w:r>
          </w:p>
        </w:tc>
        <w:tc>
          <w:tcPr>
            <w:tcW w:w="1686" w:type="pct"/>
            <w:tcBorders>
              <w:top w:val="single" w:color="auto" w:sz="4" w:space="0"/>
              <w:left w:val="single" w:color="auto" w:sz="4" w:space="0"/>
              <w:bottom w:val="single" w:color="auto" w:sz="4" w:space="0"/>
              <w:right w:val="single" w:color="auto" w:sz="4" w:space="0"/>
            </w:tcBorders>
          </w:tcPr>
          <w:p w14:paraId="2B9EBB4B">
            <w:pPr>
              <w:jc w:val="right"/>
            </w:pPr>
          </w:p>
        </w:tc>
        <w:tc>
          <w:tcPr>
            <w:tcW w:w="1686" w:type="pct"/>
            <w:tcBorders>
              <w:top w:val="single" w:color="auto" w:sz="4" w:space="0"/>
              <w:left w:val="single" w:color="auto" w:sz="4" w:space="0"/>
              <w:bottom w:val="single" w:color="auto" w:sz="4" w:space="0"/>
              <w:right w:val="single" w:color="auto" w:sz="4" w:space="0"/>
            </w:tcBorders>
          </w:tcPr>
          <w:p w14:paraId="0383FDA0">
            <w:pPr>
              <w:jc w:val="right"/>
            </w:pPr>
          </w:p>
        </w:tc>
      </w:tr>
      <w:tr w14:paraId="0772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5E0A10A6">
            <w:r>
              <w:rPr>
                <w:rFonts w:hint="eastAsia"/>
              </w:rPr>
              <w:t>1</w:t>
            </w:r>
            <w:r>
              <w:rPr>
                <w:rFonts w:hint="eastAsia" w:ascii="宋体" w:hAnsi="宋体"/>
              </w:rPr>
              <w:t>年以内</w:t>
            </w:r>
          </w:p>
        </w:tc>
        <w:tc>
          <w:tcPr>
            <w:tcW w:w="1686" w:type="pct"/>
            <w:tcBorders>
              <w:top w:val="single" w:color="auto" w:sz="4" w:space="0"/>
              <w:left w:val="single" w:color="auto" w:sz="4" w:space="0"/>
              <w:bottom w:val="single" w:color="auto" w:sz="4" w:space="0"/>
              <w:right w:val="single" w:color="auto" w:sz="4" w:space="0"/>
            </w:tcBorders>
          </w:tcPr>
          <w:p w14:paraId="432DA15F">
            <w:pPr>
              <w:jc w:val="right"/>
            </w:pPr>
          </w:p>
        </w:tc>
        <w:tc>
          <w:tcPr>
            <w:tcW w:w="1686" w:type="pct"/>
            <w:tcBorders>
              <w:top w:val="single" w:color="auto" w:sz="4" w:space="0"/>
              <w:left w:val="single" w:color="auto" w:sz="4" w:space="0"/>
              <w:bottom w:val="single" w:color="auto" w:sz="4" w:space="0"/>
              <w:right w:val="single" w:color="auto" w:sz="4" w:space="0"/>
            </w:tcBorders>
          </w:tcPr>
          <w:p w14:paraId="48949706">
            <w:pPr>
              <w:jc w:val="right"/>
            </w:pPr>
          </w:p>
        </w:tc>
      </w:tr>
      <w:tr w14:paraId="122A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610011DC">
            <w:r>
              <w:rPr>
                <w:rFonts w:hint="eastAsia"/>
              </w:rPr>
              <w:t>1</w:t>
            </w:r>
            <w:r>
              <w:rPr>
                <w:rFonts w:hint="eastAsia" w:ascii="宋体" w:hAnsi="宋体"/>
              </w:rPr>
              <w:t>年以内小计</w:t>
            </w:r>
          </w:p>
        </w:tc>
        <w:tc>
          <w:tcPr>
            <w:tcW w:w="1686" w:type="pct"/>
            <w:tcBorders>
              <w:top w:val="single" w:color="auto" w:sz="4" w:space="0"/>
              <w:left w:val="single" w:color="auto" w:sz="4" w:space="0"/>
              <w:bottom w:val="single" w:color="auto" w:sz="4" w:space="0"/>
              <w:right w:val="single" w:color="auto" w:sz="4" w:space="0"/>
            </w:tcBorders>
          </w:tcPr>
          <w:p w14:paraId="5ABA01AF">
            <w:pPr>
              <w:jc w:val="right"/>
            </w:pPr>
            <w:r>
              <w:t>17,757,101.28</w:t>
            </w:r>
          </w:p>
        </w:tc>
        <w:tc>
          <w:tcPr>
            <w:tcW w:w="1686" w:type="pct"/>
            <w:tcBorders>
              <w:top w:val="single" w:color="auto" w:sz="4" w:space="0"/>
              <w:left w:val="single" w:color="auto" w:sz="4" w:space="0"/>
              <w:bottom w:val="single" w:color="auto" w:sz="4" w:space="0"/>
              <w:right w:val="single" w:color="auto" w:sz="4" w:space="0"/>
            </w:tcBorders>
          </w:tcPr>
          <w:p w14:paraId="2CDF6B78">
            <w:pPr>
              <w:jc w:val="right"/>
            </w:pPr>
            <w:r>
              <w:t>24,622,012.80</w:t>
            </w:r>
          </w:p>
        </w:tc>
      </w:tr>
      <w:tr w14:paraId="07DD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50E5F52E">
            <w:pPr>
              <w:rPr>
                <w:color w:val="000000" w:themeColor="text1"/>
                <w14:textFill>
                  <w14:solidFill>
                    <w14:schemeClr w14:val="tx1"/>
                  </w14:solidFill>
                </w14:textFill>
              </w:rPr>
            </w:pPr>
            <w:r>
              <w:rPr>
                <w:rFonts w:hint="eastAsia"/>
                <w:color w:val="000000" w:themeColor="text1"/>
                <w14:textFill>
                  <w14:solidFill>
                    <w14:schemeClr w14:val="tx1"/>
                  </w14:solidFill>
                </w14:textFill>
              </w:rPr>
              <w:t>1至2年</w:t>
            </w:r>
          </w:p>
        </w:tc>
        <w:tc>
          <w:tcPr>
            <w:tcW w:w="1686" w:type="pct"/>
            <w:tcBorders>
              <w:top w:val="single" w:color="auto" w:sz="4" w:space="0"/>
              <w:left w:val="single" w:color="auto" w:sz="4" w:space="0"/>
              <w:bottom w:val="single" w:color="auto" w:sz="4" w:space="0"/>
              <w:right w:val="single" w:color="auto" w:sz="4" w:space="0"/>
            </w:tcBorders>
          </w:tcPr>
          <w:p w14:paraId="20FBC64C">
            <w:pPr>
              <w:jc w:val="right"/>
            </w:pPr>
            <w:r>
              <w:t>1,030,207.62</w:t>
            </w:r>
          </w:p>
        </w:tc>
        <w:tc>
          <w:tcPr>
            <w:tcW w:w="1686" w:type="pct"/>
            <w:tcBorders>
              <w:top w:val="single" w:color="auto" w:sz="4" w:space="0"/>
              <w:left w:val="single" w:color="auto" w:sz="4" w:space="0"/>
              <w:bottom w:val="single" w:color="auto" w:sz="4" w:space="0"/>
              <w:right w:val="single" w:color="auto" w:sz="4" w:space="0"/>
            </w:tcBorders>
          </w:tcPr>
          <w:p w14:paraId="75F30A41">
            <w:pPr>
              <w:jc w:val="right"/>
            </w:pPr>
            <w:r>
              <w:t>479,660.57</w:t>
            </w:r>
          </w:p>
        </w:tc>
      </w:tr>
      <w:tr w14:paraId="18E4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4EC953AD">
            <w:pPr>
              <w:rPr>
                <w:color w:val="000000" w:themeColor="text1"/>
                <w14:textFill>
                  <w14:solidFill>
                    <w14:schemeClr w14:val="tx1"/>
                  </w14:solidFill>
                </w14:textFill>
              </w:rPr>
            </w:pPr>
            <w:r>
              <w:rPr>
                <w:rFonts w:hint="eastAsia"/>
                <w:color w:val="000000" w:themeColor="text1"/>
                <w14:textFill>
                  <w14:solidFill>
                    <w14:schemeClr w14:val="tx1"/>
                  </w14:solidFill>
                </w14:textFill>
              </w:rPr>
              <w:t>2至3年</w:t>
            </w:r>
          </w:p>
        </w:tc>
        <w:tc>
          <w:tcPr>
            <w:tcW w:w="1686" w:type="pct"/>
            <w:tcBorders>
              <w:top w:val="single" w:color="auto" w:sz="4" w:space="0"/>
              <w:left w:val="single" w:color="auto" w:sz="4" w:space="0"/>
              <w:bottom w:val="single" w:color="auto" w:sz="4" w:space="0"/>
              <w:right w:val="single" w:color="auto" w:sz="4" w:space="0"/>
            </w:tcBorders>
          </w:tcPr>
          <w:p w14:paraId="1C9C02E5">
            <w:pPr>
              <w:jc w:val="right"/>
            </w:pPr>
            <w:r>
              <w:t>86,869.69</w:t>
            </w:r>
          </w:p>
        </w:tc>
        <w:tc>
          <w:tcPr>
            <w:tcW w:w="1686" w:type="pct"/>
            <w:tcBorders>
              <w:top w:val="single" w:color="auto" w:sz="4" w:space="0"/>
              <w:left w:val="single" w:color="auto" w:sz="4" w:space="0"/>
              <w:bottom w:val="single" w:color="auto" w:sz="4" w:space="0"/>
              <w:right w:val="single" w:color="auto" w:sz="4" w:space="0"/>
            </w:tcBorders>
          </w:tcPr>
          <w:p w14:paraId="2827C603">
            <w:pPr>
              <w:jc w:val="right"/>
            </w:pPr>
            <w:r>
              <w:t>89,729.69</w:t>
            </w:r>
          </w:p>
        </w:tc>
      </w:tr>
      <w:tr w14:paraId="748C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0457096D">
            <w:pPr>
              <w:rPr>
                <w:color w:val="000000" w:themeColor="text1"/>
                <w14:textFill>
                  <w14:solidFill>
                    <w14:schemeClr w14:val="tx1"/>
                  </w14:solidFill>
                </w14:textFill>
              </w:rPr>
            </w:pPr>
            <w:r>
              <w:rPr>
                <w:rFonts w:hint="eastAsia"/>
                <w:color w:val="000000" w:themeColor="text1"/>
                <w14:textFill>
                  <w14:solidFill>
                    <w14:schemeClr w14:val="tx1"/>
                  </w14:solidFill>
                </w14:textFill>
              </w:rPr>
              <w:t>3年以上</w:t>
            </w:r>
          </w:p>
        </w:tc>
        <w:tc>
          <w:tcPr>
            <w:tcW w:w="1686" w:type="pct"/>
            <w:tcBorders>
              <w:top w:val="single" w:color="auto" w:sz="4" w:space="0"/>
              <w:left w:val="single" w:color="auto" w:sz="4" w:space="0"/>
              <w:bottom w:val="single" w:color="auto" w:sz="4" w:space="0"/>
              <w:right w:val="single" w:color="auto" w:sz="4" w:space="0"/>
            </w:tcBorders>
          </w:tcPr>
          <w:p w14:paraId="1A1140D0">
            <w:pPr>
              <w:jc w:val="right"/>
            </w:pPr>
            <w:r>
              <w:t>226,157.60</w:t>
            </w:r>
          </w:p>
        </w:tc>
        <w:tc>
          <w:tcPr>
            <w:tcW w:w="1686" w:type="pct"/>
            <w:tcBorders>
              <w:top w:val="single" w:color="auto" w:sz="4" w:space="0"/>
              <w:left w:val="single" w:color="auto" w:sz="4" w:space="0"/>
              <w:bottom w:val="single" w:color="auto" w:sz="4" w:space="0"/>
              <w:right w:val="single" w:color="auto" w:sz="4" w:space="0"/>
            </w:tcBorders>
          </w:tcPr>
          <w:p w14:paraId="22F03778">
            <w:pPr>
              <w:jc w:val="right"/>
            </w:pPr>
            <w:r>
              <w:t>659,975.14</w:t>
            </w:r>
          </w:p>
        </w:tc>
      </w:tr>
      <w:tr w14:paraId="4FBF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53682615">
            <w:pPr>
              <w:rPr>
                <w:color w:val="000000" w:themeColor="text1"/>
                <w14:textFill>
                  <w14:solidFill>
                    <w14:schemeClr w14:val="tx1"/>
                  </w14:solidFill>
                </w14:textFill>
              </w:rPr>
            </w:pPr>
            <w:r>
              <w:rPr>
                <w:rFonts w:hint="eastAsia"/>
                <w:color w:val="000000" w:themeColor="text1"/>
                <w14:textFill>
                  <w14:solidFill>
                    <w14:schemeClr w14:val="tx1"/>
                  </w14:solidFill>
                </w14:textFill>
              </w:rPr>
              <w:t>3至4年</w:t>
            </w:r>
          </w:p>
        </w:tc>
        <w:tc>
          <w:tcPr>
            <w:tcW w:w="1686" w:type="pct"/>
            <w:tcBorders>
              <w:top w:val="single" w:color="auto" w:sz="4" w:space="0"/>
              <w:left w:val="single" w:color="auto" w:sz="4" w:space="0"/>
              <w:bottom w:val="single" w:color="auto" w:sz="4" w:space="0"/>
              <w:right w:val="single" w:color="auto" w:sz="4" w:space="0"/>
            </w:tcBorders>
          </w:tcPr>
          <w:p w14:paraId="5D89C8F9">
            <w:pPr>
              <w:jc w:val="right"/>
            </w:pPr>
          </w:p>
        </w:tc>
        <w:tc>
          <w:tcPr>
            <w:tcW w:w="1686" w:type="pct"/>
            <w:tcBorders>
              <w:top w:val="single" w:color="auto" w:sz="4" w:space="0"/>
              <w:left w:val="single" w:color="auto" w:sz="4" w:space="0"/>
              <w:bottom w:val="single" w:color="auto" w:sz="4" w:space="0"/>
              <w:right w:val="single" w:color="auto" w:sz="4" w:space="0"/>
            </w:tcBorders>
          </w:tcPr>
          <w:p w14:paraId="09EFCE07">
            <w:pPr>
              <w:jc w:val="right"/>
            </w:pPr>
          </w:p>
        </w:tc>
      </w:tr>
      <w:tr w14:paraId="4BB4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066932C8">
            <w:pPr>
              <w:rPr>
                <w:color w:val="000000" w:themeColor="text1"/>
                <w14:textFill>
                  <w14:solidFill>
                    <w14:schemeClr w14:val="tx1"/>
                  </w14:solidFill>
                </w14:textFill>
              </w:rPr>
            </w:pPr>
            <w:r>
              <w:rPr>
                <w:rFonts w:hint="eastAsia"/>
                <w:color w:val="000000" w:themeColor="text1"/>
                <w14:textFill>
                  <w14:solidFill>
                    <w14:schemeClr w14:val="tx1"/>
                  </w14:solidFill>
                </w14:textFill>
              </w:rPr>
              <w:t>4至5年</w:t>
            </w:r>
          </w:p>
        </w:tc>
        <w:tc>
          <w:tcPr>
            <w:tcW w:w="1686" w:type="pct"/>
            <w:tcBorders>
              <w:top w:val="single" w:color="auto" w:sz="4" w:space="0"/>
              <w:left w:val="single" w:color="auto" w:sz="4" w:space="0"/>
              <w:bottom w:val="single" w:color="auto" w:sz="4" w:space="0"/>
              <w:right w:val="single" w:color="auto" w:sz="4" w:space="0"/>
            </w:tcBorders>
          </w:tcPr>
          <w:p w14:paraId="0CCDDB88">
            <w:pPr>
              <w:jc w:val="right"/>
            </w:pPr>
          </w:p>
        </w:tc>
        <w:tc>
          <w:tcPr>
            <w:tcW w:w="1686" w:type="pct"/>
            <w:tcBorders>
              <w:top w:val="single" w:color="auto" w:sz="4" w:space="0"/>
              <w:left w:val="single" w:color="auto" w:sz="4" w:space="0"/>
              <w:bottom w:val="single" w:color="auto" w:sz="4" w:space="0"/>
              <w:right w:val="single" w:color="auto" w:sz="4" w:space="0"/>
            </w:tcBorders>
          </w:tcPr>
          <w:p w14:paraId="506B9EB6">
            <w:pPr>
              <w:jc w:val="right"/>
            </w:pPr>
          </w:p>
        </w:tc>
      </w:tr>
      <w:tr w14:paraId="1F68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tcPr>
          <w:p w14:paraId="68F988DC">
            <w:pPr>
              <w:rPr>
                <w:color w:val="000000" w:themeColor="text1"/>
                <w14:textFill>
                  <w14:solidFill>
                    <w14:schemeClr w14:val="tx1"/>
                  </w14:solidFill>
                </w14:textFill>
              </w:rPr>
            </w:pPr>
            <w:r>
              <w:rPr>
                <w:rFonts w:hint="eastAsia"/>
                <w:color w:val="000000" w:themeColor="text1"/>
                <w14:textFill>
                  <w14:solidFill>
                    <w14:schemeClr w14:val="tx1"/>
                  </w14:solidFill>
                </w14:textFill>
              </w:rPr>
              <w:t>5年以上</w:t>
            </w:r>
          </w:p>
        </w:tc>
        <w:tc>
          <w:tcPr>
            <w:tcW w:w="1686" w:type="pct"/>
            <w:tcBorders>
              <w:top w:val="single" w:color="auto" w:sz="4" w:space="0"/>
              <w:left w:val="single" w:color="auto" w:sz="4" w:space="0"/>
              <w:bottom w:val="single" w:color="auto" w:sz="4" w:space="0"/>
              <w:right w:val="single" w:color="auto" w:sz="4" w:space="0"/>
            </w:tcBorders>
          </w:tcPr>
          <w:p w14:paraId="48046106">
            <w:pPr>
              <w:jc w:val="right"/>
            </w:pPr>
          </w:p>
        </w:tc>
        <w:tc>
          <w:tcPr>
            <w:tcW w:w="1686" w:type="pct"/>
            <w:tcBorders>
              <w:top w:val="single" w:color="auto" w:sz="4" w:space="0"/>
              <w:left w:val="single" w:color="auto" w:sz="4" w:space="0"/>
              <w:bottom w:val="single" w:color="auto" w:sz="4" w:space="0"/>
              <w:right w:val="single" w:color="auto" w:sz="4" w:space="0"/>
            </w:tcBorders>
          </w:tcPr>
          <w:p w14:paraId="6B0AFBBE">
            <w:pPr>
              <w:jc w:val="right"/>
            </w:pPr>
          </w:p>
        </w:tc>
      </w:tr>
      <w:tr w14:paraId="051C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28" w:type="pct"/>
            <w:tcBorders>
              <w:top w:val="single" w:color="auto" w:sz="4" w:space="0"/>
              <w:left w:val="single" w:color="auto" w:sz="4" w:space="0"/>
              <w:bottom w:val="single" w:color="auto" w:sz="4" w:space="0"/>
              <w:right w:val="single" w:color="auto" w:sz="4" w:space="0"/>
            </w:tcBorders>
            <w:vAlign w:val="center"/>
          </w:tcPr>
          <w:p w14:paraId="01891DD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86" w:type="pct"/>
            <w:tcBorders>
              <w:top w:val="single" w:color="auto" w:sz="4" w:space="0"/>
              <w:left w:val="single" w:color="auto" w:sz="4" w:space="0"/>
              <w:bottom w:val="single" w:color="auto" w:sz="4" w:space="0"/>
              <w:right w:val="single" w:color="auto" w:sz="4" w:space="0"/>
            </w:tcBorders>
          </w:tcPr>
          <w:p w14:paraId="044B5166">
            <w:pPr>
              <w:jc w:val="right"/>
            </w:pPr>
            <w:r>
              <w:t>19,100,336.19</w:t>
            </w:r>
          </w:p>
        </w:tc>
        <w:tc>
          <w:tcPr>
            <w:tcW w:w="1686" w:type="pct"/>
            <w:tcBorders>
              <w:top w:val="single" w:color="auto" w:sz="4" w:space="0"/>
              <w:left w:val="single" w:color="auto" w:sz="4" w:space="0"/>
              <w:bottom w:val="single" w:color="auto" w:sz="4" w:space="0"/>
              <w:right w:val="single" w:color="auto" w:sz="4" w:space="0"/>
            </w:tcBorders>
          </w:tcPr>
          <w:p w14:paraId="587E6CAD">
            <w:pPr>
              <w:jc w:val="right"/>
            </w:pPr>
            <w:r>
              <w:t>25,851,378.20</w:t>
            </w:r>
          </w:p>
        </w:tc>
      </w:tr>
    </w:tbl>
    <w:p w14:paraId="22BD3E3F">
      <w:pPr>
        <w:rPr>
          <w:color w:val="000000" w:themeColor="text1"/>
          <w14:textFill>
            <w14:solidFill>
              <w14:schemeClr w14:val="tx1"/>
            </w14:solidFill>
          </w14:textFill>
        </w:rPr>
      </w:pPr>
    </w:p>
    <w:bookmarkEnd w:id="439"/>
    <w:bookmarkEnd w:id="440"/>
    <w:p w14:paraId="5109B154">
      <w:pPr>
        <w:pStyle w:val="5"/>
        <w:numPr>
          <w:ilvl w:val="3"/>
          <w:numId w:val="115"/>
        </w:numPr>
        <w:ind w:left="426" w:hanging="426" w:hangingChars="202"/>
        <w:rPr>
          <w:rFonts w:hint="eastAsia" w:ascii="宋体" w:hAnsi="宋体" w:cs="宋体"/>
          <w:color w:val="000000" w:themeColor="text1"/>
          <w:kern w:val="0"/>
          <w:szCs w:val="24"/>
          <w14:textFill>
            <w14:solidFill>
              <w14:schemeClr w14:val="tx1"/>
            </w14:solidFill>
          </w14:textFill>
        </w:rPr>
      </w:pPr>
      <w:bookmarkStart w:id="441" w:name="_Hlk10540024"/>
      <w:r>
        <w:rPr>
          <w:rFonts w:hint="eastAsia" w:ascii="宋体" w:hAnsi="宋体" w:cs="宋体"/>
          <w:color w:val="000000" w:themeColor="text1"/>
          <w:kern w:val="0"/>
          <w:szCs w:val="24"/>
          <w14:textFill>
            <w14:solidFill>
              <w14:schemeClr w14:val="tx1"/>
            </w14:solidFill>
          </w14:textFill>
        </w:rPr>
        <w:t>按坏账计提方法分类披露</w:t>
      </w:r>
    </w:p>
    <w:sdt>
      <w:sdtPr>
        <w:rPr>
          <w:color w:val="000000" w:themeColor="text1"/>
          <w14:textFill>
            <w14:solidFill>
              <w14:schemeClr w14:val="tx1"/>
            </w14:solidFill>
          </w14:textFill>
        </w:rPr>
        <w:alias w:val="是否适用：母公司应收账款按坏账计提方法分类披露[双击切换]"/>
        <w:tag w:val="_GBC_bd7fb52eb7f647d5aa6c10677b261ee1"/>
        <w:id w:val="1903562570"/>
        <w:lock w:val="contentLocked"/>
        <w:placeholder>
          <w:docPart w:val="GBC22222222222222222222222222222"/>
        </w:placeholder>
      </w:sdtPr>
      <w:sdtEndPr>
        <w:rPr>
          <w:color w:val="000000" w:themeColor="text1"/>
          <w14:textFill>
            <w14:solidFill>
              <w14:schemeClr w14:val="tx1"/>
            </w14:solidFill>
          </w14:textFill>
        </w:rPr>
      </w:sdtEndPr>
      <w:sdtContent>
        <w:p w14:paraId="7BE4D76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52970BA">
      <w:pPr>
        <w:pStyle w:val="55"/>
        <w:autoSpaceDE w:val="0"/>
        <w:autoSpaceDN w:val="0"/>
        <w:adjustRightInd w:val="0"/>
        <w:ind w:left="425" w:right="105" w:firstLine="0" w:firstLineChars="0"/>
        <w:jc w:val="righ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w:t>
      </w:r>
      <w:sdt>
        <w:sdtPr>
          <w:rPr>
            <w:rFonts w:hint="eastAsia" w:ascii="宋体" w:hAnsi="宋体"/>
            <w:color w:val="000000" w:themeColor="text1"/>
            <w:szCs w:val="21"/>
            <w14:textFill>
              <w14:solidFill>
                <w14:schemeClr w14:val="tx1"/>
              </w14:solidFill>
            </w14:textFill>
          </w:rPr>
          <w:alias w:val="单位：母公司应收账款按坏账计提方法分类披露"/>
          <w:tag w:val="_GBC_03786e76a9b246d5a93eac5a8936de3a"/>
          <w:id w:val="-55994265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元</w:t>
          </w:r>
        </w:sdtContent>
      </w:sdt>
      <w:r>
        <w:rPr>
          <w:rFonts w:hint="eastAsia" w:ascii="宋体" w:hAnsi="宋体"/>
          <w:color w:val="000000" w:themeColor="text1"/>
          <w:szCs w:val="21"/>
          <w14:textFill>
            <w14:solidFill>
              <w14:schemeClr w14:val="tx1"/>
            </w14:solidFill>
          </w14:textFill>
        </w:rPr>
        <w:t xml:space="preserve">  币种：</w:t>
      </w:r>
      <w:sdt>
        <w:sdtPr>
          <w:rPr>
            <w:rFonts w:hint="eastAsia" w:ascii="宋体" w:hAnsi="宋体"/>
            <w:color w:val="000000" w:themeColor="text1"/>
            <w:szCs w:val="21"/>
            <w14:textFill>
              <w14:solidFill>
                <w14:schemeClr w14:val="tx1"/>
              </w14:solidFill>
            </w14:textFill>
          </w:rPr>
          <w:alias w:val="币种：母公司应收账款按坏账计提方法分类披露"/>
          <w:tag w:val="_GBC_1360c31492654a38991cae4cf45e7b4a"/>
          <w:id w:val="4446564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人民币</w:t>
          </w:r>
        </w:sdtContent>
      </w:sdt>
    </w:p>
    <w:tbl>
      <w:tblPr>
        <w:tblStyle w:val="37"/>
        <w:tblW w:w="5485" w:type="pct"/>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1" w:type="dxa"/>
          <w:bottom w:w="0" w:type="dxa"/>
          <w:right w:w="31" w:type="dxa"/>
        </w:tblCellMar>
      </w:tblPr>
      <w:tblGrid>
        <w:gridCol w:w="497"/>
        <w:gridCol w:w="1270"/>
        <w:gridCol w:w="535"/>
        <w:gridCol w:w="1007"/>
        <w:gridCol w:w="430"/>
        <w:gridCol w:w="1270"/>
        <w:gridCol w:w="1270"/>
        <w:gridCol w:w="535"/>
        <w:gridCol w:w="1165"/>
        <w:gridCol w:w="430"/>
        <w:gridCol w:w="1270"/>
      </w:tblGrid>
      <w:tr w14:paraId="4BA9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Height w:val="259" w:hRule="atLeast"/>
        </w:trPr>
        <w:sdt>
          <w:sdtPr>
            <w:tag w:val="_PLD_2f021e03341f49af95f8857da6272a92"/>
            <w:id w:val="-869067100"/>
          </w:sdtPr>
          <w:sdtContent>
            <w:tc>
              <w:tcPr>
                <w:tcW w:w="1066" w:type="pct"/>
                <w:vMerge w:val="restart"/>
                <w:tcBorders>
                  <w:top w:val="single" w:color="auto" w:sz="4" w:space="0"/>
                  <w:left w:val="single" w:color="auto" w:sz="4" w:space="0"/>
                  <w:right w:val="single" w:color="auto" w:sz="4" w:space="0"/>
                </w:tcBorders>
                <w:vAlign w:val="center"/>
              </w:tcPr>
              <w:p w14:paraId="71D65A6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类别</w:t>
                </w:r>
              </w:p>
            </w:tc>
          </w:sdtContent>
        </w:sdt>
        <w:sdt>
          <w:sdtPr>
            <w:tag w:val="_PLD_468e18ccdf48449f8e43799e7c3f622e"/>
            <w:id w:val="-663558257"/>
          </w:sdtPr>
          <w:sdtContent>
            <w:tc>
              <w:tcPr>
                <w:tcW w:w="1486" w:type="pct"/>
                <w:gridSpan w:val="5"/>
                <w:tcBorders>
                  <w:top w:val="single" w:color="auto" w:sz="4" w:space="0"/>
                  <w:left w:val="single" w:color="auto" w:sz="4" w:space="0"/>
                  <w:right w:val="single" w:color="auto" w:sz="4" w:space="0"/>
                </w:tcBorders>
                <w:vAlign w:val="center"/>
              </w:tcPr>
              <w:p w14:paraId="4757CCAE">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e387c0f70bd6484cafb1ada234d075bd"/>
            <w:id w:val="-683745900"/>
          </w:sdtPr>
          <w:sdtContent>
            <w:tc>
              <w:tcPr>
                <w:tcW w:w="2448" w:type="pct"/>
                <w:gridSpan w:val="5"/>
                <w:tcBorders>
                  <w:top w:val="single" w:color="auto" w:sz="4" w:space="0"/>
                  <w:left w:val="single" w:color="auto" w:sz="4" w:space="0"/>
                  <w:right w:val="single" w:color="auto" w:sz="4" w:space="0"/>
                </w:tcBorders>
                <w:vAlign w:val="center"/>
              </w:tcPr>
              <w:p w14:paraId="0E541B56">
                <w:pPr>
                  <w:autoSpaceDE w:val="0"/>
                  <w:autoSpaceDN w:val="0"/>
                  <w:adjustRightInd w:val="0"/>
                  <w:snapToGrid w:val="0"/>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0508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Height w:val="227" w:hRule="atLeast"/>
        </w:trPr>
        <w:tc>
          <w:tcPr>
            <w:tcW w:w="1066" w:type="pct"/>
            <w:vMerge w:val="continue"/>
            <w:tcBorders>
              <w:left w:val="single" w:color="auto" w:sz="4" w:space="0"/>
              <w:right w:val="single" w:color="auto" w:sz="4" w:space="0"/>
            </w:tcBorders>
            <w:vAlign w:val="center"/>
          </w:tcPr>
          <w:p w14:paraId="3D4E2E67">
            <w:pPr>
              <w:rPr>
                <w:color w:val="000000" w:themeColor="text1"/>
                <w14:textFill>
                  <w14:solidFill>
                    <w14:schemeClr w14:val="tx1"/>
                  </w14:solidFill>
                </w14:textFill>
              </w:rPr>
            </w:pPr>
          </w:p>
        </w:tc>
        <w:sdt>
          <w:sdtPr>
            <w:tag w:val="_PLD_73365edbfe354cb683cc42de4c1c9f49"/>
            <w:id w:val="-339628304"/>
          </w:sdtPr>
          <w:sdtContent>
            <w:tc>
              <w:tcPr>
                <w:tcW w:w="595" w:type="pct"/>
                <w:gridSpan w:val="2"/>
                <w:tcBorders>
                  <w:top w:val="single" w:color="auto" w:sz="4" w:space="0"/>
                  <w:left w:val="single" w:color="auto" w:sz="4" w:space="0"/>
                  <w:bottom w:val="single" w:color="auto" w:sz="4" w:space="0"/>
                  <w:right w:val="single" w:color="auto" w:sz="4" w:space="0"/>
                </w:tcBorders>
                <w:vAlign w:val="center"/>
              </w:tcPr>
              <w:p w14:paraId="7B57025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tc>
          </w:sdtContent>
        </w:sdt>
        <w:sdt>
          <w:sdtPr>
            <w:tag w:val="_PLD_11f34c9ee2d5429280d0d85b2c50756a"/>
            <w:id w:val="-2068941598"/>
          </w:sdtPr>
          <w:sdtContent>
            <w:tc>
              <w:tcPr>
                <w:tcW w:w="598" w:type="pct"/>
                <w:gridSpan w:val="2"/>
                <w:tcBorders>
                  <w:top w:val="single" w:color="auto" w:sz="4" w:space="0"/>
                  <w:left w:val="single" w:color="auto" w:sz="4" w:space="0"/>
                  <w:bottom w:val="single" w:color="auto" w:sz="4" w:space="0"/>
                  <w:right w:val="single" w:color="auto" w:sz="4" w:space="0"/>
                </w:tcBorders>
                <w:vAlign w:val="center"/>
              </w:tcPr>
              <w:p w14:paraId="5401335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坏账准备</w:t>
                </w:r>
              </w:p>
            </w:tc>
          </w:sdtContent>
        </w:sdt>
        <w:sdt>
          <w:sdtPr>
            <w:tag w:val="_PLD_6ade046afd0c47c0aae9506cc9d47486"/>
            <w:id w:val="1855221200"/>
          </w:sdtPr>
          <w:sdtContent>
            <w:tc>
              <w:tcPr>
                <w:tcW w:w="293" w:type="pct"/>
                <w:vMerge w:val="restart"/>
                <w:tcBorders>
                  <w:top w:val="single" w:color="auto" w:sz="4" w:space="0"/>
                  <w:left w:val="single" w:color="auto" w:sz="4" w:space="0"/>
                  <w:right w:val="single" w:color="auto" w:sz="4" w:space="0"/>
                </w:tcBorders>
                <w:vAlign w:val="center"/>
              </w:tcPr>
              <w:p w14:paraId="4D1BA74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w:t>
                </w:r>
              </w:p>
              <w:p w14:paraId="38ED801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价值</w:t>
                </w:r>
              </w:p>
            </w:tc>
          </w:sdtContent>
        </w:sdt>
        <w:sdt>
          <w:sdtPr>
            <w:tag w:val="_PLD_abd9bd4831b9473aabae7411a299a204"/>
            <w:id w:val="215249659"/>
          </w:sdtPr>
          <w:sdtContent>
            <w:tc>
              <w:tcPr>
                <w:tcW w:w="960" w:type="pct"/>
                <w:gridSpan w:val="2"/>
                <w:tcBorders>
                  <w:top w:val="single" w:color="auto" w:sz="4" w:space="0"/>
                  <w:left w:val="single" w:color="auto" w:sz="4" w:space="0"/>
                  <w:right w:val="single" w:color="auto" w:sz="4" w:space="0"/>
                </w:tcBorders>
                <w:vAlign w:val="center"/>
              </w:tcPr>
              <w:p w14:paraId="0A57299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tc>
          </w:sdtContent>
        </w:sdt>
        <w:sdt>
          <w:sdtPr>
            <w:tag w:val="_PLD_76d8f3a48cba41949b5870f6cbb124af"/>
            <w:id w:val="1410422432"/>
          </w:sdtPr>
          <w:sdtContent>
            <w:tc>
              <w:tcPr>
                <w:tcW w:w="832" w:type="pct"/>
                <w:gridSpan w:val="2"/>
                <w:tcBorders>
                  <w:top w:val="single" w:color="auto" w:sz="4" w:space="0"/>
                  <w:left w:val="single" w:color="auto" w:sz="4" w:space="0"/>
                  <w:right w:val="single" w:color="auto" w:sz="4" w:space="0"/>
                </w:tcBorders>
                <w:vAlign w:val="center"/>
              </w:tcPr>
              <w:p w14:paraId="4CE3C47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坏账准备</w:t>
                </w:r>
              </w:p>
            </w:tc>
          </w:sdtContent>
        </w:sdt>
        <w:sdt>
          <w:sdtPr>
            <w:tag w:val="_PLD_5062ab8e678b49c0bba488dc029ff27b"/>
            <w:id w:val="-2133234017"/>
          </w:sdtPr>
          <w:sdtContent>
            <w:tc>
              <w:tcPr>
                <w:tcW w:w="656" w:type="pct"/>
                <w:vMerge w:val="restart"/>
                <w:tcBorders>
                  <w:top w:val="single" w:color="auto" w:sz="4" w:space="0"/>
                  <w:left w:val="single" w:color="auto" w:sz="4" w:space="0"/>
                  <w:right w:val="single" w:color="auto" w:sz="4" w:space="0"/>
                </w:tcBorders>
                <w:vAlign w:val="center"/>
              </w:tcPr>
              <w:p w14:paraId="58F5336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w:t>
                </w:r>
              </w:p>
              <w:p w14:paraId="51C1709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价值</w:t>
                </w:r>
              </w:p>
            </w:tc>
          </w:sdtContent>
        </w:sdt>
      </w:tr>
      <w:tr w14:paraId="620B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Height w:val="375" w:hRule="atLeast"/>
        </w:trPr>
        <w:tc>
          <w:tcPr>
            <w:tcW w:w="1066" w:type="pct"/>
            <w:vMerge w:val="continue"/>
            <w:tcBorders>
              <w:left w:val="single" w:color="auto" w:sz="4" w:space="0"/>
              <w:bottom w:val="single" w:color="auto" w:sz="4" w:space="0"/>
              <w:right w:val="single" w:color="auto" w:sz="4" w:space="0"/>
            </w:tcBorders>
            <w:vAlign w:val="center"/>
          </w:tcPr>
          <w:p w14:paraId="33C19452">
            <w:pPr>
              <w:rPr>
                <w:color w:val="000000" w:themeColor="text1"/>
                <w14:textFill>
                  <w14:solidFill>
                    <w14:schemeClr w14:val="tx1"/>
                  </w14:solidFill>
                </w14:textFill>
              </w:rPr>
            </w:pPr>
          </w:p>
        </w:tc>
        <w:sdt>
          <w:sdtPr>
            <w:tag w:val="_PLD_f6bdd572740240b5a7a2e643c29db5eb"/>
            <w:id w:val="371352476"/>
          </w:sdtPr>
          <w:sdtContent>
            <w:tc>
              <w:tcPr>
                <w:tcW w:w="300" w:type="pct"/>
                <w:tcBorders>
                  <w:left w:val="single" w:color="auto" w:sz="4" w:space="0"/>
                  <w:bottom w:val="single" w:color="auto" w:sz="4" w:space="0"/>
                  <w:right w:val="single" w:color="auto" w:sz="4" w:space="0"/>
                </w:tcBorders>
                <w:vAlign w:val="center"/>
              </w:tcPr>
              <w:p w14:paraId="2463C9F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金额</w:t>
                </w:r>
              </w:p>
            </w:tc>
          </w:sdtContent>
        </w:sdt>
        <w:sdt>
          <w:sdtPr>
            <w:tag w:val="_PLD_0a09779b6e354e32b6df9b1e891e1509"/>
            <w:id w:val="-1089766685"/>
          </w:sdtPr>
          <w:sdtContent>
            <w:tc>
              <w:tcPr>
                <w:tcW w:w="295" w:type="pct"/>
                <w:tcBorders>
                  <w:left w:val="single" w:color="auto" w:sz="4" w:space="0"/>
                  <w:bottom w:val="single" w:color="auto" w:sz="4" w:space="0"/>
                  <w:right w:val="single" w:color="auto" w:sz="4" w:space="0"/>
                </w:tcBorders>
                <w:vAlign w:val="center"/>
              </w:tcPr>
              <w:p w14:paraId="2347906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比例</w:t>
                </w:r>
                <w:r>
                  <w:rPr>
                    <w:color w:val="000000" w:themeColor="text1"/>
                    <w14:textFill>
                      <w14:solidFill>
                        <w14:schemeClr w14:val="tx1"/>
                      </w14:solidFill>
                    </w14:textFill>
                  </w:rPr>
                  <w:t>(%)</w:t>
                </w:r>
              </w:p>
            </w:tc>
          </w:sdtContent>
        </w:sdt>
        <w:sdt>
          <w:sdtPr>
            <w:tag w:val="_PLD_dd9c9061f11b453c8775ca1a11382d92"/>
            <w:id w:val="-1256585856"/>
          </w:sdtPr>
          <w:sdtContent>
            <w:tc>
              <w:tcPr>
                <w:tcW w:w="293" w:type="pct"/>
                <w:tcBorders>
                  <w:left w:val="single" w:color="auto" w:sz="4" w:space="0"/>
                  <w:bottom w:val="single" w:color="auto" w:sz="4" w:space="0"/>
                  <w:right w:val="single" w:color="auto" w:sz="4" w:space="0"/>
                </w:tcBorders>
                <w:vAlign w:val="center"/>
              </w:tcPr>
              <w:p w14:paraId="0B7A7A9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金额</w:t>
                </w:r>
              </w:p>
            </w:tc>
          </w:sdtContent>
        </w:sdt>
        <w:sdt>
          <w:sdtPr>
            <w:tag w:val="_PLD_988b69362ac14c0e94c26191e76b1e3a"/>
            <w:id w:val="1368951841"/>
          </w:sdtPr>
          <w:sdtContent>
            <w:tc>
              <w:tcPr>
                <w:tcW w:w="304" w:type="pct"/>
                <w:tcBorders>
                  <w:left w:val="single" w:color="auto" w:sz="4" w:space="0"/>
                  <w:bottom w:val="single" w:color="auto" w:sz="4" w:space="0"/>
                  <w:right w:val="single" w:color="auto" w:sz="4" w:space="0"/>
                </w:tcBorders>
                <w:vAlign w:val="center"/>
              </w:tcPr>
              <w:p w14:paraId="74BD797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计提比例</w:t>
                </w:r>
                <w:r>
                  <w:rPr>
                    <w:color w:val="000000" w:themeColor="text1"/>
                    <w14:textFill>
                      <w14:solidFill>
                        <w14:schemeClr w14:val="tx1"/>
                      </w14:solidFill>
                    </w14:textFill>
                  </w:rPr>
                  <w:t>(%)</w:t>
                </w:r>
              </w:p>
            </w:tc>
          </w:sdtContent>
        </w:sdt>
        <w:tc>
          <w:tcPr>
            <w:tcW w:w="293" w:type="pct"/>
            <w:vMerge w:val="continue"/>
            <w:tcBorders>
              <w:left w:val="single" w:color="auto" w:sz="4" w:space="0"/>
              <w:bottom w:val="single" w:color="auto" w:sz="4" w:space="0"/>
              <w:right w:val="single" w:color="auto" w:sz="4" w:space="0"/>
            </w:tcBorders>
            <w:vAlign w:val="center"/>
          </w:tcPr>
          <w:p w14:paraId="23E90A05">
            <w:pPr>
              <w:jc w:val="center"/>
              <w:rPr>
                <w:color w:val="000000" w:themeColor="text1"/>
                <w14:textFill>
                  <w14:solidFill>
                    <w14:schemeClr w14:val="tx1"/>
                  </w14:solidFill>
                </w14:textFill>
              </w:rPr>
            </w:pPr>
          </w:p>
        </w:tc>
        <w:sdt>
          <w:sdtPr>
            <w:tag w:val="_PLD_a5c1af5c86d545b993971c3da029159d"/>
            <w:id w:val="533460209"/>
          </w:sdtPr>
          <w:sdtContent>
            <w:tc>
              <w:tcPr>
                <w:tcW w:w="656" w:type="pct"/>
                <w:tcBorders>
                  <w:left w:val="single" w:color="auto" w:sz="4" w:space="0"/>
                  <w:bottom w:val="single" w:color="auto" w:sz="4" w:space="0"/>
                  <w:right w:val="single" w:color="auto" w:sz="4" w:space="0"/>
                </w:tcBorders>
                <w:vAlign w:val="center"/>
              </w:tcPr>
              <w:p w14:paraId="3E32222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金额</w:t>
                </w:r>
              </w:p>
            </w:tc>
          </w:sdtContent>
        </w:sdt>
        <w:sdt>
          <w:sdtPr>
            <w:tag w:val="_PLD_fd80073c74724a799d0de2171d95f241"/>
            <w:id w:val="498863710"/>
          </w:sdtPr>
          <w:sdtContent>
            <w:tc>
              <w:tcPr>
                <w:tcW w:w="304" w:type="pct"/>
                <w:tcBorders>
                  <w:left w:val="single" w:color="auto" w:sz="4" w:space="0"/>
                  <w:bottom w:val="single" w:color="auto" w:sz="4" w:space="0"/>
                  <w:right w:val="single" w:color="auto" w:sz="4" w:space="0"/>
                </w:tcBorders>
                <w:vAlign w:val="center"/>
              </w:tcPr>
              <w:p w14:paraId="245619A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比例</w:t>
                </w:r>
                <w:r>
                  <w:rPr>
                    <w:color w:val="000000" w:themeColor="text1"/>
                    <w14:textFill>
                      <w14:solidFill>
                        <w14:schemeClr w14:val="tx1"/>
                      </w14:solidFill>
                    </w14:textFill>
                  </w:rPr>
                  <w:t>(%)</w:t>
                </w:r>
              </w:p>
            </w:tc>
          </w:sdtContent>
        </w:sdt>
        <w:sdt>
          <w:sdtPr>
            <w:tag w:val="_PLD_917059b3ee7f4b52afe8c3fa58f3e369"/>
            <w:id w:val="2082173553"/>
          </w:sdtPr>
          <w:sdtContent>
            <w:tc>
              <w:tcPr>
                <w:tcW w:w="520" w:type="pct"/>
                <w:tcBorders>
                  <w:left w:val="single" w:color="auto" w:sz="4" w:space="0"/>
                  <w:bottom w:val="single" w:color="auto" w:sz="4" w:space="0"/>
                  <w:right w:val="single" w:color="auto" w:sz="4" w:space="0"/>
                </w:tcBorders>
                <w:vAlign w:val="center"/>
              </w:tcPr>
              <w:p w14:paraId="1623C8F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金额</w:t>
                </w:r>
              </w:p>
            </w:tc>
          </w:sdtContent>
        </w:sdt>
        <w:sdt>
          <w:sdtPr>
            <w:tag w:val="_PLD_ea90ccc029834397956c79bbe869d343"/>
            <w:id w:val="-1591380851"/>
          </w:sdtPr>
          <w:sdtContent>
            <w:tc>
              <w:tcPr>
                <w:tcW w:w="311" w:type="pct"/>
                <w:tcBorders>
                  <w:left w:val="single" w:color="auto" w:sz="4" w:space="0"/>
                  <w:bottom w:val="single" w:color="auto" w:sz="4" w:space="0"/>
                  <w:right w:val="single" w:color="auto" w:sz="4" w:space="0"/>
                </w:tcBorders>
                <w:vAlign w:val="center"/>
              </w:tcPr>
              <w:p w14:paraId="75E120F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计提比例</w:t>
                </w:r>
                <w:r>
                  <w:rPr>
                    <w:color w:val="000000" w:themeColor="text1"/>
                    <w14:textFill>
                      <w14:solidFill>
                        <w14:schemeClr w14:val="tx1"/>
                      </w14:solidFill>
                    </w14:textFill>
                  </w:rPr>
                  <w:t>(%)</w:t>
                </w:r>
              </w:p>
            </w:tc>
          </w:sdtContent>
        </w:sdt>
        <w:tc>
          <w:tcPr>
            <w:tcW w:w="656" w:type="pct"/>
            <w:vMerge w:val="continue"/>
            <w:tcBorders>
              <w:left w:val="single" w:color="auto" w:sz="4" w:space="0"/>
              <w:bottom w:val="single" w:color="auto" w:sz="4" w:space="0"/>
              <w:right w:val="single" w:color="auto" w:sz="4" w:space="0"/>
            </w:tcBorders>
          </w:tcPr>
          <w:p w14:paraId="58B99165">
            <w:pPr>
              <w:jc w:val="center"/>
              <w:rPr>
                <w:color w:val="000000" w:themeColor="text1"/>
                <w14:textFill>
                  <w14:solidFill>
                    <w14:schemeClr w14:val="tx1"/>
                  </w14:solidFill>
                </w14:textFill>
              </w:rPr>
            </w:pPr>
          </w:p>
        </w:tc>
      </w:tr>
      <w:tr w14:paraId="6EF0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066" w:type="pct"/>
            <w:tcBorders>
              <w:top w:val="single" w:color="auto" w:sz="4" w:space="0"/>
              <w:left w:val="single" w:color="auto" w:sz="4" w:space="0"/>
              <w:bottom w:val="single" w:color="auto" w:sz="4" w:space="0"/>
              <w:right w:val="single" w:color="auto" w:sz="4" w:space="0"/>
            </w:tcBorders>
          </w:tcPr>
          <w:p w14:paraId="75EF0701">
            <w:pPr>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w:t>
            </w:r>
          </w:p>
        </w:tc>
        <w:tc>
          <w:tcPr>
            <w:tcW w:w="300" w:type="pct"/>
            <w:tcBorders>
              <w:top w:val="single" w:color="auto" w:sz="4" w:space="0"/>
              <w:left w:val="single" w:color="auto" w:sz="4" w:space="0"/>
              <w:bottom w:val="single" w:color="auto" w:sz="4" w:space="0"/>
              <w:right w:val="single" w:color="auto" w:sz="4" w:space="0"/>
            </w:tcBorders>
            <w:vAlign w:val="center"/>
          </w:tcPr>
          <w:p w14:paraId="6DECAA38">
            <w:pPr>
              <w:jc w:val="right"/>
            </w:pPr>
            <w:r>
              <w:t>509,975.14</w:t>
            </w:r>
          </w:p>
        </w:tc>
        <w:tc>
          <w:tcPr>
            <w:tcW w:w="295" w:type="pct"/>
            <w:tcBorders>
              <w:top w:val="single" w:color="auto" w:sz="4" w:space="0"/>
              <w:left w:val="single" w:color="auto" w:sz="4" w:space="0"/>
              <w:bottom w:val="single" w:color="auto" w:sz="4" w:space="0"/>
              <w:right w:val="single" w:color="auto" w:sz="4" w:space="0"/>
            </w:tcBorders>
            <w:vAlign w:val="center"/>
          </w:tcPr>
          <w:p w14:paraId="2B4B2619">
            <w:pPr>
              <w:jc w:val="right"/>
            </w:pPr>
            <w:r>
              <w:rPr>
                <w:rFonts w:hint="eastAsia"/>
              </w:rPr>
              <w:t>2.67</w:t>
            </w:r>
          </w:p>
        </w:tc>
        <w:tc>
          <w:tcPr>
            <w:tcW w:w="293" w:type="pct"/>
            <w:tcBorders>
              <w:top w:val="single" w:color="auto" w:sz="4" w:space="0"/>
              <w:left w:val="single" w:color="auto" w:sz="4" w:space="0"/>
              <w:bottom w:val="single" w:color="auto" w:sz="4" w:space="0"/>
              <w:right w:val="single" w:color="auto" w:sz="4" w:space="0"/>
            </w:tcBorders>
            <w:vAlign w:val="center"/>
          </w:tcPr>
          <w:p w14:paraId="7D015B61">
            <w:pPr>
              <w:jc w:val="right"/>
            </w:pPr>
            <w:r>
              <w:t>509,975.14</w:t>
            </w:r>
          </w:p>
        </w:tc>
        <w:tc>
          <w:tcPr>
            <w:tcW w:w="304" w:type="pct"/>
            <w:tcBorders>
              <w:top w:val="single" w:color="auto" w:sz="4" w:space="0"/>
              <w:left w:val="single" w:color="auto" w:sz="4" w:space="0"/>
              <w:bottom w:val="single" w:color="auto" w:sz="4" w:space="0"/>
              <w:right w:val="single" w:color="auto" w:sz="4" w:space="0"/>
            </w:tcBorders>
            <w:vAlign w:val="center"/>
          </w:tcPr>
          <w:p w14:paraId="381B9153">
            <w:pPr>
              <w:jc w:val="right"/>
            </w:pPr>
            <w:r>
              <w:rPr>
                <w:rFonts w:hint="eastAsia"/>
              </w:rPr>
              <w:t>100</w:t>
            </w:r>
          </w:p>
        </w:tc>
        <w:tc>
          <w:tcPr>
            <w:tcW w:w="293" w:type="pct"/>
            <w:tcBorders>
              <w:top w:val="single" w:color="auto" w:sz="4" w:space="0"/>
              <w:left w:val="single" w:color="auto" w:sz="4" w:space="0"/>
              <w:bottom w:val="single" w:color="auto" w:sz="4" w:space="0"/>
              <w:right w:val="single" w:color="auto" w:sz="4" w:space="0"/>
            </w:tcBorders>
            <w:vAlign w:val="center"/>
          </w:tcPr>
          <w:p w14:paraId="14A2E503">
            <w:pPr>
              <w:jc w:val="right"/>
            </w:pPr>
          </w:p>
        </w:tc>
        <w:tc>
          <w:tcPr>
            <w:tcW w:w="656" w:type="pct"/>
            <w:tcBorders>
              <w:top w:val="single" w:color="auto" w:sz="4" w:space="0"/>
              <w:left w:val="single" w:color="auto" w:sz="4" w:space="0"/>
              <w:bottom w:val="single" w:color="auto" w:sz="4" w:space="0"/>
              <w:right w:val="single" w:color="auto" w:sz="4" w:space="0"/>
            </w:tcBorders>
            <w:vAlign w:val="center"/>
          </w:tcPr>
          <w:p w14:paraId="48385EFC">
            <w:pPr>
              <w:jc w:val="right"/>
            </w:pPr>
            <w:r>
              <w:t>509,975.14</w:t>
            </w:r>
          </w:p>
        </w:tc>
        <w:tc>
          <w:tcPr>
            <w:tcW w:w="304" w:type="pct"/>
            <w:tcBorders>
              <w:top w:val="single" w:color="auto" w:sz="4" w:space="0"/>
              <w:left w:val="single" w:color="auto" w:sz="4" w:space="0"/>
              <w:bottom w:val="single" w:color="auto" w:sz="4" w:space="0"/>
              <w:right w:val="single" w:color="auto" w:sz="4" w:space="0"/>
            </w:tcBorders>
            <w:vAlign w:val="center"/>
          </w:tcPr>
          <w:p w14:paraId="35A0BA8C">
            <w:pPr>
              <w:jc w:val="right"/>
            </w:pPr>
            <w:r>
              <w:rPr>
                <w:rFonts w:hint="eastAsia"/>
              </w:rPr>
              <w:t>1.97</w:t>
            </w:r>
          </w:p>
        </w:tc>
        <w:tc>
          <w:tcPr>
            <w:tcW w:w="520" w:type="pct"/>
            <w:tcBorders>
              <w:top w:val="single" w:color="auto" w:sz="4" w:space="0"/>
              <w:left w:val="single" w:color="auto" w:sz="4" w:space="0"/>
              <w:bottom w:val="single" w:color="auto" w:sz="4" w:space="0"/>
              <w:right w:val="single" w:color="auto" w:sz="4" w:space="0"/>
            </w:tcBorders>
            <w:vAlign w:val="center"/>
          </w:tcPr>
          <w:p w14:paraId="72214DE5">
            <w:pPr>
              <w:jc w:val="right"/>
            </w:pPr>
            <w:r>
              <w:t>509,975.14</w:t>
            </w:r>
          </w:p>
        </w:tc>
        <w:tc>
          <w:tcPr>
            <w:tcW w:w="311" w:type="pct"/>
            <w:tcBorders>
              <w:top w:val="single" w:color="auto" w:sz="4" w:space="0"/>
              <w:left w:val="single" w:color="auto" w:sz="4" w:space="0"/>
              <w:bottom w:val="single" w:color="auto" w:sz="4" w:space="0"/>
              <w:right w:val="single" w:color="auto" w:sz="4" w:space="0"/>
            </w:tcBorders>
            <w:vAlign w:val="center"/>
          </w:tcPr>
          <w:p w14:paraId="02B63D83">
            <w:pPr>
              <w:jc w:val="right"/>
            </w:pPr>
            <w:r>
              <w:rPr>
                <w:rFonts w:hint="eastAsia"/>
              </w:rPr>
              <w:t>100</w:t>
            </w:r>
          </w:p>
        </w:tc>
        <w:tc>
          <w:tcPr>
            <w:tcW w:w="656" w:type="pct"/>
            <w:tcBorders>
              <w:top w:val="single" w:color="auto" w:sz="4" w:space="0"/>
              <w:left w:val="single" w:color="auto" w:sz="4" w:space="0"/>
              <w:bottom w:val="single" w:color="auto" w:sz="4" w:space="0"/>
              <w:right w:val="single" w:color="auto" w:sz="4" w:space="0"/>
            </w:tcBorders>
            <w:vAlign w:val="center"/>
          </w:tcPr>
          <w:p w14:paraId="24626CAF">
            <w:pPr>
              <w:jc w:val="right"/>
            </w:pPr>
          </w:p>
        </w:tc>
      </w:tr>
      <w:tr w14:paraId="38E3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tag w:val="_PLD_8ec8b92b0ab24a78ae82ff991696133e"/>
            <w:id w:val="-1832507431"/>
          </w:sdtPr>
          <w:sdtContent>
            <w:tc>
              <w:tcPr>
                <w:tcW w:w="5000" w:type="pct"/>
                <w:gridSpan w:val="11"/>
                <w:tcBorders>
                  <w:top w:val="single" w:color="auto" w:sz="4" w:space="0"/>
                  <w:left w:val="single" w:color="auto" w:sz="4" w:space="0"/>
                  <w:bottom w:val="single" w:color="auto" w:sz="4" w:space="0"/>
                  <w:right w:val="single" w:color="auto" w:sz="4" w:space="0"/>
                </w:tcBorders>
              </w:tcPr>
              <w:p w14:paraId="121B3598">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w:t>
                </w:r>
              </w:p>
            </w:tc>
          </w:sdtContent>
        </w:sdt>
      </w:tr>
      <w:tr w14:paraId="5C78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rPr>
              <w:color w:val="000000" w:themeColor="text1"/>
              <w14:textFill>
                <w14:solidFill>
                  <w14:schemeClr w14:val="tx1"/>
                </w14:solidFill>
              </w14:textFill>
            </w:rPr>
            <w:alias w:val="按单项计提坏账准备的应收账款明细-类别"/>
            <w:tag w:val="_GBC_d2aff18c0a9246d69b8b1f262666166e"/>
            <w:id w:val="-28954189"/>
          </w:sdtPr>
          <w:sdtEndPr>
            <w:rPr>
              <w:color w:val="000000" w:themeColor="text1"/>
              <w14:textFill>
                <w14:solidFill>
                  <w14:schemeClr w14:val="tx1"/>
                </w14:solidFill>
              </w14:textFill>
            </w:rPr>
          </w:sdtEndPr>
          <w:sdtContent>
            <w:tc>
              <w:tcPr>
                <w:tcW w:w="1066" w:type="pct"/>
                <w:tcBorders>
                  <w:top w:val="single" w:color="auto" w:sz="4" w:space="0"/>
                  <w:left w:val="single" w:color="auto" w:sz="4" w:space="0"/>
                  <w:bottom w:val="single" w:color="auto" w:sz="4" w:space="0"/>
                  <w:right w:val="single" w:color="auto" w:sz="4" w:space="0"/>
                </w:tcBorders>
              </w:tcPr>
              <w:p w14:paraId="14C3E068">
                <w:pPr>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单项评估风险</w:t>
                </w:r>
              </w:p>
            </w:tc>
          </w:sdtContent>
        </w:sdt>
        <w:tc>
          <w:tcPr>
            <w:tcW w:w="300" w:type="pct"/>
            <w:tcBorders>
              <w:top w:val="single" w:color="auto" w:sz="4" w:space="0"/>
              <w:left w:val="single" w:color="auto" w:sz="4" w:space="0"/>
              <w:bottom w:val="single" w:color="auto" w:sz="4" w:space="0"/>
              <w:right w:val="single" w:color="auto" w:sz="4" w:space="0"/>
            </w:tcBorders>
          </w:tcPr>
          <w:p w14:paraId="3984B2B3">
            <w:pPr>
              <w:jc w:val="right"/>
            </w:pPr>
            <w:r>
              <w:t>509,975.14</w:t>
            </w:r>
          </w:p>
        </w:tc>
        <w:tc>
          <w:tcPr>
            <w:tcW w:w="295" w:type="pct"/>
            <w:tcBorders>
              <w:top w:val="single" w:color="auto" w:sz="4" w:space="0"/>
              <w:left w:val="single" w:color="auto" w:sz="4" w:space="0"/>
              <w:bottom w:val="single" w:color="auto" w:sz="4" w:space="0"/>
              <w:right w:val="single" w:color="auto" w:sz="4" w:space="0"/>
            </w:tcBorders>
          </w:tcPr>
          <w:p w14:paraId="32C84A5B">
            <w:pPr>
              <w:jc w:val="right"/>
            </w:pPr>
            <w:r>
              <w:rPr>
                <w:rFonts w:hint="eastAsia"/>
              </w:rPr>
              <w:t>2.67</w:t>
            </w:r>
          </w:p>
        </w:tc>
        <w:tc>
          <w:tcPr>
            <w:tcW w:w="293" w:type="pct"/>
            <w:tcBorders>
              <w:top w:val="single" w:color="auto" w:sz="4" w:space="0"/>
              <w:left w:val="single" w:color="auto" w:sz="4" w:space="0"/>
              <w:bottom w:val="single" w:color="auto" w:sz="4" w:space="0"/>
              <w:right w:val="single" w:color="auto" w:sz="4" w:space="0"/>
            </w:tcBorders>
          </w:tcPr>
          <w:p w14:paraId="48D949EB">
            <w:pPr>
              <w:jc w:val="right"/>
            </w:pPr>
            <w:r>
              <w:t>509,975.14</w:t>
            </w:r>
          </w:p>
        </w:tc>
        <w:tc>
          <w:tcPr>
            <w:tcW w:w="304" w:type="pct"/>
            <w:tcBorders>
              <w:top w:val="single" w:color="auto" w:sz="4" w:space="0"/>
              <w:left w:val="single" w:color="auto" w:sz="4" w:space="0"/>
              <w:bottom w:val="single" w:color="auto" w:sz="4" w:space="0"/>
              <w:right w:val="single" w:color="auto" w:sz="4" w:space="0"/>
            </w:tcBorders>
          </w:tcPr>
          <w:p w14:paraId="52F59370">
            <w:pPr>
              <w:jc w:val="right"/>
            </w:pPr>
            <w:r>
              <w:rPr>
                <w:rFonts w:hint="eastAsia"/>
              </w:rPr>
              <w:t>100</w:t>
            </w:r>
          </w:p>
        </w:tc>
        <w:tc>
          <w:tcPr>
            <w:tcW w:w="293" w:type="pct"/>
            <w:tcBorders>
              <w:top w:val="single" w:color="auto" w:sz="4" w:space="0"/>
              <w:left w:val="single" w:color="auto" w:sz="4" w:space="0"/>
              <w:bottom w:val="single" w:color="auto" w:sz="4" w:space="0"/>
              <w:right w:val="single" w:color="auto" w:sz="4" w:space="0"/>
            </w:tcBorders>
          </w:tcPr>
          <w:p w14:paraId="32260C13">
            <w:pPr>
              <w:jc w:val="right"/>
            </w:pPr>
          </w:p>
        </w:tc>
        <w:tc>
          <w:tcPr>
            <w:tcW w:w="656" w:type="pct"/>
            <w:tcBorders>
              <w:top w:val="single" w:color="auto" w:sz="4" w:space="0"/>
              <w:left w:val="single" w:color="auto" w:sz="4" w:space="0"/>
              <w:bottom w:val="single" w:color="auto" w:sz="4" w:space="0"/>
              <w:right w:val="single" w:color="auto" w:sz="4" w:space="0"/>
            </w:tcBorders>
          </w:tcPr>
          <w:p w14:paraId="78AA0D51">
            <w:pPr>
              <w:jc w:val="right"/>
            </w:pPr>
            <w:r>
              <w:t>509,975.14</w:t>
            </w:r>
          </w:p>
        </w:tc>
        <w:tc>
          <w:tcPr>
            <w:tcW w:w="304" w:type="pct"/>
            <w:tcBorders>
              <w:top w:val="single" w:color="auto" w:sz="4" w:space="0"/>
              <w:left w:val="single" w:color="auto" w:sz="4" w:space="0"/>
              <w:bottom w:val="single" w:color="auto" w:sz="4" w:space="0"/>
              <w:right w:val="single" w:color="auto" w:sz="4" w:space="0"/>
            </w:tcBorders>
          </w:tcPr>
          <w:p w14:paraId="2ECDC327">
            <w:pPr>
              <w:jc w:val="right"/>
            </w:pPr>
            <w:r>
              <w:rPr>
                <w:rFonts w:hint="eastAsia"/>
              </w:rPr>
              <w:t>1.97</w:t>
            </w:r>
          </w:p>
        </w:tc>
        <w:tc>
          <w:tcPr>
            <w:tcW w:w="520" w:type="pct"/>
            <w:tcBorders>
              <w:top w:val="single" w:color="auto" w:sz="4" w:space="0"/>
              <w:left w:val="single" w:color="auto" w:sz="4" w:space="0"/>
              <w:bottom w:val="single" w:color="auto" w:sz="4" w:space="0"/>
              <w:right w:val="single" w:color="auto" w:sz="4" w:space="0"/>
            </w:tcBorders>
          </w:tcPr>
          <w:p w14:paraId="26C48A35">
            <w:pPr>
              <w:jc w:val="right"/>
            </w:pPr>
            <w:r>
              <w:t>509,975.14</w:t>
            </w:r>
          </w:p>
        </w:tc>
        <w:tc>
          <w:tcPr>
            <w:tcW w:w="311" w:type="pct"/>
            <w:tcBorders>
              <w:top w:val="single" w:color="auto" w:sz="4" w:space="0"/>
              <w:left w:val="single" w:color="auto" w:sz="4" w:space="0"/>
              <w:bottom w:val="single" w:color="auto" w:sz="4" w:space="0"/>
              <w:right w:val="single" w:color="auto" w:sz="4" w:space="0"/>
            </w:tcBorders>
          </w:tcPr>
          <w:p w14:paraId="5CF6E154">
            <w:pPr>
              <w:jc w:val="right"/>
            </w:pPr>
            <w:r>
              <w:rPr>
                <w:rFonts w:hint="eastAsia"/>
              </w:rPr>
              <w:t>100</w:t>
            </w:r>
          </w:p>
        </w:tc>
        <w:tc>
          <w:tcPr>
            <w:tcW w:w="656" w:type="pct"/>
            <w:tcBorders>
              <w:top w:val="single" w:color="auto" w:sz="4" w:space="0"/>
              <w:left w:val="single" w:color="auto" w:sz="4" w:space="0"/>
              <w:bottom w:val="single" w:color="auto" w:sz="4" w:space="0"/>
              <w:right w:val="single" w:color="auto" w:sz="4" w:space="0"/>
            </w:tcBorders>
          </w:tcPr>
          <w:p w14:paraId="062F37B3">
            <w:pPr>
              <w:jc w:val="right"/>
            </w:pPr>
          </w:p>
        </w:tc>
      </w:tr>
      <w:tr w14:paraId="76D2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066" w:type="pct"/>
            <w:tcBorders>
              <w:top w:val="single" w:color="auto" w:sz="4" w:space="0"/>
              <w:left w:val="single" w:color="auto" w:sz="4" w:space="0"/>
              <w:bottom w:val="single" w:color="auto" w:sz="4" w:space="0"/>
              <w:right w:val="single" w:color="auto" w:sz="4" w:space="0"/>
            </w:tcBorders>
            <w:vAlign w:val="center"/>
          </w:tcPr>
          <w:p w14:paraId="09F71236">
            <w:pPr>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按组合计提坏账准备</w:t>
            </w:r>
          </w:p>
        </w:tc>
        <w:tc>
          <w:tcPr>
            <w:tcW w:w="300" w:type="pct"/>
            <w:tcBorders>
              <w:top w:val="single" w:color="auto" w:sz="4" w:space="0"/>
              <w:left w:val="single" w:color="auto" w:sz="4" w:space="0"/>
              <w:bottom w:val="single" w:color="auto" w:sz="4" w:space="0"/>
              <w:right w:val="single" w:color="auto" w:sz="4" w:space="0"/>
            </w:tcBorders>
            <w:vAlign w:val="center"/>
          </w:tcPr>
          <w:p w14:paraId="66826653">
            <w:pPr>
              <w:jc w:val="right"/>
            </w:pPr>
            <w:r>
              <w:t>18,590,361.05</w:t>
            </w:r>
          </w:p>
        </w:tc>
        <w:tc>
          <w:tcPr>
            <w:tcW w:w="295" w:type="pct"/>
            <w:tcBorders>
              <w:top w:val="single" w:color="auto" w:sz="4" w:space="0"/>
              <w:left w:val="single" w:color="auto" w:sz="4" w:space="0"/>
              <w:bottom w:val="single" w:color="auto" w:sz="4" w:space="0"/>
              <w:right w:val="single" w:color="auto" w:sz="4" w:space="0"/>
            </w:tcBorders>
            <w:vAlign w:val="center"/>
          </w:tcPr>
          <w:p w14:paraId="339C6DA6">
            <w:pPr>
              <w:jc w:val="right"/>
            </w:pPr>
            <w:r>
              <w:rPr>
                <w:rFonts w:hint="eastAsia"/>
              </w:rPr>
              <w:t>97.33</w:t>
            </w:r>
          </w:p>
        </w:tc>
        <w:tc>
          <w:tcPr>
            <w:tcW w:w="293" w:type="pct"/>
            <w:tcBorders>
              <w:top w:val="single" w:color="auto" w:sz="4" w:space="0"/>
              <w:left w:val="single" w:color="auto" w:sz="4" w:space="0"/>
              <w:bottom w:val="single" w:color="auto" w:sz="4" w:space="0"/>
              <w:right w:val="single" w:color="auto" w:sz="4" w:space="0"/>
            </w:tcBorders>
            <w:vAlign w:val="center"/>
          </w:tcPr>
          <w:p w14:paraId="13273793">
            <w:pPr>
              <w:jc w:val="right"/>
            </w:pPr>
            <w:r>
              <w:t>747,981.53</w:t>
            </w:r>
          </w:p>
        </w:tc>
        <w:tc>
          <w:tcPr>
            <w:tcW w:w="304" w:type="pct"/>
            <w:tcBorders>
              <w:top w:val="single" w:color="auto" w:sz="4" w:space="0"/>
              <w:left w:val="single" w:color="auto" w:sz="4" w:space="0"/>
              <w:bottom w:val="single" w:color="auto" w:sz="4" w:space="0"/>
              <w:right w:val="single" w:color="auto" w:sz="4" w:space="0"/>
            </w:tcBorders>
            <w:vAlign w:val="center"/>
          </w:tcPr>
          <w:p w14:paraId="628BB3B4">
            <w:pPr>
              <w:jc w:val="right"/>
            </w:pPr>
            <w:r>
              <w:rPr>
                <w:rFonts w:hint="eastAsia"/>
              </w:rPr>
              <w:t>4.02</w:t>
            </w:r>
          </w:p>
        </w:tc>
        <w:tc>
          <w:tcPr>
            <w:tcW w:w="293" w:type="pct"/>
            <w:tcBorders>
              <w:top w:val="single" w:color="auto" w:sz="4" w:space="0"/>
              <w:left w:val="single" w:color="auto" w:sz="4" w:space="0"/>
              <w:bottom w:val="single" w:color="auto" w:sz="4" w:space="0"/>
              <w:right w:val="single" w:color="auto" w:sz="4" w:space="0"/>
            </w:tcBorders>
            <w:vAlign w:val="center"/>
          </w:tcPr>
          <w:p w14:paraId="2479EE2A">
            <w:pPr>
              <w:jc w:val="right"/>
            </w:pPr>
            <w:r>
              <w:t>17,842,379.52</w:t>
            </w:r>
          </w:p>
        </w:tc>
        <w:tc>
          <w:tcPr>
            <w:tcW w:w="656" w:type="pct"/>
            <w:tcBorders>
              <w:top w:val="single" w:color="auto" w:sz="4" w:space="0"/>
              <w:left w:val="single" w:color="auto" w:sz="4" w:space="0"/>
              <w:bottom w:val="single" w:color="auto" w:sz="4" w:space="0"/>
              <w:right w:val="single" w:color="auto" w:sz="4" w:space="0"/>
            </w:tcBorders>
            <w:vAlign w:val="center"/>
          </w:tcPr>
          <w:p w14:paraId="74B278B4">
            <w:pPr>
              <w:jc w:val="right"/>
            </w:pPr>
            <w:r>
              <w:t>25,341,403.06</w:t>
            </w:r>
          </w:p>
        </w:tc>
        <w:tc>
          <w:tcPr>
            <w:tcW w:w="304" w:type="pct"/>
            <w:tcBorders>
              <w:top w:val="single" w:color="auto" w:sz="4" w:space="0"/>
              <w:left w:val="single" w:color="auto" w:sz="4" w:space="0"/>
              <w:bottom w:val="single" w:color="auto" w:sz="4" w:space="0"/>
              <w:right w:val="single" w:color="auto" w:sz="4" w:space="0"/>
            </w:tcBorders>
            <w:vAlign w:val="center"/>
          </w:tcPr>
          <w:p w14:paraId="7DCD7B1C">
            <w:pPr>
              <w:jc w:val="right"/>
            </w:pPr>
            <w:r>
              <w:rPr>
                <w:rFonts w:hint="eastAsia"/>
              </w:rPr>
              <w:t>98.03</w:t>
            </w:r>
          </w:p>
        </w:tc>
        <w:tc>
          <w:tcPr>
            <w:tcW w:w="520" w:type="pct"/>
            <w:tcBorders>
              <w:top w:val="single" w:color="auto" w:sz="4" w:space="0"/>
              <w:left w:val="single" w:color="auto" w:sz="4" w:space="0"/>
              <w:bottom w:val="single" w:color="auto" w:sz="4" w:space="0"/>
              <w:right w:val="single" w:color="auto" w:sz="4" w:space="0"/>
            </w:tcBorders>
            <w:vAlign w:val="center"/>
          </w:tcPr>
          <w:p w14:paraId="4EF8ECC3">
            <w:pPr>
              <w:jc w:val="right"/>
            </w:pPr>
            <w:r>
              <w:t>949,553.00</w:t>
            </w:r>
          </w:p>
        </w:tc>
        <w:tc>
          <w:tcPr>
            <w:tcW w:w="311" w:type="pct"/>
            <w:tcBorders>
              <w:top w:val="single" w:color="auto" w:sz="4" w:space="0"/>
              <w:left w:val="single" w:color="auto" w:sz="4" w:space="0"/>
              <w:bottom w:val="single" w:color="auto" w:sz="4" w:space="0"/>
              <w:right w:val="single" w:color="auto" w:sz="4" w:space="0"/>
            </w:tcBorders>
            <w:vAlign w:val="center"/>
          </w:tcPr>
          <w:p w14:paraId="3E9FDDF7">
            <w:pPr>
              <w:jc w:val="right"/>
            </w:pPr>
            <w:r>
              <w:rPr>
                <w:rFonts w:hint="eastAsia"/>
              </w:rPr>
              <w:t>3.75</w:t>
            </w:r>
          </w:p>
        </w:tc>
        <w:tc>
          <w:tcPr>
            <w:tcW w:w="656" w:type="pct"/>
            <w:tcBorders>
              <w:top w:val="single" w:color="auto" w:sz="4" w:space="0"/>
              <w:left w:val="single" w:color="auto" w:sz="4" w:space="0"/>
              <w:bottom w:val="single" w:color="auto" w:sz="4" w:space="0"/>
              <w:right w:val="single" w:color="auto" w:sz="4" w:space="0"/>
            </w:tcBorders>
            <w:vAlign w:val="center"/>
          </w:tcPr>
          <w:p w14:paraId="16132081">
            <w:pPr>
              <w:jc w:val="right"/>
            </w:pPr>
            <w:r>
              <w:t>24,391,850.06</w:t>
            </w:r>
          </w:p>
        </w:tc>
      </w:tr>
      <w:tr w14:paraId="51DF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tag w:val="_PLD_bd68cdc38a0e426ea1ec99be844140b3"/>
            <w:id w:val="2064135093"/>
          </w:sdtPr>
          <w:sdtContent>
            <w:tc>
              <w:tcPr>
                <w:tcW w:w="5000" w:type="pct"/>
                <w:gridSpan w:val="11"/>
                <w:tcBorders>
                  <w:top w:val="single" w:color="auto" w:sz="4" w:space="0"/>
                  <w:left w:val="single" w:color="auto" w:sz="4" w:space="0"/>
                  <w:bottom w:val="single" w:color="auto" w:sz="4" w:space="0"/>
                  <w:right w:val="single" w:color="auto" w:sz="4" w:space="0"/>
                </w:tcBorders>
              </w:tcPr>
              <w:p w14:paraId="0AFE1E5E">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w:t>
                </w:r>
              </w:p>
            </w:tc>
          </w:sdtContent>
        </w:sdt>
      </w:tr>
      <w:tr w14:paraId="00A7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rPr>
              <w:color w:val="000000" w:themeColor="text1"/>
              <w14:textFill>
                <w14:solidFill>
                  <w14:schemeClr w14:val="tx1"/>
                </w14:solidFill>
              </w14:textFill>
            </w:rPr>
            <w:alias w:val="按组合计提坏账准备的应收账款明细-组合名称"/>
            <w:tag w:val="_GBC_1d1150cff5254d829cba03da56c2e941"/>
            <w:id w:val="-436995833"/>
          </w:sdtPr>
          <w:sdtEndPr>
            <w:rPr>
              <w:color w:val="000000" w:themeColor="text1"/>
              <w14:textFill>
                <w14:solidFill>
                  <w14:schemeClr w14:val="tx1"/>
                </w14:solidFill>
              </w14:textFill>
            </w:rPr>
          </w:sdtEndPr>
          <w:sdtContent>
            <w:tc>
              <w:tcPr>
                <w:tcW w:w="1066" w:type="pct"/>
                <w:tcBorders>
                  <w:top w:val="single" w:color="auto" w:sz="4" w:space="0"/>
                  <w:left w:val="single" w:color="auto" w:sz="4" w:space="0"/>
                  <w:bottom w:val="single" w:color="auto" w:sz="4" w:space="0"/>
                  <w:right w:val="single" w:color="auto" w:sz="4" w:space="0"/>
                </w:tcBorders>
              </w:tcPr>
              <w:p w14:paraId="0CD76502">
                <w:pPr>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合并内关联方组合</w:t>
                </w:r>
              </w:p>
            </w:tc>
          </w:sdtContent>
        </w:sdt>
        <w:tc>
          <w:tcPr>
            <w:tcW w:w="300" w:type="pct"/>
            <w:tcBorders>
              <w:top w:val="single" w:color="auto" w:sz="4" w:space="0"/>
              <w:left w:val="single" w:color="auto" w:sz="4" w:space="0"/>
              <w:bottom w:val="single" w:color="auto" w:sz="4" w:space="0"/>
              <w:right w:val="single" w:color="auto" w:sz="4" w:space="0"/>
            </w:tcBorders>
          </w:tcPr>
          <w:p w14:paraId="3E4AB6BF">
            <w:pPr>
              <w:jc w:val="right"/>
            </w:pPr>
            <w:r>
              <w:t>4,652,468.00</w:t>
            </w:r>
          </w:p>
        </w:tc>
        <w:tc>
          <w:tcPr>
            <w:tcW w:w="295" w:type="pct"/>
            <w:tcBorders>
              <w:top w:val="single" w:color="auto" w:sz="4" w:space="0"/>
              <w:left w:val="single" w:color="auto" w:sz="4" w:space="0"/>
              <w:bottom w:val="single" w:color="auto" w:sz="4" w:space="0"/>
              <w:right w:val="single" w:color="auto" w:sz="4" w:space="0"/>
            </w:tcBorders>
          </w:tcPr>
          <w:p w14:paraId="53519FFE">
            <w:pPr>
              <w:jc w:val="right"/>
            </w:pPr>
            <w:r>
              <w:rPr>
                <w:rFonts w:hint="eastAsia"/>
              </w:rPr>
              <w:t>25.03</w:t>
            </w:r>
          </w:p>
        </w:tc>
        <w:tc>
          <w:tcPr>
            <w:tcW w:w="293" w:type="pct"/>
            <w:tcBorders>
              <w:top w:val="single" w:color="auto" w:sz="4" w:space="0"/>
              <w:left w:val="single" w:color="auto" w:sz="4" w:space="0"/>
              <w:bottom w:val="single" w:color="auto" w:sz="4" w:space="0"/>
              <w:right w:val="single" w:color="auto" w:sz="4" w:space="0"/>
            </w:tcBorders>
          </w:tcPr>
          <w:p w14:paraId="7D73AE9C">
            <w:pPr>
              <w:jc w:val="right"/>
            </w:pPr>
          </w:p>
        </w:tc>
        <w:tc>
          <w:tcPr>
            <w:tcW w:w="304" w:type="pct"/>
            <w:tcBorders>
              <w:top w:val="single" w:color="auto" w:sz="4" w:space="0"/>
              <w:left w:val="single" w:color="auto" w:sz="4" w:space="0"/>
              <w:bottom w:val="single" w:color="auto" w:sz="4" w:space="0"/>
              <w:right w:val="single" w:color="auto" w:sz="4" w:space="0"/>
            </w:tcBorders>
          </w:tcPr>
          <w:p w14:paraId="59FE809F">
            <w:pPr>
              <w:jc w:val="right"/>
            </w:pPr>
          </w:p>
        </w:tc>
        <w:tc>
          <w:tcPr>
            <w:tcW w:w="293" w:type="pct"/>
            <w:tcBorders>
              <w:top w:val="single" w:color="auto" w:sz="4" w:space="0"/>
              <w:left w:val="single" w:color="auto" w:sz="4" w:space="0"/>
              <w:bottom w:val="single" w:color="auto" w:sz="4" w:space="0"/>
              <w:right w:val="single" w:color="auto" w:sz="4" w:space="0"/>
            </w:tcBorders>
          </w:tcPr>
          <w:p w14:paraId="1399279C">
            <w:pPr>
              <w:jc w:val="right"/>
            </w:pPr>
            <w:r>
              <w:t>4,652,468.00</w:t>
            </w:r>
          </w:p>
        </w:tc>
        <w:tc>
          <w:tcPr>
            <w:tcW w:w="656" w:type="pct"/>
            <w:tcBorders>
              <w:top w:val="single" w:color="auto" w:sz="4" w:space="0"/>
              <w:left w:val="single" w:color="auto" w:sz="4" w:space="0"/>
              <w:bottom w:val="single" w:color="auto" w:sz="4" w:space="0"/>
              <w:right w:val="single" w:color="auto" w:sz="4" w:space="0"/>
            </w:tcBorders>
          </w:tcPr>
          <w:p w14:paraId="759148F6">
            <w:pPr>
              <w:jc w:val="right"/>
            </w:pPr>
            <w:r>
              <w:t>8,449,192.85</w:t>
            </w:r>
          </w:p>
        </w:tc>
        <w:tc>
          <w:tcPr>
            <w:tcW w:w="304" w:type="pct"/>
            <w:tcBorders>
              <w:top w:val="single" w:color="auto" w:sz="4" w:space="0"/>
              <w:left w:val="single" w:color="auto" w:sz="4" w:space="0"/>
              <w:bottom w:val="single" w:color="auto" w:sz="4" w:space="0"/>
              <w:right w:val="single" w:color="auto" w:sz="4" w:space="0"/>
            </w:tcBorders>
          </w:tcPr>
          <w:p w14:paraId="61A8F588">
            <w:pPr>
              <w:jc w:val="right"/>
            </w:pPr>
            <w:r>
              <w:rPr>
                <w:rFonts w:hint="eastAsia"/>
              </w:rPr>
              <w:t>32.68</w:t>
            </w:r>
          </w:p>
        </w:tc>
        <w:tc>
          <w:tcPr>
            <w:tcW w:w="520" w:type="pct"/>
            <w:tcBorders>
              <w:top w:val="single" w:color="auto" w:sz="4" w:space="0"/>
              <w:left w:val="single" w:color="auto" w:sz="4" w:space="0"/>
              <w:bottom w:val="single" w:color="auto" w:sz="4" w:space="0"/>
              <w:right w:val="single" w:color="auto" w:sz="4" w:space="0"/>
            </w:tcBorders>
          </w:tcPr>
          <w:p w14:paraId="29E05F77">
            <w:pPr>
              <w:jc w:val="right"/>
            </w:pPr>
          </w:p>
        </w:tc>
        <w:tc>
          <w:tcPr>
            <w:tcW w:w="311" w:type="pct"/>
            <w:tcBorders>
              <w:top w:val="single" w:color="auto" w:sz="4" w:space="0"/>
              <w:left w:val="single" w:color="auto" w:sz="4" w:space="0"/>
              <w:bottom w:val="single" w:color="auto" w:sz="4" w:space="0"/>
              <w:right w:val="single" w:color="auto" w:sz="4" w:space="0"/>
            </w:tcBorders>
          </w:tcPr>
          <w:p w14:paraId="1FBB11C7">
            <w:pPr>
              <w:jc w:val="right"/>
            </w:pPr>
          </w:p>
        </w:tc>
        <w:tc>
          <w:tcPr>
            <w:tcW w:w="656" w:type="pct"/>
            <w:tcBorders>
              <w:top w:val="single" w:color="auto" w:sz="4" w:space="0"/>
              <w:left w:val="single" w:color="auto" w:sz="4" w:space="0"/>
              <w:bottom w:val="single" w:color="auto" w:sz="4" w:space="0"/>
              <w:right w:val="single" w:color="auto" w:sz="4" w:space="0"/>
            </w:tcBorders>
          </w:tcPr>
          <w:p w14:paraId="66A5C5F3">
            <w:pPr>
              <w:jc w:val="right"/>
            </w:pPr>
            <w:r>
              <w:t>8,449,192.85</w:t>
            </w:r>
          </w:p>
        </w:tc>
      </w:tr>
      <w:tr w14:paraId="2EAE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rPr>
              <w:color w:val="000000" w:themeColor="text1"/>
              <w14:textFill>
                <w14:solidFill>
                  <w14:schemeClr w14:val="tx1"/>
                </w14:solidFill>
              </w14:textFill>
            </w:rPr>
            <w:alias w:val="按组合计提坏账准备的应收账款明细-组合名称"/>
            <w:tag w:val="_GBC_1d1150cff5254d829cba03da56c2e941"/>
            <w:id w:val="792556658"/>
          </w:sdtPr>
          <w:sdtEndPr>
            <w:rPr>
              <w:color w:val="000000" w:themeColor="text1"/>
              <w14:textFill>
                <w14:solidFill>
                  <w14:schemeClr w14:val="tx1"/>
                </w14:solidFill>
              </w14:textFill>
            </w:rPr>
          </w:sdtEndPr>
          <w:sdtContent>
            <w:tc>
              <w:tcPr>
                <w:tcW w:w="1066" w:type="pct"/>
                <w:tcBorders>
                  <w:top w:val="single" w:color="auto" w:sz="4" w:space="0"/>
                  <w:left w:val="single" w:color="auto" w:sz="4" w:space="0"/>
                  <w:bottom w:val="single" w:color="auto" w:sz="4" w:space="0"/>
                  <w:right w:val="single" w:color="auto" w:sz="4" w:space="0"/>
                </w:tcBorders>
              </w:tcPr>
              <w:p w14:paraId="434E3E8F">
                <w:pPr>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信用风险组合</w:t>
                </w:r>
              </w:p>
            </w:tc>
          </w:sdtContent>
        </w:sdt>
        <w:tc>
          <w:tcPr>
            <w:tcW w:w="300" w:type="pct"/>
            <w:tcBorders>
              <w:top w:val="single" w:color="auto" w:sz="4" w:space="0"/>
              <w:left w:val="single" w:color="auto" w:sz="4" w:space="0"/>
              <w:bottom w:val="single" w:color="auto" w:sz="4" w:space="0"/>
              <w:right w:val="single" w:color="auto" w:sz="4" w:space="0"/>
            </w:tcBorders>
          </w:tcPr>
          <w:p w14:paraId="2BC2D55C">
            <w:pPr>
              <w:jc w:val="right"/>
            </w:pPr>
            <w:r>
              <w:t>13,937,893.05</w:t>
            </w:r>
          </w:p>
        </w:tc>
        <w:tc>
          <w:tcPr>
            <w:tcW w:w="295" w:type="pct"/>
            <w:tcBorders>
              <w:top w:val="single" w:color="auto" w:sz="4" w:space="0"/>
              <w:left w:val="single" w:color="auto" w:sz="4" w:space="0"/>
              <w:bottom w:val="single" w:color="auto" w:sz="4" w:space="0"/>
              <w:right w:val="single" w:color="auto" w:sz="4" w:space="0"/>
            </w:tcBorders>
          </w:tcPr>
          <w:p w14:paraId="6C7FEE74">
            <w:pPr>
              <w:jc w:val="right"/>
            </w:pPr>
            <w:r>
              <w:rPr>
                <w:rFonts w:hint="eastAsia"/>
              </w:rPr>
              <w:t>74.97</w:t>
            </w:r>
          </w:p>
        </w:tc>
        <w:tc>
          <w:tcPr>
            <w:tcW w:w="293" w:type="pct"/>
            <w:tcBorders>
              <w:top w:val="single" w:color="auto" w:sz="4" w:space="0"/>
              <w:left w:val="single" w:color="auto" w:sz="4" w:space="0"/>
              <w:bottom w:val="single" w:color="auto" w:sz="4" w:space="0"/>
              <w:right w:val="single" w:color="auto" w:sz="4" w:space="0"/>
            </w:tcBorders>
          </w:tcPr>
          <w:p w14:paraId="02EBD5A6">
            <w:pPr>
              <w:jc w:val="right"/>
            </w:pPr>
            <w:r>
              <w:t>747,981.53</w:t>
            </w:r>
          </w:p>
        </w:tc>
        <w:tc>
          <w:tcPr>
            <w:tcW w:w="304" w:type="pct"/>
            <w:tcBorders>
              <w:top w:val="single" w:color="auto" w:sz="4" w:space="0"/>
              <w:left w:val="single" w:color="auto" w:sz="4" w:space="0"/>
              <w:bottom w:val="single" w:color="auto" w:sz="4" w:space="0"/>
              <w:right w:val="single" w:color="auto" w:sz="4" w:space="0"/>
            </w:tcBorders>
          </w:tcPr>
          <w:p w14:paraId="2C6FFE5F">
            <w:pPr>
              <w:jc w:val="right"/>
            </w:pPr>
            <w:r>
              <w:rPr>
                <w:rFonts w:hint="eastAsia"/>
              </w:rPr>
              <w:t>5.36</w:t>
            </w:r>
          </w:p>
        </w:tc>
        <w:tc>
          <w:tcPr>
            <w:tcW w:w="293" w:type="pct"/>
            <w:tcBorders>
              <w:top w:val="single" w:color="auto" w:sz="4" w:space="0"/>
              <w:left w:val="single" w:color="auto" w:sz="4" w:space="0"/>
              <w:bottom w:val="single" w:color="auto" w:sz="4" w:space="0"/>
              <w:right w:val="single" w:color="auto" w:sz="4" w:space="0"/>
            </w:tcBorders>
          </w:tcPr>
          <w:p w14:paraId="5F7E5DC6">
            <w:pPr>
              <w:jc w:val="right"/>
            </w:pPr>
            <w:r>
              <w:t>13,189,911.52</w:t>
            </w:r>
          </w:p>
        </w:tc>
        <w:tc>
          <w:tcPr>
            <w:tcW w:w="656" w:type="pct"/>
            <w:tcBorders>
              <w:top w:val="single" w:color="auto" w:sz="4" w:space="0"/>
              <w:left w:val="single" w:color="auto" w:sz="4" w:space="0"/>
              <w:bottom w:val="single" w:color="auto" w:sz="4" w:space="0"/>
              <w:right w:val="single" w:color="auto" w:sz="4" w:space="0"/>
            </w:tcBorders>
          </w:tcPr>
          <w:p w14:paraId="0DE06EEB">
            <w:pPr>
              <w:jc w:val="right"/>
            </w:pPr>
            <w:r>
              <w:t>16,892,210.21</w:t>
            </w:r>
          </w:p>
        </w:tc>
        <w:tc>
          <w:tcPr>
            <w:tcW w:w="304" w:type="pct"/>
            <w:tcBorders>
              <w:top w:val="single" w:color="auto" w:sz="4" w:space="0"/>
              <w:left w:val="single" w:color="auto" w:sz="4" w:space="0"/>
              <w:bottom w:val="single" w:color="auto" w:sz="4" w:space="0"/>
              <w:right w:val="single" w:color="auto" w:sz="4" w:space="0"/>
            </w:tcBorders>
          </w:tcPr>
          <w:p w14:paraId="760BD5C1">
            <w:pPr>
              <w:jc w:val="right"/>
            </w:pPr>
            <w:r>
              <w:rPr>
                <w:rFonts w:hint="eastAsia"/>
              </w:rPr>
              <w:t>65.34</w:t>
            </w:r>
          </w:p>
        </w:tc>
        <w:tc>
          <w:tcPr>
            <w:tcW w:w="520" w:type="pct"/>
            <w:tcBorders>
              <w:top w:val="single" w:color="auto" w:sz="4" w:space="0"/>
              <w:left w:val="single" w:color="auto" w:sz="4" w:space="0"/>
              <w:bottom w:val="single" w:color="auto" w:sz="4" w:space="0"/>
              <w:right w:val="single" w:color="auto" w:sz="4" w:space="0"/>
            </w:tcBorders>
          </w:tcPr>
          <w:p w14:paraId="3F1449A5">
            <w:pPr>
              <w:jc w:val="right"/>
            </w:pPr>
            <w:r>
              <w:t>949,553.00</w:t>
            </w:r>
          </w:p>
        </w:tc>
        <w:tc>
          <w:tcPr>
            <w:tcW w:w="311" w:type="pct"/>
            <w:tcBorders>
              <w:top w:val="single" w:color="auto" w:sz="4" w:space="0"/>
              <w:left w:val="single" w:color="auto" w:sz="4" w:space="0"/>
              <w:bottom w:val="single" w:color="auto" w:sz="4" w:space="0"/>
              <w:right w:val="single" w:color="auto" w:sz="4" w:space="0"/>
            </w:tcBorders>
          </w:tcPr>
          <w:p w14:paraId="085A1497">
            <w:pPr>
              <w:jc w:val="right"/>
            </w:pPr>
            <w:r>
              <w:t>5.62</w:t>
            </w:r>
          </w:p>
        </w:tc>
        <w:tc>
          <w:tcPr>
            <w:tcW w:w="656" w:type="pct"/>
            <w:tcBorders>
              <w:top w:val="single" w:color="auto" w:sz="4" w:space="0"/>
              <w:left w:val="single" w:color="auto" w:sz="4" w:space="0"/>
              <w:bottom w:val="single" w:color="auto" w:sz="4" w:space="0"/>
              <w:right w:val="single" w:color="auto" w:sz="4" w:space="0"/>
            </w:tcBorders>
          </w:tcPr>
          <w:p w14:paraId="02D48993">
            <w:pPr>
              <w:jc w:val="right"/>
            </w:pPr>
            <w:r>
              <w:t>15,942,657.21</w:t>
            </w:r>
          </w:p>
        </w:tc>
      </w:tr>
      <w:tr w14:paraId="2AF4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066" w:type="pct"/>
            <w:tcBorders>
              <w:top w:val="single" w:color="auto" w:sz="4" w:space="0"/>
              <w:left w:val="single" w:color="auto" w:sz="4" w:space="0"/>
              <w:bottom w:val="single" w:color="auto" w:sz="4" w:space="0"/>
              <w:right w:val="single" w:color="auto" w:sz="4" w:space="0"/>
            </w:tcBorders>
            <w:vAlign w:val="center"/>
          </w:tcPr>
          <w:p w14:paraId="77726C27">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300" w:type="pct"/>
            <w:tcBorders>
              <w:top w:val="single" w:color="auto" w:sz="4" w:space="0"/>
              <w:left w:val="single" w:color="auto" w:sz="4" w:space="0"/>
              <w:bottom w:val="single" w:color="auto" w:sz="4" w:space="0"/>
              <w:right w:val="single" w:color="auto" w:sz="4" w:space="0"/>
            </w:tcBorders>
          </w:tcPr>
          <w:p w14:paraId="7BABFC51">
            <w:pPr>
              <w:jc w:val="right"/>
            </w:pPr>
            <w:r>
              <w:t>19,100,336.19</w:t>
            </w:r>
          </w:p>
        </w:tc>
        <w:tc>
          <w:tcPr>
            <w:tcW w:w="295" w:type="pct"/>
            <w:tcBorders>
              <w:top w:val="single" w:color="auto" w:sz="4" w:space="0"/>
              <w:left w:val="single" w:color="auto" w:sz="4" w:space="0"/>
              <w:bottom w:val="single" w:color="auto" w:sz="4" w:space="0"/>
              <w:right w:val="single" w:color="auto" w:sz="4" w:space="0"/>
            </w:tcBorders>
          </w:tcPr>
          <w:p w14:paraId="0FFB9BD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293" w:type="pct"/>
            <w:tcBorders>
              <w:top w:val="single" w:color="auto" w:sz="4" w:space="0"/>
              <w:left w:val="single" w:color="auto" w:sz="4" w:space="0"/>
              <w:bottom w:val="single" w:color="auto" w:sz="4" w:space="0"/>
              <w:right w:val="single" w:color="auto" w:sz="4" w:space="0"/>
            </w:tcBorders>
          </w:tcPr>
          <w:p w14:paraId="4296A761">
            <w:pPr>
              <w:jc w:val="right"/>
            </w:pPr>
            <w:r>
              <w:t>747,981.53</w:t>
            </w:r>
          </w:p>
        </w:tc>
        <w:tc>
          <w:tcPr>
            <w:tcW w:w="304" w:type="pct"/>
            <w:tcBorders>
              <w:top w:val="single" w:color="auto" w:sz="4" w:space="0"/>
              <w:left w:val="single" w:color="auto" w:sz="4" w:space="0"/>
              <w:bottom w:val="single" w:color="auto" w:sz="4" w:space="0"/>
              <w:right w:val="single" w:color="auto" w:sz="4" w:space="0"/>
            </w:tcBorders>
          </w:tcPr>
          <w:p w14:paraId="289FFC0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293" w:type="pct"/>
            <w:tcBorders>
              <w:top w:val="single" w:color="auto" w:sz="4" w:space="0"/>
              <w:left w:val="single" w:color="auto" w:sz="4" w:space="0"/>
              <w:bottom w:val="single" w:color="auto" w:sz="4" w:space="0"/>
              <w:right w:val="single" w:color="auto" w:sz="4" w:space="0"/>
            </w:tcBorders>
          </w:tcPr>
          <w:p w14:paraId="1C94261C">
            <w:pPr>
              <w:jc w:val="right"/>
            </w:pPr>
            <w:r>
              <w:t>17,842,379.52</w:t>
            </w:r>
          </w:p>
        </w:tc>
        <w:tc>
          <w:tcPr>
            <w:tcW w:w="656" w:type="pct"/>
            <w:tcBorders>
              <w:top w:val="single" w:color="auto" w:sz="4" w:space="0"/>
              <w:left w:val="single" w:color="auto" w:sz="4" w:space="0"/>
              <w:bottom w:val="single" w:color="auto" w:sz="4" w:space="0"/>
              <w:right w:val="single" w:color="auto" w:sz="4" w:space="0"/>
            </w:tcBorders>
          </w:tcPr>
          <w:p w14:paraId="7A86AEED">
            <w:pPr>
              <w:jc w:val="right"/>
            </w:pPr>
            <w:r>
              <w:t>25,851,378.20</w:t>
            </w:r>
          </w:p>
        </w:tc>
        <w:tc>
          <w:tcPr>
            <w:tcW w:w="304" w:type="pct"/>
            <w:tcBorders>
              <w:top w:val="single" w:color="auto" w:sz="4" w:space="0"/>
              <w:left w:val="single" w:color="auto" w:sz="4" w:space="0"/>
              <w:bottom w:val="single" w:color="auto" w:sz="4" w:space="0"/>
              <w:right w:val="single" w:color="auto" w:sz="4" w:space="0"/>
            </w:tcBorders>
          </w:tcPr>
          <w:p w14:paraId="1BF1A12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520" w:type="pct"/>
            <w:tcBorders>
              <w:top w:val="single" w:color="auto" w:sz="4" w:space="0"/>
              <w:left w:val="single" w:color="auto" w:sz="4" w:space="0"/>
              <w:bottom w:val="single" w:color="auto" w:sz="4" w:space="0"/>
              <w:right w:val="single" w:color="auto" w:sz="4" w:space="0"/>
            </w:tcBorders>
          </w:tcPr>
          <w:p w14:paraId="1FBF192D">
            <w:pPr>
              <w:jc w:val="right"/>
            </w:pPr>
            <w:r>
              <w:t>1,459,528.14</w:t>
            </w:r>
          </w:p>
        </w:tc>
        <w:tc>
          <w:tcPr>
            <w:tcW w:w="311" w:type="pct"/>
            <w:tcBorders>
              <w:top w:val="single" w:color="auto" w:sz="4" w:space="0"/>
              <w:left w:val="single" w:color="auto" w:sz="4" w:space="0"/>
              <w:bottom w:val="single" w:color="auto" w:sz="4" w:space="0"/>
              <w:right w:val="single" w:color="auto" w:sz="4" w:space="0"/>
            </w:tcBorders>
          </w:tcPr>
          <w:p w14:paraId="013590F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656" w:type="pct"/>
            <w:tcBorders>
              <w:top w:val="single" w:color="auto" w:sz="4" w:space="0"/>
              <w:left w:val="single" w:color="auto" w:sz="4" w:space="0"/>
              <w:bottom w:val="single" w:color="auto" w:sz="4" w:space="0"/>
              <w:right w:val="single" w:color="auto" w:sz="4" w:space="0"/>
            </w:tcBorders>
          </w:tcPr>
          <w:p w14:paraId="7F062CDD">
            <w:pPr>
              <w:jc w:val="right"/>
            </w:pPr>
            <w:r>
              <w:t>24,391,850.06</w:t>
            </w:r>
          </w:p>
        </w:tc>
      </w:tr>
    </w:tbl>
    <w:p w14:paraId="6EB50CA2">
      <w:pPr>
        <w:rPr>
          <w:color w:val="000000" w:themeColor="text1"/>
          <w14:textFill>
            <w14:solidFill>
              <w14:schemeClr w14:val="tx1"/>
            </w14:solidFill>
          </w14:textFill>
        </w:rPr>
      </w:pPr>
    </w:p>
    <w:bookmarkEnd w:id="441"/>
    <w:p w14:paraId="32B284DC">
      <w:pPr>
        <w:rPr>
          <w:color w:val="000000" w:themeColor="text1"/>
          <w14:textFill>
            <w14:solidFill>
              <w14:schemeClr w14:val="tx1"/>
            </w14:solidFill>
          </w14:textFill>
        </w:rPr>
      </w:pPr>
      <w:bookmarkStart w:id="442" w:name="_Hlk10540045"/>
      <w:bookmarkStart w:id="443" w:name="_Hlk10540056"/>
      <w:r>
        <w:rPr>
          <w:rFonts w:hint="eastAsia"/>
          <w:color w:val="000000" w:themeColor="text1"/>
          <w14:textFill>
            <w14:solidFill>
              <w14:schemeClr w14:val="tx1"/>
            </w14:solidFill>
          </w14:textFill>
        </w:rPr>
        <w:t>按单项计提坏账准备：</w:t>
      </w:r>
      <w:bookmarkEnd w:id="442"/>
    </w:p>
    <w:sdt>
      <w:sdtPr>
        <w:rPr>
          <w:color w:val="000000" w:themeColor="text1"/>
          <w14:textFill>
            <w14:solidFill>
              <w14:schemeClr w14:val="tx1"/>
            </w14:solidFill>
          </w14:textFill>
        </w:rPr>
        <w:alias w:val="是否适用：母公司应收账款按单项计提坏账准备[双击切换]"/>
        <w:tag w:val="_GBC_6aa7698e624f4481b0cf894058a63961"/>
        <w:id w:val="-1665459384"/>
        <w:placeholder>
          <w:docPart w:val="GBC22222222222222222222222222222"/>
        </w:placeholder>
      </w:sdtPr>
      <w:sdtEndPr>
        <w:rPr>
          <w:color w:val="000000" w:themeColor="text1"/>
          <w14:textFill>
            <w14:solidFill>
              <w14:schemeClr w14:val="tx1"/>
            </w14:solidFill>
          </w14:textFill>
        </w:rPr>
      </w:sdtEndPr>
      <w:sdtContent>
        <w:p w14:paraId="059FB5E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B1136ED">
      <w:pPr>
        <w:autoSpaceDE w:val="0"/>
        <w:autoSpaceDN w:val="0"/>
        <w:adjustRightInd w:val="0"/>
        <w:ind w:left="5880" w:right="105"/>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母公司应收账款按单项计提坏账准备"/>
          <w:tag w:val="_GBC_78b604bf7ffb4c31ab3ee677554e3137"/>
          <w:id w:val="-15861746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母公司应收账款按单项计提坏账准备"/>
          <w:tag w:val="_GBC_4b1174efa36f426fad7996f19b12a196"/>
          <w:id w:val="3301922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7"/>
        <w:gridCol w:w="1657"/>
        <w:gridCol w:w="1659"/>
        <w:gridCol w:w="1657"/>
        <w:gridCol w:w="1803"/>
      </w:tblGrid>
      <w:tr w14:paraId="6503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c9f375faf7b545a188ebedb1a01654f0"/>
            <w:id w:val="931940079"/>
          </w:sdtPr>
          <w:sdtContent>
            <w:tc>
              <w:tcPr>
                <w:tcW w:w="1160" w:type="pct"/>
                <w:vMerge w:val="restart"/>
                <w:vAlign w:val="center"/>
              </w:tcPr>
              <w:p w14:paraId="3E75192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sdtContent>
        </w:sdt>
        <w:sdt>
          <w:sdtPr>
            <w:tag w:val="_PLD_c86d7b0ec7994bbf9c32d3c6e0d2adda"/>
            <w:id w:val="-1715806876"/>
          </w:sdtPr>
          <w:sdtContent>
            <w:tc>
              <w:tcPr>
                <w:tcW w:w="3840" w:type="pct"/>
                <w:gridSpan w:val="4"/>
                <w:vAlign w:val="center"/>
              </w:tcPr>
              <w:p w14:paraId="2D53056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tr>
      <w:tr w14:paraId="2E25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vMerge w:val="continue"/>
          </w:tcPr>
          <w:p w14:paraId="605BD65D">
            <w:pPr>
              <w:jc w:val="center"/>
              <w:rPr>
                <w:color w:val="000000" w:themeColor="text1"/>
                <w14:textFill>
                  <w14:solidFill>
                    <w14:schemeClr w14:val="tx1"/>
                  </w14:solidFill>
                </w14:textFill>
              </w:rPr>
            </w:pPr>
          </w:p>
        </w:tc>
        <w:sdt>
          <w:sdtPr>
            <w:tag w:val="_PLD_7bbf6380a8804f6c8a717a338f6be3fd"/>
            <w:id w:val="-1360582115"/>
          </w:sdtPr>
          <w:sdtContent>
            <w:tc>
              <w:tcPr>
                <w:tcW w:w="939" w:type="pct"/>
                <w:vAlign w:val="center"/>
              </w:tcPr>
              <w:p w14:paraId="3E3BA78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tc>
          </w:sdtContent>
        </w:sdt>
        <w:sdt>
          <w:sdtPr>
            <w:tag w:val="_PLD_c15d611dc2404462bf82049172a2f8e5"/>
            <w:id w:val="-252743610"/>
          </w:sdtPr>
          <w:sdtContent>
            <w:tc>
              <w:tcPr>
                <w:tcW w:w="940" w:type="pct"/>
                <w:vAlign w:val="center"/>
              </w:tcPr>
              <w:p w14:paraId="11975FB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坏账准备</w:t>
                </w:r>
              </w:p>
            </w:tc>
          </w:sdtContent>
        </w:sdt>
        <w:sdt>
          <w:sdtPr>
            <w:tag w:val="_PLD_54a8956eb15646cfa69cc0c723b11525"/>
            <w:id w:val="-2067631602"/>
          </w:sdtPr>
          <w:sdtContent>
            <w:tc>
              <w:tcPr>
                <w:tcW w:w="939" w:type="pct"/>
                <w:vAlign w:val="center"/>
              </w:tcPr>
              <w:p w14:paraId="773F5EEB">
                <w:pPr>
                  <w:jc w:val="center"/>
                  <w:rPr>
                    <w:color w:val="000000" w:themeColor="text1"/>
                    <w14:textFill>
                      <w14:solidFill>
                        <w14:schemeClr w14:val="tx1"/>
                      </w14:solidFill>
                    </w14:textFill>
                  </w:rPr>
                </w:pPr>
                <w:r>
                  <w:rPr>
                    <w:color w:val="000000" w:themeColor="text1"/>
                    <w14:textFill>
                      <w14:solidFill>
                        <w14:schemeClr w14:val="tx1"/>
                      </w14:solidFill>
                    </w14:textFill>
                  </w:rPr>
                  <w:t>计提比例</w:t>
                </w:r>
                <w:r>
                  <w:rPr>
                    <w:rFonts w:hint="eastAsia"/>
                    <w:color w:val="000000" w:themeColor="text1"/>
                    <w14:textFill>
                      <w14:solidFill>
                        <w14:schemeClr w14:val="tx1"/>
                      </w14:solidFill>
                    </w14:textFill>
                  </w:rPr>
                  <w:t>（%）</w:t>
                </w:r>
              </w:p>
            </w:tc>
          </w:sdtContent>
        </w:sdt>
        <w:sdt>
          <w:sdtPr>
            <w:tag w:val="_PLD_b9a45c0c48a240cba3863633ee15a99c"/>
            <w:id w:val="-863976706"/>
          </w:sdtPr>
          <w:sdtContent>
            <w:tc>
              <w:tcPr>
                <w:tcW w:w="1022" w:type="pct"/>
                <w:vAlign w:val="center"/>
              </w:tcPr>
              <w:p w14:paraId="5529581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计提理由</w:t>
                </w:r>
              </w:p>
            </w:tc>
          </w:sdtContent>
        </w:sdt>
      </w:tr>
      <w:tr w14:paraId="00B2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vAlign w:val="center"/>
          </w:tcPr>
          <w:p w14:paraId="7B031A03">
            <w:r>
              <w:rPr>
                <w:rFonts w:hint="eastAsia" w:ascii="宋体" w:hAnsi="宋体"/>
                <w:sz w:val="18"/>
                <w:szCs w:val="18"/>
              </w:rPr>
              <w:t>韩国绿色农产公司</w:t>
            </w:r>
          </w:p>
        </w:tc>
        <w:tc>
          <w:tcPr>
            <w:tcW w:w="939" w:type="pct"/>
            <w:vAlign w:val="center"/>
          </w:tcPr>
          <w:p w14:paraId="4109DC73">
            <w:pPr>
              <w:jc w:val="right"/>
            </w:pPr>
            <w:r>
              <w:rPr>
                <w:rFonts w:hint="eastAsia" w:ascii="宋体" w:hAnsi="宋体"/>
                <w:color w:val="000000"/>
                <w:sz w:val="18"/>
                <w:szCs w:val="18"/>
              </w:rPr>
              <w:t xml:space="preserve"> 433,817.54 </w:t>
            </w:r>
          </w:p>
        </w:tc>
        <w:tc>
          <w:tcPr>
            <w:tcW w:w="940" w:type="pct"/>
            <w:vAlign w:val="center"/>
          </w:tcPr>
          <w:p w14:paraId="325B0F41">
            <w:pPr>
              <w:jc w:val="right"/>
            </w:pPr>
            <w:r>
              <w:rPr>
                <w:rFonts w:hint="eastAsia" w:ascii="宋体" w:hAnsi="宋体"/>
                <w:color w:val="000000"/>
                <w:sz w:val="18"/>
                <w:szCs w:val="18"/>
              </w:rPr>
              <w:t xml:space="preserve"> 433,817.54 </w:t>
            </w:r>
          </w:p>
        </w:tc>
        <w:tc>
          <w:tcPr>
            <w:tcW w:w="939" w:type="pct"/>
            <w:vAlign w:val="center"/>
          </w:tcPr>
          <w:p w14:paraId="6A650488">
            <w:pPr>
              <w:jc w:val="right"/>
            </w:pPr>
            <w:r>
              <w:rPr>
                <w:rFonts w:hint="eastAsia" w:ascii="宋体" w:hAnsi="宋体"/>
                <w:color w:val="000000"/>
                <w:sz w:val="18"/>
                <w:szCs w:val="18"/>
              </w:rPr>
              <w:t xml:space="preserve"> 100.00 </w:t>
            </w:r>
          </w:p>
        </w:tc>
        <w:tc>
          <w:tcPr>
            <w:tcW w:w="1022" w:type="pct"/>
            <w:vAlign w:val="center"/>
          </w:tcPr>
          <w:p w14:paraId="406BC008">
            <w:r>
              <w:rPr>
                <w:rFonts w:hint="eastAsia" w:ascii="宋体" w:hAnsi="宋体"/>
                <w:color w:val="000000"/>
                <w:sz w:val="18"/>
                <w:szCs w:val="18"/>
              </w:rPr>
              <w:t xml:space="preserve">预计无法收回 </w:t>
            </w:r>
          </w:p>
        </w:tc>
      </w:tr>
      <w:tr w14:paraId="3C65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vAlign w:val="center"/>
          </w:tcPr>
          <w:p w14:paraId="63604FD8">
            <w:r>
              <w:rPr>
                <w:rFonts w:hint="eastAsia" w:ascii="宋体" w:hAnsi="宋体"/>
                <w:sz w:val="18"/>
                <w:szCs w:val="18"/>
              </w:rPr>
              <w:t>其他客户</w:t>
            </w:r>
          </w:p>
        </w:tc>
        <w:tc>
          <w:tcPr>
            <w:tcW w:w="939" w:type="pct"/>
            <w:vAlign w:val="center"/>
          </w:tcPr>
          <w:p w14:paraId="00E40D41">
            <w:pPr>
              <w:jc w:val="right"/>
            </w:pPr>
            <w:r>
              <w:rPr>
                <w:rFonts w:hint="eastAsia" w:ascii="宋体" w:hAnsi="宋体"/>
                <w:color w:val="000000"/>
                <w:sz w:val="18"/>
                <w:szCs w:val="18"/>
              </w:rPr>
              <w:t xml:space="preserve"> 76,157.60 </w:t>
            </w:r>
          </w:p>
        </w:tc>
        <w:tc>
          <w:tcPr>
            <w:tcW w:w="940" w:type="pct"/>
            <w:vAlign w:val="center"/>
          </w:tcPr>
          <w:p w14:paraId="47DD3840">
            <w:pPr>
              <w:jc w:val="right"/>
            </w:pPr>
            <w:r>
              <w:rPr>
                <w:rFonts w:hint="eastAsia" w:ascii="宋体" w:hAnsi="宋体"/>
                <w:color w:val="000000"/>
                <w:sz w:val="18"/>
                <w:szCs w:val="18"/>
              </w:rPr>
              <w:t xml:space="preserve"> 76,157.60 </w:t>
            </w:r>
          </w:p>
        </w:tc>
        <w:tc>
          <w:tcPr>
            <w:tcW w:w="939" w:type="pct"/>
            <w:vAlign w:val="center"/>
          </w:tcPr>
          <w:p w14:paraId="0CC3CD97">
            <w:pPr>
              <w:jc w:val="right"/>
            </w:pPr>
            <w:r>
              <w:rPr>
                <w:rFonts w:hint="eastAsia" w:ascii="宋体" w:hAnsi="宋体"/>
                <w:color w:val="000000"/>
                <w:sz w:val="18"/>
                <w:szCs w:val="18"/>
              </w:rPr>
              <w:t xml:space="preserve"> 100.00 </w:t>
            </w:r>
          </w:p>
        </w:tc>
        <w:tc>
          <w:tcPr>
            <w:tcW w:w="1022" w:type="pct"/>
            <w:vAlign w:val="center"/>
          </w:tcPr>
          <w:p w14:paraId="4EB2CCBB">
            <w:r>
              <w:rPr>
                <w:rFonts w:hint="eastAsia" w:ascii="宋体" w:hAnsi="宋体"/>
                <w:color w:val="000000"/>
                <w:sz w:val="18"/>
                <w:szCs w:val="18"/>
              </w:rPr>
              <w:t xml:space="preserve">预计无法收回 </w:t>
            </w:r>
          </w:p>
        </w:tc>
      </w:tr>
      <w:tr w14:paraId="6AFA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vAlign w:val="center"/>
          </w:tcPr>
          <w:p w14:paraId="0B07367E">
            <w:pPr>
              <w:jc w:val="center"/>
              <w:rPr>
                <w:color w:val="000000" w:themeColor="text1"/>
                <w14:textFill>
                  <w14:solidFill>
                    <w14:schemeClr w14:val="tx1"/>
                  </w14:solidFill>
                </w14:textFill>
              </w:rPr>
            </w:pPr>
            <w:r>
              <w:rPr>
                <w:rFonts w:hint="eastAsia" w:ascii="宋体" w:hAnsi="宋体"/>
                <w:sz w:val="18"/>
                <w:szCs w:val="18"/>
              </w:rPr>
              <w:t>合    计</w:t>
            </w:r>
          </w:p>
        </w:tc>
        <w:tc>
          <w:tcPr>
            <w:tcW w:w="939" w:type="pct"/>
            <w:vAlign w:val="center"/>
          </w:tcPr>
          <w:p w14:paraId="2EC224A4">
            <w:pPr>
              <w:jc w:val="right"/>
            </w:pPr>
            <w:r>
              <w:rPr>
                <w:rFonts w:hint="eastAsia" w:ascii="宋体" w:hAnsi="宋体"/>
                <w:color w:val="000000"/>
                <w:sz w:val="18"/>
                <w:szCs w:val="18"/>
              </w:rPr>
              <w:t xml:space="preserve"> 509,975.14 </w:t>
            </w:r>
          </w:p>
        </w:tc>
        <w:tc>
          <w:tcPr>
            <w:tcW w:w="940" w:type="pct"/>
            <w:vAlign w:val="center"/>
          </w:tcPr>
          <w:p w14:paraId="69046923">
            <w:pPr>
              <w:jc w:val="right"/>
            </w:pPr>
            <w:r>
              <w:rPr>
                <w:rFonts w:hint="eastAsia" w:ascii="宋体" w:hAnsi="宋体"/>
                <w:color w:val="000000"/>
                <w:sz w:val="18"/>
                <w:szCs w:val="18"/>
              </w:rPr>
              <w:t xml:space="preserve"> 509,975.14 </w:t>
            </w:r>
          </w:p>
        </w:tc>
        <w:tc>
          <w:tcPr>
            <w:tcW w:w="939" w:type="pct"/>
            <w:vAlign w:val="center"/>
          </w:tcPr>
          <w:p w14:paraId="69426171">
            <w:pPr>
              <w:jc w:val="right"/>
            </w:pPr>
            <w:r>
              <w:rPr>
                <w:rFonts w:hint="eastAsia" w:ascii="宋体" w:hAnsi="宋体"/>
                <w:color w:val="000000"/>
                <w:sz w:val="18"/>
                <w:szCs w:val="18"/>
              </w:rPr>
              <w:t xml:space="preserve"> 100.00 </w:t>
            </w:r>
          </w:p>
        </w:tc>
        <w:tc>
          <w:tcPr>
            <w:tcW w:w="1022" w:type="pct"/>
            <w:vAlign w:val="center"/>
          </w:tcPr>
          <w:p w14:paraId="32A12450">
            <w:pPr>
              <w:jc w:val="center"/>
              <w:rPr>
                <w:color w:val="000000" w:themeColor="text1"/>
                <w14:textFill>
                  <w14:solidFill>
                    <w14:schemeClr w14:val="tx1"/>
                  </w14:solidFill>
                </w14:textFill>
              </w:rPr>
            </w:pPr>
          </w:p>
        </w:tc>
      </w:tr>
    </w:tbl>
    <w:p w14:paraId="34637080">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按单项计提坏账准备的说明：</w:t>
      </w:r>
    </w:p>
    <w:sdt>
      <w:sdtPr>
        <w:rPr>
          <w:color w:val="000000" w:themeColor="text1"/>
          <w14:textFill>
            <w14:solidFill>
              <w14:schemeClr w14:val="tx1"/>
            </w14:solidFill>
          </w14:textFill>
        </w:rPr>
        <w:alias w:val="是否适用：母公司应收账款按单项计提坏账准备的说明[双击切换]"/>
        <w:tag w:val="_GBC_4623c8695a494e53b6a615e5a9c7e0ea"/>
        <w:id w:val="-155000680"/>
        <w:placeholder>
          <w:docPart w:val="GBC22222222222222222222222222222"/>
        </w:placeholder>
      </w:sdtPr>
      <w:sdtEndPr>
        <w:rPr>
          <w:color w:val="000000" w:themeColor="text1"/>
          <w14:textFill>
            <w14:solidFill>
              <w14:schemeClr w14:val="tx1"/>
            </w14:solidFill>
          </w14:textFill>
        </w:rPr>
      </w:sdtEndPr>
      <w:sdtContent>
        <w:p w14:paraId="50C1498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22E5EFE">
      <w:pPr>
        <w:rPr>
          <w:color w:val="000000" w:themeColor="text1"/>
          <w14:textFill>
            <w14:solidFill>
              <w14:schemeClr w14:val="tx1"/>
            </w14:solidFill>
          </w14:textFill>
        </w:rPr>
      </w:pPr>
    </w:p>
    <w:bookmarkEnd w:id="443"/>
    <w:p w14:paraId="67FEEA6C">
      <w:pPr>
        <w:rPr>
          <w:color w:val="000000" w:themeColor="text1"/>
          <w14:textFill>
            <w14:solidFill>
              <w14:schemeClr w14:val="tx1"/>
            </w14:solidFill>
          </w14:textFill>
        </w:rPr>
      </w:pPr>
      <w:bookmarkStart w:id="444" w:name="_Hlk10540079"/>
      <w:r>
        <w:rPr>
          <w:rFonts w:hint="eastAsia"/>
          <w:color w:val="000000" w:themeColor="text1"/>
          <w14:textFill>
            <w14:solidFill>
              <w14:schemeClr w14:val="tx1"/>
            </w14:solidFill>
          </w14:textFill>
        </w:rPr>
        <w:t>按组合计提坏账准备：</w:t>
      </w:r>
    </w:p>
    <w:sdt>
      <w:sdtPr>
        <w:rPr>
          <w:color w:val="000000" w:themeColor="text1"/>
          <w14:textFill>
            <w14:solidFill>
              <w14:schemeClr w14:val="tx1"/>
            </w14:solidFill>
          </w14:textFill>
        </w:rPr>
        <w:alias w:val="是否适用：母公司应收账款按组合计提坏账准备[双击切换]"/>
        <w:tag w:val="_GBC_bf96e631f2cf4f6a876dff49863ee9d3"/>
        <w:id w:val="-1531636438"/>
        <w:placeholder>
          <w:docPart w:val="GBC22222222222222222222222222222"/>
        </w:placeholder>
      </w:sdtPr>
      <w:sdtEndPr>
        <w:rPr>
          <w:color w:val="000000" w:themeColor="text1"/>
          <w14:textFill>
            <w14:solidFill>
              <w14:schemeClr w14:val="tx1"/>
            </w14:solidFill>
          </w14:textFill>
        </w:rPr>
      </w:sdtEndPr>
      <w:sdtContent>
        <w:p w14:paraId="39741B4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0898F81">
      <w:pPr>
        <w:rPr>
          <w:color w:val="000000" w:themeColor="text1"/>
          <w14:textFill>
            <w14:solidFill>
              <w14:schemeClr w14:val="tx1"/>
            </w14:solidFill>
          </w14:textFill>
        </w:rPr>
      </w:pPr>
    </w:p>
    <w:bookmarkEnd w:id="444"/>
    <w:p w14:paraId="48532C31">
      <w:pPr>
        <w:rPr>
          <w:color w:val="000000" w:themeColor="text1"/>
          <w14:textFill>
            <w14:solidFill>
              <w14:schemeClr w14:val="tx1"/>
            </w14:solidFill>
          </w14:textFill>
        </w:rPr>
      </w:pPr>
    </w:p>
    <w:p w14:paraId="39D335F5">
      <w:pPr>
        <w:rPr>
          <w:color w:val="000000" w:themeColor="text1"/>
          <w14:textFill>
            <w14:solidFill>
              <w14:schemeClr w14:val="tx1"/>
            </w14:solidFill>
          </w14:textFill>
        </w:rPr>
      </w:pPr>
      <w:bookmarkStart w:id="445" w:name="_Hlk534616017"/>
      <w:bookmarkStart w:id="446" w:name="_Hlk167980591"/>
      <w:r>
        <w:rPr>
          <w:rFonts w:hint="eastAsia"/>
          <w:color w:val="000000" w:themeColor="text1"/>
          <w14:textFill>
            <w14:solidFill>
              <w14:schemeClr w14:val="tx1"/>
            </w14:solidFill>
          </w14:textFill>
        </w:rPr>
        <w:t>按预期信用损失一般模型计提坏账准备</w:t>
      </w:r>
    </w:p>
    <w:sdt>
      <w:sdtPr>
        <w:rPr>
          <w:color w:val="000000" w:themeColor="text1"/>
          <w14:textFill>
            <w14:solidFill>
              <w14:schemeClr w14:val="tx1"/>
            </w14:solidFill>
          </w14:textFill>
        </w:rPr>
        <w:alias w:val="是否适用：母公司应收账款按一般预计信用损失模型计提坏账[双击切换]"/>
        <w:tag w:val="_GBC_f0abda0ef94e4c708c624cb545c56aeb"/>
        <w:id w:val="-2068173763"/>
        <w:placeholder>
          <w:docPart w:val="GBC22222222222222222222222222222"/>
        </w:placeholder>
      </w:sdtPr>
      <w:sdtEndPr>
        <w:rPr>
          <w:color w:val="000000" w:themeColor="text1"/>
          <w14:textFill>
            <w14:solidFill>
              <w14:schemeClr w14:val="tx1"/>
            </w14:solidFill>
          </w14:textFill>
        </w:rPr>
      </w:sdtEndPr>
      <w:sdtContent>
        <w:p w14:paraId="2655345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9F57646">
      <w:pPr>
        <w:rPr>
          <w:color w:val="000000" w:themeColor="text1"/>
          <w14:textFill>
            <w14:solidFill>
              <w14:schemeClr w14:val="tx1"/>
            </w14:solidFill>
          </w14:textFill>
        </w:rPr>
      </w:pPr>
    </w:p>
    <w:p w14:paraId="2DC4B775">
      <w:pPr>
        <w:autoSpaceDE w:val="0"/>
        <w:autoSpaceDN w:val="0"/>
        <w:adjustRightInd w:val="0"/>
        <w:ind w:right="105" w:rightChars="50"/>
        <w:rPr>
          <w:color w:val="000000" w:themeColor="text1"/>
          <w14:textFill>
            <w14:solidFill>
              <w14:schemeClr w14:val="tx1"/>
            </w14:solidFill>
          </w14:textFill>
        </w:rPr>
      </w:pPr>
      <w:r>
        <w:rPr>
          <w:rFonts w:hint="eastAsia"/>
          <w:color w:val="000000" w:themeColor="text1"/>
          <w14:textFill>
            <w14:solidFill>
              <w14:schemeClr w14:val="tx1"/>
            </w14:solidFill>
          </w14:textFill>
        </w:rPr>
        <w:t>各阶段划分依据和坏账准备计提比例</w:t>
      </w:r>
    </w:p>
    <w:sdt>
      <w:sdtPr>
        <w:rPr>
          <w:rFonts w:cs="Times New Roman"/>
          <w:bCs w:val="0"/>
          <w:color w:val="000000" w:themeColor="text1"/>
          <w:szCs w:val="22"/>
          <w14:textFill>
            <w14:solidFill>
              <w14:schemeClr w14:val="tx1"/>
            </w14:solidFill>
          </w14:textFill>
        </w:rPr>
        <w:alias w:val="各阶段划分依据和坏账准备计提比例"/>
        <w:tag w:val="_GBC_0489be1e98c542ca9f393e48f8ce8d06"/>
        <w:id w:val="1610547956"/>
        <w:placeholder>
          <w:docPart w:val="GBC22222222222222222222222222222"/>
        </w:placeholder>
      </w:sdtPr>
      <w:sdtEndPr>
        <w:rPr>
          <w:rFonts w:cs="Times New Roman"/>
          <w:bCs w:val="0"/>
          <w:color w:val="000000" w:themeColor="text1"/>
          <w:szCs w:val="22"/>
          <w14:textFill>
            <w14:solidFill>
              <w14:schemeClr w14:val="tx1"/>
            </w14:solidFill>
          </w14:textFill>
        </w:rPr>
      </w:sdtEndPr>
      <w:sdtContent>
        <w:p w14:paraId="6EBEC789">
          <w:pPr>
            <w:rPr>
              <w:rFonts w:cs="Times New Roman"/>
              <w:bCs w:val="0"/>
              <w:color w:val="000000" w:themeColor="text1"/>
              <w:szCs w:val="22"/>
              <w14:textFill>
                <w14:solidFill>
                  <w14:schemeClr w14:val="tx1"/>
                </w14:solidFill>
              </w14:textFill>
            </w:rPr>
          </w:pPr>
          <w:r>
            <w:rPr>
              <w:rFonts w:hint="eastAsia" w:cs="Times New Roman"/>
              <w:bCs w:val="0"/>
              <w:color w:val="000000" w:themeColor="text1"/>
              <w:szCs w:val="22"/>
              <w14:textFill>
                <w14:solidFill>
                  <w14:schemeClr w14:val="tx1"/>
                </w14:solidFill>
              </w14:textFill>
            </w:rPr>
            <w:t>无</w:t>
          </w:r>
        </w:p>
      </w:sdtContent>
    </w:sdt>
    <w:p w14:paraId="27F9D047">
      <w:pPr>
        <w:rPr>
          <w:color w:val="000000" w:themeColor="text1"/>
          <w14:textFill>
            <w14:solidFill>
              <w14:schemeClr w14:val="tx1"/>
            </w14:solidFill>
          </w14:textFill>
        </w:rPr>
      </w:pPr>
    </w:p>
    <w:p w14:paraId="35B7F0DC">
      <w:pPr>
        <w:pStyle w:val="72"/>
        <w:rPr>
          <w:color w:val="000000" w:themeColor="text1"/>
          <w14:textFill>
            <w14:solidFill>
              <w14:schemeClr w14:val="tx1"/>
            </w14:solidFill>
          </w14:textFill>
        </w:rPr>
      </w:pPr>
      <w:r>
        <w:rPr>
          <w:rFonts w:hint="eastAsia"/>
          <w:color w:val="000000" w:themeColor="text1"/>
          <w14:textFill>
            <w14:solidFill>
              <w14:schemeClr w14:val="tx1"/>
            </w14:solidFill>
          </w14:textFill>
        </w:rPr>
        <w:t>对本期发生损失准备变动的应收账款账面余额显著变动的情况说明：</w:t>
      </w:r>
    </w:p>
    <w:sdt>
      <w:sdtPr>
        <w:rPr>
          <w:color w:val="000000" w:themeColor="text1"/>
          <w14:textFill>
            <w14:solidFill>
              <w14:schemeClr w14:val="tx1"/>
            </w14:solidFill>
          </w14:textFill>
        </w:rPr>
        <w:alias w:val="是否适用：母公司对本期发生损失准备变动的账面余额显著变动的情况说明[双击切换]"/>
        <w:tag w:val="_GBC_c77cf591dcd24f7788bd4150e02a7f8f"/>
        <w:id w:val="-1936888382"/>
        <w:placeholder>
          <w:docPart w:val="GBC22222222222222222222222222222"/>
        </w:placeholder>
      </w:sdtPr>
      <w:sdtEndPr>
        <w:rPr>
          <w:color w:val="000000" w:themeColor="text1"/>
          <w14:textFill>
            <w14:solidFill>
              <w14:schemeClr w14:val="tx1"/>
            </w14:solidFill>
          </w14:textFill>
        </w:rPr>
      </w:sdtEndPr>
      <w:sdtContent>
        <w:p w14:paraId="51A7050E">
          <w:pPr>
            <w:autoSpaceDE w:val="0"/>
            <w:autoSpaceDN w:val="0"/>
            <w:adjustRightInd w:val="0"/>
            <w:ind w:right="105" w:rightChars="5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F79C1FB">
      <w:pPr>
        <w:rPr>
          <w:color w:val="000000" w:themeColor="text1"/>
          <w14:textFill>
            <w14:solidFill>
              <w14:schemeClr w14:val="tx1"/>
            </w14:solidFill>
          </w14:textFill>
        </w:rPr>
      </w:pPr>
    </w:p>
    <w:bookmarkEnd w:id="445"/>
    <w:bookmarkEnd w:id="446"/>
    <w:p w14:paraId="4D137022">
      <w:pPr>
        <w:pStyle w:val="5"/>
        <w:numPr>
          <w:ilvl w:val="3"/>
          <w:numId w:val="115"/>
        </w:numPr>
        <w:ind w:left="426" w:hanging="426" w:hangingChars="202"/>
        <w:rPr>
          <w:rFonts w:hint="eastAsia" w:ascii="宋体" w:hAnsi="宋体" w:cs="宋体"/>
          <w:color w:val="000000" w:themeColor="text1"/>
          <w:kern w:val="0"/>
          <w:szCs w:val="24"/>
          <w14:textFill>
            <w14:solidFill>
              <w14:schemeClr w14:val="tx1"/>
            </w14:solidFill>
          </w14:textFill>
        </w:rPr>
      </w:pPr>
      <w:bookmarkStart w:id="447" w:name="_Hlk10540190"/>
      <w:bookmarkStart w:id="448" w:name="_Hlk10540207"/>
      <w:r>
        <w:rPr>
          <w:rFonts w:hint="eastAsia" w:ascii="宋体" w:hAnsi="宋体" w:cs="宋体"/>
          <w:color w:val="000000" w:themeColor="text1"/>
          <w:kern w:val="0"/>
          <w:szCs w:val="24"/>
          <w14:textFill>
            <w14:solidFill>
              <w14:schemeClr w14:val="tx1"/>
            </w14:solidFill>
          </w14:textFill>
        </w:rPr>
        <w:t>坏账准备的情况</w:t>
      </w:r>
      <w:bookmarkEnd w:id="447"/>
    </w:p>
    <w:sdt>
      <w:sdtPr>
        <w:rPr>
          <w:color w:val="000000" w:themeColor="text1"/>
          <w14:textFill>
            <w14:solidFill>
              <w14:schemeClr w14:val="tx1"/>
            </w14:solidFill>
          </w14:textFill>
        </w:rPr>
        <w:alias w:val="是否适用：母公司应收账款坏账准备情况[双击切换]"/>
        <w:tag w:val="_GBC_f73789de2ecf49c4bad380c8767c93cf"/>
        <w:id w:val="315383569"/>
        <w:placeholder>
          <w:docPart w:val="GBC22222222222222222222222222222"/>
        </w:placeholder>
      </w:sdtPr>
      <w:sdtEndPr>
        <w:rPr>
          <w:color w:val="000000" w:themeColor="text1"/>
          <w14:textFill>
            <w14:solidFill>
              <w14:schemeClr w14:val="tx1"/>
            </w14:solidFill>
          </w14:textFill>
        </w:rPr>
      </w:sdtEndPr>
      <w:sdtContent>
        <w:p w14:paraId="3E77884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ED1E896">
      <w:pPr>
        <w:rPr>
          <w:rFonts w:hint="eastAsia" w:ascii="宋体" w:hAnsi="宋体"/>
          <w:color w:val="000000" w:themeColor="text1"/>
          <w14:textFill>
            <w14:solidFill>
              <w14:schemeClr w14:val="tx1"/>
            </w14:solidFill>
          </w14:textFill>
        </w:rPr>
      </w:pPr>
      <w:bookmarkStart w:id="449" w:name="_Hlk41553597"/>
    </w:p>
    <w:bookmarkEnd w:id="448"/>
    <w:bookmarkEnd w:id="449"/>
    <w:p w14:paraId="0AB462D7">
      <w:pPr>
        <w:rPr>
          <w:color w:val="000000" w:themeColor="text1"/>
          <w14:textFill>
            <w14:solidFill>
              <w14:schemeClr w14:val="tx1"/>
            </w14:solidFill>
          </w14:textFill>
        </w:rPr>
      </w:pPr>
      <w:bookmarkStart w:id="450" w:name="_Hlk167981805"/>
      <w:bookmarkStart w:id="451" w:name="_Hlk153789356"/>
      <w:r>
        <w:rPr>
          <w:rFonts w:hint="eastAsia"/>
          <w:color w:val="000000" w:themeColor="text1"/>
          <w14:textFill>
            <w14:solidFill>
              <w14:schemeClr w14:val="tx1"/>
            </w14:solidFill>
          </w14:textFill>
        </w:rPr>
        <w:t>其中本期坏账准备收回或转回金额重要的：</w:t>
      </w:r>
    </w:p>
    <w:sdt>
      <w:sdtPr>
        <w:rPr>
          <w:color w:val="000000" w:themeColor="text1"/>
          <w14:textFill>
            <w14:solidFill>
              <w14:schemeClr w14:val="tx1"/>
            </w14:solidFill>
          </w14:textFill>
        </w:rPr>
        <w:alias w:val="是否适用：母公司其中本期坏账准备收回或转回金额重要的[双击切换]"/>
        <w:tag w:val="_GBC_29cbd6f1a56c4bc9843a0a61bcf42c88"/>
        <w:id w:val="71090657"/>
        <w:placeholder>
          <w:docPart w:val="GBC22222222222222222222222222222"/>
        </w:placeholder>
      </w:sdtPr>
      <w:sdtEndPr>
        <w:rPr>
          <w:color w:val="000000" w:themeColor="text1"/>
          <w14:textFill>
            <w14:solidFill>
              <w14:schemeClr w14:val="tx1"/>
            </w14:solidFill>
          </w14:textFill>
        </w:rPr>
      </w:sdtEndPr>
      <w:sdtContent>
        <w:p w14:paraId="6489EFC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ECE6F2B">
      <w:pPr>
        <w:rPr>
          <w:color w:val="000000" w:themeColor="text1"/>
          <w14:textFill>
            <w14:solidFill>
              <w14:schemeClr w14:val="tx1"/>
            </w14:solidFill>
          </w14:textFill>
        </w:rPr>
      </w:pPr>
    </w:p>
    <w:p w14:paraId="3FBB22FB">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应收账款坏账准备情况的说明"/>
        <w:tag w:val="_GBC_0ab588d220454a20ba505c5d15821534"/>
        <w:id w:val="-1645352546"/>
        <w:placeholder>
          <w:docPart w:val="GBC22222222222222222222222222222"/>
        </w:placeholder>
      </w:sdtPr>
      <w:sdtEndPr>
        <w:rPr>
          <w:color w:val="000000" w:themeColor="text1"/>
          <w14:textFill>
            <w14:solidFill>
              <w14:schemeClr w14:val="tx1"/>
            </w14:solidFill>
          </w14:textFill>
        </w:rPr>
      </w:sdtEndPr>
      <w:sdtContent>
        <w:p w14:paraId="0939C856">
          <w:pPr>
            <w:ind w:right="-1594" w:rightChars="-759"/>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08C733DB">
      <w:pPr>
        <w:ind w:right="-1594" w:rightChars="-759"/>
        <w:rPr>
          <w:rFonts w:cs="Times New Roman"/>
          <w:color w:val="000000" w:themeColor="text1"/>
          <w:kern w:val="2"/>
          <w14:textFill>
            <w14:solidFill>
              <w14:schemeClr w14:val="tx1"/>
            </w14:solidFill>
          </w14:textFill>
        </w:rPr>
      </w:pPr>
    </w:p>
    <w:bookmarkEnd w:id="450"/>
    <w:bookmarkEnd w:id="451"/>
    <w:p w14:paraId="5D1D1D44">
      <w:pPr>
        <w:pStyle w:val="5"/>
        <w:numPr>
          <w:ilvl w:val="3"/>
          <w:numId w:val="115"/>
        </w:numPr>
        <w:ind w:left="426" w:hanging="426" w:hangingChars="202"/>
        <w:rPr>
          <w:rFonts w:hint="eastAsia"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本期实际核销的应收</w:t>
      </w:r>
      <w:r>
        <w:rPr>
          <w:rFonts w:hint="eastAsia" w:ascii="宋体" w:hAnsi="宋体" w:cs="宋体"/>
          <w:color w:val="000000" w:themeColor="text1"/>
          <w:kern w:val="0"/>
          <w:szCs w:val="24"/>
          <w14:textFill>
            <w14:solidFill>
              <w14:schemeClr w14:val="tx1"/>
            </w14:solidFill>
          </w14:textFill>
        </w:rPr>
        <w:t>账款</w:t>
      </w:r>
      <w:r>
        <w:rPr>
          <w:rFonts w:ascii="宋体" w:hAnsi="宋体" w:cs="宋体"/>
          <w:color w:val="000000" w:themeColor="text1"/>
          <w:kern w:val="0"/>
          <w:szCs w:val="24"/>
          <w14:textFill>
            <w14:solidFill>
              <w14:schemeClr w14:val="tx1"/>
            </w14:solidFill>
          </w14:textFill>
        </w:rPr>
        <w:t>情况</w:t>
      </w:r>
    </w:p>
    <w:sdt>
      <w:sdtPr>
        <w:rPr>
          <w:color w:val="000000" w:themeColor="text1"/>
          <w14:textFill>
            <w14:solidFill>
              <w14:schemeClr w14:val="tx1"/>
            </w14:solidFill>
          </w14:textFill>
        </w:rPr>
        <w:alias w:val="是否适用：母公司本期实际核销的应收账款情况[双击切换]"/>
        <w:tag w:val="_GBC_a8b9861b74fa43bdb4a98d13449f8f5e"/>
        <w:id w:val="-1189060136"/>
        <w:placeholder>
          <w:docPart w:val="GBC22222222222222222222222222222"/>
        </w:placeholder>
      </w:sdtPr>
      <w:sdtEndPr>
        <w:rPr>
          <w:color w:val="000000" w:themeColor="text1"/>
          <w14:textFill>
            <w14:solidFill>
              <w14:schemeClr w14:val="tx1"/>
            </w14:solidFill>
          </w14:textFill>
        </w:rPr>
      </w:sdtEndPr>
      <w:sdtContent>
        <w:p w14:paraId="280F426B">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1248806">
      <w:pPr>
        <w:rPr>
          <w:color w:val="000000" w:themeColor="text1"/>
          <w14:textFill>
            <w14:solidFill>
              <w14:schemeClr w14:val="tx1"/>
            </w14:solidFill>
          </w14:textFill>
        </w:rPr>
      </w:pPr>
    </w:p>
    <w:p w14:paraId="6C73BCF0">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其中重要的应收账款核销情况</w:t>
      </w:r>
    </w:p>
    <w:sdt>
      <w:sdtPr>
        <w:rPr>
          <w:color w:val="000000" w:themeColor="text1"/>
          <w14:textFill>
            <w14:solidFill>
              <w14:schemeClr w14:val="tx1"/>
            </w14:solidFill>
          </w14:textFill>
        </w:rPr>
        <w:alias w:val="是否适用：母公司其中重要的应收账款核销情况[双击切换]"/>
        <w:tag w:val="_GBC_827c9c10930747bc8ba843d89c64f1fb"/>
        <w:id w:val="94751752"/>
        <w:placeholder>
          <w:docPart w:val="GBC22222222222222222222222222222"/>
        </w:placeholder>
      </w:sdtPr>
      <w:sdtEndPr>
        <w:rPr>
          <w:color w:val="000000" w:themeColor="text1"/>
          <w14:textFill>
            <w14:solidFill>
              <w14:schemeClr w14:val="tx1"/>
            </w14:solidFill>
          </w14:textFill>
        </w:rPr>
      </w:sdtEndPr>
      <w:sdtContent>
        <w:p w14:paraId="1DB47CD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95E30D2">
      <w:pPr>
        <w:rPr>
          <w:color w:val="000000" w:themeColor="text1"/>
          <w14:textFill>
            <w14:solidFill>
              <w14:schemeClr w14:val="tx1"/>
            </w14:solidFill>
          </w14:textFill>
        </w:rPr>
      </w:pPr>
    </w:p>
    <w:p w14:paraId="30253931">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应收账款核销说明：</w:t>
      </w:r>
    </w:p>
    <w:sdt>
      <w:sdtPr>
        <w:rPr>
          <w:color w:val="000000" w:themeColor="text1"/>
          <w14:textFill>
            <w14:solidFill>
              <w14:schemeClr w14:val="tx1"/>
            </w14:solidFill>
          </w14:textFill>
        </w:rPr>
        <w:alias w:val="是否适用：母公司应收账款核销说明[双击切换]"/>
        <w:tag w:val="_GBC_36d2cef3128f4b3389b38ed29442e2b3"/>
        <w:id w:val="-2140098499"/>
        <w:placeholder>
          <w:docPart w:val="GBC22222222222222222222222222222"/>
        </w:placeholder>
      </w:sdtPr>
      <w:sdtEndPr>
        <w:rPr>
          <w:color w:val="000000" w:themeColor="text1"/>
          <w14:textFill>
            <w14:solidFill>
              <w14:schemeClr w14:val="tx1"/>
            </w14:solidFill>
          </w14:textFill>
        </w:rPr>
      </w:sdtEndPr>
      <w:sdtContent>
        <w:p w14:paraId="3BAEE5B0">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FAE6648">
      <w:pPr>
        <w:rPr>
          <w:color w:val="000000" w:themeColor="text1"/>
          <w14:textFill>
            <w14:solidFill>
              <w14:schemeClr w14:val="tx1"/>
            </w14:solidFill>
          </w14:textFill>
        </w:rPr>
      </w:pPr>
    </w:p>
    <w:p w14:paraId="2096ADBA">
      <w:pPr>
        <w:pStyle w:val="5"/>
        <w:numPr>
          <w:ilvl w:val="3"/>
          <w:numId w:val="115"/>
        </w:numPr>
        <w:ind w:left="426" w:hanging="426" w:hangingChars="202"/>
        <w:rPr>
          <w:color w:val="000000" w:themeColor="text1"/>
          <w14:textFill>
            <w14:solidFill>
              <w14:schemeClr w14:val="tx1"/>
            </w14:solidFill>
          </w14:textFill>
        </w:rPr>
      </w:pPr>
      <w:bookmarkStart w:id="452" w:name="_Hlk153789714"/>
      <w:bookmarkStart w:id="453" w:name="_Hlk167981941"/>
      <w:bookmarkStart w:id="454" w:name="_Hlk90023019"/>
      <w:r>
        <w:rPr>
          <w:rFonts w:hint="eastAsia"/>
          <w:color w:val="000000" w:themeColor="text1"/>
          <w14:textFill>
            <w14:solidFill>
              <w14:schemeClr w14:val="tx1"/>
            </w14:solidFill>
          </w14:textFill>
        </w:rPr>
        <w:t>按欠款方归集的期末余额前五名的应收账款和合同资产情况</w:t>
      </w:r>
    </w:p>
    <w:sdt>
      <w:sdtPr>
        <w:rPr>
          <w:rFonts w:hint="eastAsia"/>
          <w:color w:val="000000" w:themeColor="text1"/>
          <w14:textFill>
            <w14:solidFill>
              <w14:schemeClr w14:val="tx1"/>
            </w14:solidFill>
          </w14:textFill>
        </w:rPr>
        <w:alias w:val="是否适用：按欠款方归集的期末余额前五名的应收账款情况[双击切换]"/>
        <w:tag w:val="_GBC_9395e3af825547b4abf8734a6459492f"/>
        <w:id w:val="1553739561"/>
        <w:placeholder>
          <w:docPart w:val="GBC22222222222222222222222222222"/>
        </w:placeholder>
      </w:sdtPr>
      <w:sdtEndPr>
        <w:rPr>
          <w:rFonts w:hint="eastAsia"/>
          <w:color w:val="000000" w:themeColor="text1"/>
          <w14:textFill>
            <w14:solidFill>
              <w14:schemeClr w14:val="tx1"/>
            </w14:solidFill>
          </w14:textFill>
        </w:rPr>
      </w:sdtEndPr>
      <w:sdtContent>
        <w:p w14:paraId="4F937CAE">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instrText xml:space="preserve">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822FD52">
      <w:pPr>
        <w:snapToGrid w:val="0"/>
        <w:spacing w:line="240" w:lineRule="atLeas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color w:val="000000" w:themeColor="text1"/>
            <w14:textFill>
              <w14:solidFill>
                <w14:schemeClr w14:val="tx1"/>
              </w14:solidFill>
            </w14:textFill>
          </w:rPr>
          <w:alias w:val="单位：财务附注：应收账款前五名欠款情况"/>
          <w:tag w:val="_GBC_d6261cbe3c904089bd795ccb3093ee73"/>
          <w:id w:val="201148109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color w:val="000000" w:themeColor="text1"/>
            <w14:textFill>
              <w14:solidFill>
                <w14:schemeClr w14:val="tx1"/>
              </w14:solidFill>
            </w14:textFill>
          </w:rPr>
        </w:sdtEndPr>
        <w:sdtContent>
          <w:r>
            <w:rPr>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应收账款前五名欠款情况"/>
          <w:tag w:val="_GBC_e64ffa6f9fba457f8f4da7574e1bd056"/>
          <w:id w:val="57570839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6"/>
        <w:gridCol w:w="1497"/>
        <w:gridCol w:w="1467"/>
        <w:gridCol w:w="1465"/>
        <w:gridCol w:w="1465"/>
        <w:gridCol w:w="1463"/>
      </w:tblGrid>
      <w:tr w14:paraId="01A7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66e33a7e6be44d5eb2d50643e6237cc4"/>
            <w:id w:val="-1695692749"/>
          </w:sdtPr>
          <w:sdtContent>
            <w:tc>
              <w:tcPr>
                <w:tcW w:w="834" w:type="pct"/>
                <w:vAlign w:val="center"/>
              </w:tcPr>
              <w:p w14:paraId="215D1206">
                <w:pPr>
                  <w:ind w:right="10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单位名称</w:t>
                </w:r>
              </w:p>
            </w:tc>
          </w:sdtContent>
        </w:sdt>
        <w:sdt>
          <w:sdtPr>
            <w:tag w:val="_PLD_e60db498c5ba4a96a970a6ce918e5153"/>
            <w:id w:val="-1260213937"/>
          </w:sdtPr>
          <w:sdtContent>
            <w:tc>
              <w:tcPr>
                <w:tcW w:w="834" w:type="pct"/>
                <w:vAlign w:val="center"/>
              </w:tcPr>
              <w:p w14:paraId="0A8944DA">
                <w:pPr>
                  <w:ind w:right="7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应收账款期末余额</w:t>
                </w:r>
              </w:p>
            </w:tc>
          </w:sdtContent>
        </w:sdt>
        <w:sdt>
          <w:sdtPr>
            <w:tag w:val="_PLD_944b59d1898d47a2b9811200fe8238cc"/>
            <w:id w:val="-1364599736"/>
          </w:sdtPr>
          <w:sdtContent>
            <w:tc>
              <w:tcPr>
                <w:tcW w:w="834" w:type="pct"/>
                <w:vAlign w:val="center"/>
              </w:tcPr>
              <w:p w14:paraId="4F231C6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合同资产期末余额</w:t>
                </w:r>
              </w:p>
            </w:tc>
          </w:sdtContent>
        </w:sdt>
        <w:sdt>
          <w:sdtPr>
            <w:tag w:val="_PLD_301be10e795242c58ee556a8cd07660a"/>
            <w:id w:val="263129572"/>
          </w:sdtPr>
          <w:sdtContent>
            <w:tc>
              <w:tcPr>
                <w:tcW w:w="833" w:type="pct"/>
                <w:vAlign w:val="center"/>
              </w:tcPr>
              <w:p w14:paraId="1105D15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应收账款和合同资产期末余额</w:t>
                </w:r>
              </w:p>
            </w:tc>
          </w:sdtContent>
        </w:sdt>
        <w:sdt>
          <w:sdtPr>
            <w:tag w:val="_PLD_9d7daec6d6fe4a5d9c133a5c71d1c062"/>
            <w:id w:val="-925193385"/>
          </w:sdtPr>
          <w:sdtContent>
            <w:tc>
              <w:tcPr>
                <w:tcW w:w="833" w:type="pct"/>
                <w:vAlign w:val="center"/>
              </w:tcPr>
              <w:p w14:paraId="273CF7B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占应收账款和合同资产期末余额合计数的比例（%）</w:t>
                </w:r>
              </w:p>
            </w:tc>
          </w:sdtContent>
        </w:sdt>
        <w:sdt>
          <w:sdtPr>
            <w:tag w:val="_PLD_50b08561bfef4171ad4e74488b9eb0c0"/>
            <w:id w:val="-2032945315"/>
          </w:sdtPr>
          <w:sdtContent>
            <w:tc>
              <w:tcPr>
                <w:tcW w:w="832" w:type="pct"/>
                <w:vAlign w:val="center"/>
              </w:tcPr>
              <w:p w14:paraId="68F7B35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坏账准备期末余额</w:t>
                </w:r>
              </w:p>
            </w:tc>
          </w:sdtContent>
        </w:sdt>
      </w:tr>
      <w:tr w14:paraId="154A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pct"/>
          </w:tcPr>
          <w:p w14:paraId="03608815">
            <w:pPr>
              <w:ind w:right="105"/>
              <w:jc w:val="center"/>
            </w:pPr>
            <w:r>
              <w:rPr>
                <w:rFonts w:hint="eastAsia" w:ascii="宋体" w:hAnsi="宋体"/>
              </w:rPr>
              <w:t>第一名</w:t>
            </w:r>
          </w:p>
        </w:tc>
        <w:tc>
          <w:tcPr>
            <w:tcW w:w="834" w:type="pct"/>
          </w:tcPr>
          <w:p w14:paraId="29512F20">
            <w:pPr>
              <w:ind w:right="73"/>
              <w:jc w:val="right"/>
            </w:pPr>
            <w:r>
              <w:t>7,146,354.60</w:t>
            </w:r>
          </w:p>
        </w:tc>
        <w:tc>
          <w:tcPr>
            <w:tcW w:w="834" w:type="pct"/>
          </w:tcPr>
          <w:p w14:paraId="2A89A504">
            <w:pPr>
              <w:jc w:val="right"/>
            </w:pPr>
          </w:p>
        </w:tc>
        <w:tc>
          <w:tcPr>
            <w:tcW w:w="833" w:type="pct"/>
          </w:tcPr>
          <w:p w14:paraId="7D8C6274">
            <w:pPr>
              <w:jc w:val="right"/>
            </w:pPr>
            <w:r>
              <w:t>7,146,354.60</w:t>
            </w:r>
          </w:p>
        </w:tc>
        <w:tc>
          <w:tcPr>
            <w:tcW w:w="833" w:type="pct"/>
          </w:tcPr>
          <w:p w14:paraId="0DA9F617">
            <w:pPr>
              <w:jc w:val="right"/>
            </w:pPr>
            <w:r>
              <w:rPr>
                <w:rFonts w:hint="eastAsia"/>
              </w:rPr>
              <w:t>40.05</w:t>
            </w:r>
          </w:p>
        </w:tc>
        <w:tc>
          <w:tcPr>
            <w:tcW w:w="832" w:type="pct"/>
          </w:tcPr>
          <w:p w14:paraId="4C52887A">
            <w:pPr>
              <w:jc w:val="right"/>
            </w:pPr>
            <w:r>
              <w:t>357,317.73</w:t>
            </w:r>
          </w:p>
        </w:tc>
      </w:tr>
      <w:tr w14:paraId="13B8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pct"/>
          </w:tcPr>
          <w:p w14:paraId="67EAF555">
            <w:pPr>
              <w:ind w:right="105"/>
              <w:jc w:val="center"/>
            </w:pPr>
            <w:r>
              <w:rPr>
                <w:rFonts w:hint="eastAsia" w:ascii="宋体" w:hAnsi="宋体"/>
              </w:rPr>
              <w:t>第二名</w:t>
            </w:r>
          </w:p>
        </w:tc>
        <w:tc>
          <w:tcPr>
            <w:tcW w:w="834" w:type="pct"/>
          </w:tcPr>
          <w:p w14:paraId="3BD2A355">
            <w:pPr>
              <w:ind w:right="73"/>
              <w:jc w:val="right"/>
            </w:pPr>
            <w:r>
              <w:t>3,600,000.00</w:t>
            </w:r>
          </w:p>
        </w:tc>
        <w:tc>
          <w:tcPr>
            <w:tcW w:w="834" w:type="pct"/>
          </w:tcPr>
          <w:p w14:paraId="1AD0CB79">
            <w:pPr>
              <w:jc w:val="right"/>
            </w:pPr>
          </w:p>
        </w:tc>
        <w:tc>
          <w:tcPr>
            <w:tcW w:w="833" w:type="pct"/>
          </w:tcPr>
          <w:p w14:paraId="571AA165">
            <w:pPr>
              <w:jc w:val="right"/>
            </w:pPr>
            <w:r>
              <w:t>3,600,000.00</w:t>
            </w:r>
          </w:p>
        </w:tc>
        <w:tc>
          <w:tcPr>
            <w:tcW w:w="833" w:type="pct"/>
          </w:tcPr>
          <w:p w14:paraId="33AE81A0">
            <w:pPr>
              <w:jc w:val="right"/>
            </w:pPr>
            <w:r>
              <w:rPr>
                <w:rFonts w:hint="eastAsia"/>
              </w:rPr>
              <w:t>20.18</w:t>
            </w:r>
          </w:p>
        </w:tc>
        <w:tc>
          <w:tcPr>
            <w:tcW w:w="832" w:type="pct"/>
          </w:tcPr>
          <w:p w14:paraId="48AF9A1C">
            <w:pPr>
              <w:jc w:val="right"/>
            </w:pPr>
            <w:r>
              <w:t>180,000.00</w:t>
            </w:r>
          </w:p>
        </w:tc>
      </w:tr>
      <w:tr w14:paraId="22355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pct"/>
          </w:tcPr>
          <w:p w14:paraId="20E8EBD0">
            <w:pPr>
              <w:ind w:right="105"/>
              <w:jc w:val="center"/>
            </w:pPr>
            <w:r>
              <w:rPr>
                <w:rFonts w:hint="eastAsia" w:ascii="宋体" w:hAnsi="宋体"/>
              </w:rPr>
              <w:t>第三名</w:t>
            </w:r>
          </w:p>
        </w:tc>
        <w:tc>
          <w:tcPr>
            <w:tcW w:w="834" w:type="pct"/>
          </w:tcPr>
          <w:p w14:paraId="22AB43A9">
            <w:pPr>
              <w:ind w:right="73"/>
              <w:jc w:val="right"/>
            </w:pPr>
            <w:r>
              <w:t>2,688,930.00</w:t>
            </w:r>
          </w:p>
        </w:tc>
        <w:tc>
          <w:tcPr>
            <w:tcW w:w="834" w:type="pct"/>
          </w:tcPr>
          <w:p w14:paraId="1F4F6D9C">
            <w:pPr>
              <w:jc w:val="right"/>
            </w:pPr>
          </w:p>
        </w:tc>
        <w:tc>
          <w:tcPr>
            <w:tcW w:w="833" w:type="pct"/>
          </w:tcPr>
          <w:p w14:paraId="452CAA86">
            <w:pPr>
              <w:jc w:val="right"/>
            </w:pPr>
            <w:r>
              <w:t>2,688,930.00</w:t>
            </w:r>
          </w:p>
        </w:tc>
        <w:tc>
          <w:tcPr>
            <w:tcW w:w="833" w:type="pct"/>
          </w:tcPr>
          <w:p w14:paraId="5D96C100">
            <w:pPr>
              <w:jc w:val="right"/>
            </w:pPr>
            <w:r>
              <w:rPr>
                <w:rFonts w:hint="eastAsia"/>
              </w:rPr>
              <w:t>15.07</w:t>
            </w:r>
          </w:p>
        </w:tc>
        <w:tc>
          <w:tcPr>
            <w:tcW w:w="832" w:type="pct"/>
          </w:tcPr>
          <w:p w14:paraId="7B771389">
            <w:pPr>
              <w:jc w:val="right"/>
            </w:pPr>
            <w:r>
              <w:t>134,446.50</w:t>
            </w:r>
          </w:p>
        </w:tc>
      </w:tr>
      <w:tr w14:paraId="32C3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pct"/>
          </w:tcPr>
          <w:p w14:paraId="261C0D26">
            <w:pPr>
              <w:ind w:right="105"/>
              <w:jc w:val="center"/>
            </w:pPr>
            <w:r>
              <w:rPr>
                <w:rFonts w:hint="eastAsia" w:ascii="宋体" w:hAnsi="宋体"/>
              </w:rPr>
              <w:t>第四名</w:t>
            </w:r>
          </w:p>
        </w:tc>
        <w:tc>
          <w:tcPr>
            <w:tcW w:w="834" w:type="pct"/>
          </w:tcPr>
          <w:p w14:paraId="1D312B18">
            <w:pPr>
              <w:ind w:right="73"/>
              <w:jc w:val="right"/>
            </w:pPr>
            <w:r>
              <w:t>2,250,000.00</w:t>
            </w:r>
          </w:p>
        </w:tc>
        <w:tc>
          <w:tcPr>
            <w:tcW w:w="834" w:type="pct"/>
          </w:tcPr>
          <w:p w14:paraId="024F0BB8">
            <w:pPr>
              <w:jc w:val="right"/>
            </w:pPr>
          </w:p>
        </w:tc>
        <w:tc>
          <w:tcPr>
            <w:tcW w:w="833" w:type="pct"/>
          </w:tcPr>
          <w:p w14:paraId="2D8136B6">
            <w:pPr>
              <w:jc w:val="right"/>
            </w:pPr>
            <w:r>
              <w:t>2,250,000.00</w:t>
            </w:r>
          </w:p>
        </w:tc>
        <w:tc>
          <w:tcPr>
            <w:tcW w:w="833" w:type="pct"/>
          </w:tcPr>
          <w:p w14:paraId="511CA5AE">
            <w:pPr>
              <w:jc w:val="right"/>
            </w:pPr>
            <w:r>
              <w:rPr>
                <w:rFonts w:hint="eastAsia"/>
              </w:rPr>
              <w:t>12.61</w:t>
            </w:r>
          </w:p>
        </w:tc>
        <w:tc>
          <w:tcPr>
            <w:tcW w:w="832" w:type="pct"/>
          </w:tcPr>
          <w:p w14:paraId="530CF294">
            <w:pPr>
              <w:jc w:val="right"/>
            </w:pPr>
            <w:r>
              <w:t>112,500.00</w:t>
            </w:r>
          </w:p>
        </w:tc>
      </w:tr>
      <w:tr w14:paraId="17D7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pct"/>
          </w:tcPr>
          <w:p w14:paraId="630AC3D3">
            <w:pPr>
              <w:ind w:right="105"/>
              <w:jc w:val="center"/>
            </w:pPr>
            <w:r>
              <w:rPr>
                <w:rFonts w:hint="eastAsia" w:ascii="宋体" w:hAnsi="宋体"/>
              </w:rPr>
              <w:t>第五名</w:t>
            </w:r>
          </w:p>
        </w:tc>
        <w:tc>
          <w:tcPr>
            <w:tcW w:w="834" w:type="pct"/>
          </w:tcPr>
          <w:p w14:paraId="2F075DE1">
            <w:pPr>
              <w:ind w:right="73"/>
              <w:jc w:val="right"/>
            </w:pPr>
            <w:r>
              <w:t>2,004,950.00</w:t>
            </w:r>
          </w:p>
        </w:tc>
        <w:tc>
          <w:tcPr>
            <w:tcW w:w="834" w:type="pct"/>
          </w:tcPr>
          <w:p w14:paraId="48A94D9D">
            <w:pPr>
              <w:jc w:val="right"/>
            </w:pPr>
          </w:p>
        </w:tc>
        <w:tc>
          <w:tcPr>
            <w:tcW w:w="833" w:type="pct"/>
          </w:tcPr>
          <w:p w14:paraId="221367D0">
            <w:pPr>
              <w:jc w:val="right"/>
            </w:pPr>
            <w:r>
              <w:t>2,004,950.00</w:t>
            </w:r>
          </w:p>
        </w:tc>
        <w:tc>
          <w:tcPr>
            <w:tcW w:w="833" w:type="pct"/>
          </w:tcPr>
          <w:p w14:paraId="5D825FFE">
            <w:pPr>
              <w:jc w:val="right"/>
            </w:pPr>
            <w:r>
              <w:rPr>
                <w:rFonts w:hint="eastAsia"/>
              </w:rPr>
              <w:t>11.24</w:t>
            </w:r>
          </w:p>
        </w:tc>
        <w:tc>
          <w:tcPr>
            <w:tcW w:w="832" w:type="pct"/>
          </w:tcPr>
          <w:p w14:paraId="6DA96D69">
            <w:pPr>
              <w:jc w:val="right"/>
            </w:pPr>
            <w:r>
              <w:t>100,247.50</w:t>
            </w:r>
          </w:p>
        </w:tc>
      </w:tr>
      <w:tr w14:paraId="4A0A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pct"/>
          </w:tcPr>
          <w:p w14:paraId="16D1B128">
            <w:pPr>
              <w:ind w:right="10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834" w:type="pct"/>
          </w:tcPr>
          <w:p w14:paraId="05861A96">
            <w:pPr>
              <w:ind w:right="73"/>
              <w:jc w:val="right"/>
            </w:pPr>
            <w:r>
              <w:t>17,690,234.60</w:t>
            </w:r>
          </w:p>
        </w:tc>
        <w:tc>
          <w:tcPr>
            <w:tcW w:w="834" w:type="pct"/>
          </w:tcPr>
          <w:p w14:paraId="04B691CF">
            <w:pPr>
              <w:jc w:val="right"/>
            </w:pPr>
          </w:p>
        </w:tc>
        <w:tc>
          <w:tcPr>
            <w:tcW w:w="833" w:type="pct"/>
          </w:tcPr>
          <w:p w14:paraId="6B047735">
            <w:pPr>
              <w:jc w:val="right"/>
            </w:pPr>
            <w:r>
              <w:t>17,690,234.60</w:t>
            </w:r>
          </w:p>
        </w:tc>
        <w:tc>
          <w:tcPr>
            <w:tcW w:w="833" w:type="pct"/>
          </w:tcPr>
          <w:p w14:paraId="255E1142">
            <w:pPr>
              <w:jc w:val="right"/>
            </w:pPr>
          </w:p>
        </w:tc>
        <w:tc>
          <w:tcPr>
            <w:tcW w:w="832" w:type="pct"/>
          </w:tcPr>
          <w:p w14:paraId="24C8E51F">
            <w:pPr>
              <w:jc w:val="right"/>
            </w:pPr>
            <w:r>
              <w:t>884,511.73</w:t>
            </w:r>
          </w:p>
        </w:tc>
      </w:tr>
    </w:tbl>
    <w:p w14:paraId="16F8C849">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按欠款方归集的期末余额前五名的应收账款情况的说明"/>
        <w:tag w:val="_GBC_60ef1597b00c4872bb998837689ad316"/>
        <w:id w:val="-864134018"/>
        <w:placeholder>
          <w:docPart w:val="GBC22222222222222222222222222222"/>
        </w:placeholder>
      </w:sdtPr>
      <w:sdtEndPr>
        <w:rPr>
          <w:color w:val="000000" w:themeColor="text1"/>
          <w14:textFill>
            <w14:solidFill>
              <w14:schemeClr w14:val="tx1"/>
            </w14:solidFill>
          </w14:textFill>
        </w:rPr>
      </w:sdtEndPr>
      <w:sdtContent>
        <w:p w14:paraId="61284A45">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61B62A48">
      <w:pPr>
        <w:snapToGrid w:val="0"/>
        <w:spacing w:line="240" w:lineRule="atLeast"/>
        <w:rPr>
          <w:color w:val="000000" w:themeColor="text1"/>
          <w14:textFill>
            <w14:solidFill>
              <w14:schemeClr w14:val="tx1"/>
            </w14:solidFill>
          </w14:textFill>
        </w:rPr>
      </w:pPr>
    </w:p>
    <w:bookmarkEnd w:id="452"/>
    <w:bookmarkEnd w:id="453"/>
    <w:bookmarkEnd w:id="454"/>
    <w:p w14:paraId="2480F79B">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r>
        <w:rPr>
          <w:color w:val="000000" w:themeColor="text1"/>
          <w14:textFill>
            <w14:solidFill>
              <w14:schemeClr w14:val="tx1"/>
            </w14:solidFill>
          </w14:textFill>
        </w:rPr>
        <w:t>说明：</w:t>
      </w:r>
    </w:p>
    <w:sdt>
      <w:sdtPr>
        <w:rPr>
          <w:rFonts w:hint="eastAsia"/>
          <w:color w:val="000000" w:themeColor="text1"/>
          <w14:textFill>
            <w14:solidFill>
              <w14:schemeClr w14:val="tx1"/>
            </w14:solidFill>
          </w14:textFill>
        </w:rPr>
        <w:alias w:val="是否适用：母公司应收账款其他说明[双击切换]"/>
        <w:tag w:val="_GBC_22a2c0a255e04aacadf1c076323bc980"/>
        <w:id w:val="-1527330917"/>
        <w:placeholder>
          <w:docPart w:val="GBC22222222222222222222222222222"/>
        </w:placeholder>
      </w:sdtPr>
      <w:sdtEndPr>
        <w:rPr>
          <w:rFonts w:hint="eastAsia"/>
          <w:color w:val="000000" w:themeColor="text1"/>
          <w14:textFill>
            <w14:solidFill>
              <w14:schemeClr w14:val="tx1"/>
            </w14:solidFill>
          </w14:textFill>
        </w:rPr>
      </w:sdtEndPr>
      <w:sdtContent>
        <w:p w14:paraId="77BA9964">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C9B913C">
      <w:pPr>
        <w:snapToGrid w:val="0"/>
        <w:spacing w:line="240" w:lineRule="atLeast"/>
        <w:rPr>
          <w:color w:val="000000" w:themeColor="text1"/>
          <w14:textFill>
            <w14:solidFill>
              <w14:schemeClr w14:val="tx1"/>
            </w14:solidFill>
          </w14:textFill>
        </w:rPr>
      </w:pPr>
    </w:p>
    <w:p w14:paraId="071F779A">
      <w:pPr>
        <w:pStyle w:val="4"/>
        <w:numPr>
          <w:ilvl w:val="0"/>
          <w:numId w:val="114"/>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其他应收款</w:t>
      </w:r>
    </w:p>
    <w:p w14:paraId="5D3C0963">
      <w:pPr>
        <w:pStyle w:val="5"/>
        <w:rPr>
          <w:rFonts w:hint="eastAsia" w:ascii="宋体" w:hAnsi="宋体"/>
          <w:color w:val="000000" w:themeColor="text1"/>
          <w14:textFill>
            <w14:solidFill>
              <w14:schemeClr w14:val="tx1"/>
            </w14:solidFill>
          </w14:textFill>
        </w:rPr>
      </w:pPr>
      <w:bookmarkStart w:id="455" w:name="_Hlk10546944"/>
      <w:r>
        <w:rPr>
          <w:rFonts w:hint="eastAsia" w:ascii="宋体" w:hAnsi="宋体"/>
          <w:color w:val="000000" w:themeColor="text1"/>
          <w14:textFill>
            <w14:solidFill>
              <w14:schemeClr w14:val="tx1"/>
            </w14:solidFill>
          </w14:textFill>
        </w:rPr>
        <w:t>项目列示</w:t>
      </w:r>
    </w:p>
    <w:sdt>
      <w:sdtPr>
        <w:rPr>
          <w:color w:val="000000" w:themeColor="text1"/>
          <w14:textFill>
            <w14:solidFill>
              <w14:schemeClr w14:val="tx1"/>
            </w14:solidFill>
          </w14:textFill>
        </w:rPr>
        <w:alias w:val="是否适用：母公司其他应收款分类列示[双击切换]"/>
        <w:tag w:val="_GBC_529e259f053b47d993fd4e3216204522"/>
        <w:id w:val="-219677049"/>
        <w:placeholder>
          <w:docPart w:val="GBC22222222222222222222222222222"/>
        </w:placeholder>
      </w:sdtPr>
      <w:sdtEndPr>
        <w:rPr>
          <w:color w:val="000000" w:themeColor="text1"/>
          <w14:textFill>
            <w14:solidFill>
              <w14:schemeClr w14:val="tx1"/>
            </w14:solidFill>
          </w14:textFill>
        </w:rPr>
      </w:sdtEndPr>
      <w:sdtContent>
        <w:p w14:paraId="63410EE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1E4A780">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母公司其他应收款分类列示"/>
          <w:tag w:val="_GBC_306e86db57e64b00a9602dc7cbf81457"/>
          <w:id w:val="-2214493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母公司其他应收款分类列示"/>
          <w:tag w:val="_GBC_cd5866350ae3491e87e9f82a7ed2a7c3"/>
          <w:id w:val="23736497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1" w:type="dxa"/>
          <w:bottom w:w="0" w:type="dxa"/>
          <w:right w:w="31" w:type="dxa"/>
        </w:tblCellMar>
      </w:tblPr>
      <w:tblGrid>
        <w:gridCol w:w="3113"/>
        <w:gridCol w:w="2862"/>
        <w:gridCol w:w="2848"/>
      </w:tblGrid>
      <w:tr w14:paraId="114C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tag w:val="_PLD_9b14d51b79194bdea749a527966a0a2e"/>
            <w:id w:val="-1876307440"/>
          </w:sdtPr>
          <w:sdtContent>
            <w:tc>
              <w:tcPr>
                <w:tcW w:w="1764" w:type="pct"/>
                <w:vAlign w:val="center"/>
              </w:tcPr>
              <w:p w14:paraId="4BFACA9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1dd12447c07a4bf5b8eef82f2f9f5577"/>
            <w:id w:val="484836046"/>
          </w:sdtPr>
          <w:sdtContent>
            <w:tc>
              <w:tcPr>
                <w:tcW w:w="1622" w:type="pct"/>
                <w:vAlign w:val="center"/>
              </w:tcPr>
              <w:p w14:paraId="6F39FA2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2701e42352ac4ea1ae4d64adf5d28e89"/>
            <w:id w:val="-492111867"/>
          </w:sdtPr>
          <w:sdtContent>
            <w:tc>
              <w:tcPr>
                <w:tcW w:w="1614" w:type="pct"/>
                <w:vAlign w:val="center"/>
              </w:tcPr>
              <w:p w14:paraId="1E3FD14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78F4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764" w:type="pct"/>
          </w:tcPr>
          <w:p w14:paraId="4B5065FC">
            <w:pPr>
              <w:ind w:right="5"/>
              <w:rPr>
                <w:color w:val="000000" w:themeColor="text1"/>
                <w14:textFill>
                  <w14:solidFill>
                    <w14:schemeClr w14:val="tx1"/>
                  </w14:solidFill>
                </w14:textFill>
              </w:rPr>
            </w:pPr>
            <w:r>
              <w:rPr>
                <w:rFonts w:hint="eastAsia"/>
                <w:color w:val="000000" w:themeColor="text1"/>
                <w14:textFill>
                  <w14:solidFill>
                    <w14:schemeClr w14:val="tx1"/>
                  </w14:solidFill>
                </w14:textFill>
              </w:rPr>
              <w:t>应收利息</w:t>
            </w:r>
          </w:p>
        </w:tc>
        <w:tc>
          <w:tcPr>
            <w:tcW w:w="1622" w:type="pct"/>
          </w:tcPr>
          <w:p w14:paraId="66654F6F">
            <w:pPr>
              <w:ind w:right="5"/>
              <w:jc w:val="right"/>
            </w:pPr>
          </w:p>
        </w:tc>
        <w:tc>
          <w:tcPr>
            <w:tcW w:w="1614" w:type="pct"/>
          </w:tcPr>
          <w:p w14:paraId="57A53BD3">
            <w:pPr>
              <w:ind w:right="5"/>
              <w:jc w:val="right"/>
            </w:pPr>
          </w:p>
        </w:tc>
      </w:tr>
      <w:tr w14:paraId="3086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764" w:type="pct"/>
          </w:tcPr>
          <w:p w14:paraId="692A7E5F">
            <w:pPr>
              <w:ind w:right="5"/>
              <w:rPr>
                <w:color w:val="000000" w:themeColor="text1"/>
                <w14:textFill>
                  <w14:solidFill>
                    <w14:schemeClr w14:val="tx1"/>
                  </w14:solidFill>
                </w14:textFill>
              </w:rPr>
            </w:pPr>
            <w:r>
              <w:rPr>
                <w:rFonts w:hint="eastAsia"/>
                <w:color w:val="000000" w:themeColor="text1"/>
                <w14:textFill>
                  <w14:solidFill>
                    <w14:schemeClr w14:val="tx1"/>
                  </w14:solidFill>
                </w14:textFill>
              </w:rPr>
              <w:t>应收股利</w:t>
            </w:r>
          </w:p>
        </w:tc>
        <w:tc>
          <w:tcPr>
            <w:tcW w:w="1622" w:type="pct"/>
          </w:tcPr>
          <w:p w14:paraId="1E3EE9D7">
            <w:pPr>
              <w:ind w:right="5"/>
              <w:jc w:val="right"/>
            </w:pPr>
          </w:p>
        </w:tc>
        <w:tc>
          <w:tcPr>
            <w:tcW w:w="1614" w:type="pct"/>
          </w:tcPr>
          <w:p w14:paraId="6E9DA316">
            <w:pPr>
              <w:ind w:right="5"/>
              <w:jc w:val="right"/>
            </w:pPr>
          </w:p>
        </w:tc>
      </w:tr>
      <w:tr w14:paraId="73A5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764" w:type="pct"/>
          </w:tcPr>
          <w:p w14:paraId="31643DEF">
            <w:pPr>
              <w:ind w:right="5"/>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w:t>
            </w:r>
          </w:p>
        </w:tc>
        <w:tc>
          <w:tcPr>
            <w:tcW w:w="1622" w:type="pct"/>
          </w:tcPr>
          <w:p w14:paraId="6DA8B876">
            <w:pPr>
              <w:ind w:right="5"/>
              <w:jc w:val="right"/>
            </w:pPr>
            <w:r>
              <w:t>443,570,887.76</w:t>
            </w:r>
          </w:p>
        </w:tc>
        <w:tc>
          <w:tcPr>
            <w:tcW w:w="1614" w:type="pct"/>
          </w:tcPr>
          <w:p w14:paraId="7CB9815F">
            <w:pPr>
              <w:ind w:right="5"/>
              <w:jc w:val="right"/>
            </w:pPr>
            <w:r>
              <w:t>450,682,596.93</w:t>
            </w:r>
          </w:p>
        </w:tc>
      </w:tr>
      <w:tr w14:paraId="6E62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764" w:type="pct"/>
            <w:vAlign w:val="center"/>
          </w:tcPr>
          <w:p w14:paraId="1FC15444">
            <w:pPr>
              <w:autoSpaceDE w:val="0"/>
              <w:autoSpaceDN w:val="0"/>
              <w:adjustRightIn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22" w:type="pct"/>
          </w:tcPr>
          <w:p w14:paraId="56CA6960">
            <w:pPr>
              <w:jc w:val="right"/>
            </w:pPr>
            <w:r>
              <w:t>443,570,887.76</w:t>
            </w:r>
          </w:p>
        </w:tc>
        <w:tc>
          <w:tcPr>
            <w:tcW w:w="1614" w:type="pct"/>
          </w:tcPr>
          <w:p w14:paraId="2E397C51">
            <w:pPr>
              <w:jc w:val="right"/>
            </w:pPr>
            <w:r>
              <w:t>450,682,596.93</w:t>
            </w:r>
          </w:p>
        </w:tc>
      </w:tr>
    </w:tbl>
    <w:p w14:paraId="643437BE">
      <w:pPr>
        <w:rPr>
          <w:color w:val="000000" w:themeColor="text1"/>
          <w14:textFill>
            <w14:solidFill>
              <w14:schemeClr w14:val="tx1"/>
            </w14:solidFill>
          </w14:textFill>
        </w:rPr>
      </w:pPr>
    </w:p>
    <w:p w14:paraId="424B5428">
      <w:pPr>
        <w:rPr>
          <w:color w:val="000000" w:themeColor="text1"/>
          <w14:textFill>
            <w14:solidFill>
              <w14:schemeClr w14:val="tx1"/>
            </w14:solidFill>
          </w14:textFill>
        </w:rPr>
      </w:pPr>
      <w:bookmarkStart w:id="456" w:name="_Hlk533797002"/>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母公司其他应收款分类列示其他说明[双击切换]"/>
        <w:tag w:val="_GBC_87c9afe4c5c54a4b93c9b78663bd8bf3"/>
        <w:id w:val="1277747484"/>
        <w:placeholder>
          <w:docPart w:val="GBC22222222222222222222222222222"/>
        </w:placeholder>
      </w:sdtPr>
      <w:sdtEndPr>
        <w:rPr>
          <w:color w:val="000000" w:themeColor="text1"/>
          <w14:textFill>
            <w14:solidFill>
              <w14:schemeClr w14:val="tx1"/>
            </w14:solidFill>
          </w14:textFill>
        </w:rPr>
      </w:sdtEndPr>
      <w:sdtContent>
        <w:p w14:paraId="136E973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4ABB9F4">
      <w:pPr>
        <w:rPr>
          <w:color w:val="000000" w:themeColor="text1"/>
          <w14:textFill>
            <w14:solidFill>
              <w14:schemeClr w14:val="tx1"/>
            </w14:solidFill>
          </w14:textFill>
        </w:rPr>
      </w:pPr>
    </w:p>
    <w:bookmarkEnd w:id="455"/>
    <w:bookmarkEnd w:id="456"/>
    <w:p w14:paraId="1B09761F">
      <w:pPr>
        <w:pStyle w:val="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应收利息</w:t>
      </w:r>
    </w:p>
    <w:p w14:paraId="55054ABE">
      <w:pPr>
        <w:pStyle w:val="6"/>
        <w:numPr>
          <w:ilvl w:val="0"/>
          <w:numId w:val="116"/>
        </w:numPr>
      </w:pPr>
      <w:bookmarkStart w:id="457" w:name="_Hlk10547023"/>
      <w:bookmarkStart w:id="458" w:name="_Hlk10547033"/>
      <w:r>
        <w:rPr>
          <w:rFonts w:hint="eastAsia"/>
        </w:rPr>
        <w:t>应收利息分类</w:t>
      </w:r>
      <w:bookmarkEnd w:id="457"/>
    </w:p>
    <w:sdt>
      <w:sdtPr>
        <w:rPr>
          <w:color w:val="000000" w:themeColor="text1"/>
          <w14:textFill>
            <w14:solidFill>
              <w14:schemeClr w14:val="tx1"/>
            </w14:solidFill>
          </w14:textFill>
        </w:rPr>
        <w:alias w:val="是否适用：母公司应收利息分类[双击切换]"/>
        <w:tag w:val="_GBC_7b29d5fc39c94a909c39eedf47c8008f"/>
        <w:id w:val="-197017389"/>
        <w:placeholder>
          <w:docPart w:val="GBC22222222222222222222222222222"/>
        </w:placeholder>
      </w:sdtPr>
      <w:sdtEndPr>
        <w:rPr>
          <w:color w:val="000000" w:themeColor="text1"/>
          <w14:textFill>
            <w14:solidFill>
              <w14:schemeClr w14:val="tx1"/>
            </w14:solidFill>
          </w14:textFill>
        </w:rPr>
      </w:sdtEndPr>
      <w:sdtContent>
        <w:p w14:paraId="6D68588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3EE0453">
      <w:pPr>
        <w:rPr>
          <w:color w:val="000000" w:themeColor="text1"/>
          <w14:textFill>
            <w14:solidFill>
              <w14:schemeClr w14:val="tx1"/>
            </w14:solidFill>
          </w14:textFill>
        </w:rPr>
      </w:pPr>
    </w:p>
    <w:bookmarkEnd w:id="458"/>
    <w:p w14:paraId="5719FA1B">
      <w:pPr>
        <w:pStyle w:val="6"/>
        <w:numPr>
          <w:ilvl w:val="0"/>
          <w:numId w:val="116"/>
        </w:numPr>
        <w:rPr>
          <w:rFonts w:cs="宋体"/>
          <w:kern w:val="0"/>
          <w:szCs w:val="24"/>
        </w:rPr>
      </w:pPr>
      <w:bookmarkStart w:id="459" w:name="_Hlk10547054"/>
      <w:bookmarkStart w:id="460" w:name="_Hlk10547064"/>
      <w:r>
        <w:rPr>
          <w:rFonts w:hint="eastAsia" w:cs="宋体"/>
          <w:kern w:val="0"/>
          <w:szCs w:val="24"/>
        </w:rPr>
        <w:t>重要逾期利息</w:t>
      </w:r>
      <w:bookmarkEnd w:id="459"/>
    </w:p>
    <w:sdt>
      <w:sdtPr>
        <w:rPr>
          <w:color w:val="000000" w:themeColor="text1"/>
          <w14:textFill>
            <w14:solidFill>
              <w14:schemeClr w14:val="tx1"/>
            </w14:solidFill>
          </w14:textFill>
        </w:rPr>
        <w:alias w:val="是否适用：母公司重要逾期利息[双击切换]"/>
        <w:tag w:val="_GBC_2527ddfc737d4b8c8fa3ca7d6387408d"/>
        <w:id w:val="-387493803"/>
        <w:placeholder>
          <w:docPart w:val="GBC22222222222222222222222222222"/>
        </w:placeholder>
      </w:sdtPr>
      <w:sdtEndPr>
        <w:rPr>
          <w:color w:val="000000" w:themeColor="text1"/>
          <w14:textFill>
            <w14:solidFill>
              <w14:schemeClr w14:val="tx1"/>
            </w14:solidFill>
          </w14:textFill>
        </w:rPr>
      </w:sdtEndPr>
      <w:sdtContent>
        <w:p w14:paraId="4EB3A31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C7D1247">
      <w:pPr>
        <w:rPr>
          <w:color w:val="000000" w:themeColor="text1"/>
          <w14:textFill>
            <w14:solidFill>
              <w14:schemeClr w14:val="tx1"/>
            </w14:solidFill>
          </w14:textFill>
        </w:rPr>
      </w:pPr>
    </w:p>
    <w:bookmarkEnd w:id="460"/>
    <w:p w14:paraId="5C8569AC">
      <w:pPr>
        <w:pStyle w:val="6"/>
        <w:numPr>
          <w:ilvl w:val="0"/>
          <w:numId w:val="116"/>
        </w:numPr>
        <w:rPr>
          <w:rFonts w:cs="宋体" w:asciiTheme="minorHAnsi" w:hAnsiTheme="minorHAnsi"/>
          <w:color w:val="000000" w:themeColor="text1"/>
          <w:kern w:val="0"/>
          <w:szCs w:val="22"/>
          <w14:textFill>
            <w14:solidFill>
              <w14:schemeClr w14:val="tx1"/>
            </w14:solidFill>
          </w14:textFill>
        </w:rPr>
      </w:pPr>
      <w:bookmarkStart w:id="461" w:name="_Hlk154149455"/>
      <w:bookmarkStart w:id="462" w:name="_Hlk167983171"/>
      <w:bookmarkStart w:id="463" w:name="_Hlk153789950"/>
      <w:r>
        <w:rPr>
          <w:rFonts w:hint="eastAsia" w:cs="宋体" w:asciiTheme="minorHAnsi" w:hAnsiTheme="minorHAnsi"/>
          <w:color w:val="000000" w:themeColor="text1"/>
          <w:kern w:val="0"/>
          <w:szCs w:val="22"/>
          <w14:textFill>
            <w14:solidFill>
              <w14:schemeClr w14:val="tx1"/>
            </w14:solidFill>
          </w14:textFill>
        </w:rPr>
        <w:t>按</w:t>
      </w:r>
      <w:r>
        <w:rPr>
          <w:rFonts w:cs="宋体" w:asciiTheme="minorHAnsi" w:hAnsiTheme="minorHAnsi"/>
          <w:color w:val="000000" w:themeColor="text1"/>
          <w:kern w:val="0"/>
          <w:szCs w:val="22"/>
          <w14:textFill>
            <w14:solidFill>
              <w14:schemeClr w14:val="tx1"/>
            </w14:solidFill>
          </w14:textFill>
        </w:rPr>
        <w:t>坏账计提方法</w:t>
      </w:r>
      <w:r>
        <w:rPr>
          <w:rFonts w:cs="宋体"/>
          <w:kern w:val="0"/>
          <w:szCs w:val="24"/>
        </w:rPr>
        <w:t>分类</w:t>
      </w:r>
      <w:r>
        <w:rPr>
          <w:rFonts w:cs="宋体" w:asciiTheme="minorHAnsi" w:hAnsiTheme="minorHAnsi"/>
          <w:color w:val="000000" w:themeColor="text1"/>
          <w:kern w:val="0"/>
          <w:szCs w:val="22"/>
          <w14:textFill>
            <w14:solidFill>
              <w14:schemeClr w14:val="tx1"/>
            </w14:solidFill>
          </w14:textFill>
        </w:rPr>
        <w:t>披露</w:t>
      </w:r>
    </w:p>
    <w:sdt>
      <w:sdtPr>
        <w:rPr>
          <w:color w:val="000000" w:themeColor="text1"/>
          <w14:textFill>
            <w14:solidFill>
              <w14:schemeClr w14:val="tx1"/>
            </w14:solidFill>
          </w14:textFill>
        </w:rPr>
        <w:alias w:val="是否适用：按坏账计提方法分类披露[双击切换]"/>
        <w:tag w:val="_GBC_9b6b7378a5064d4da42ce1b114ef0dd2"/>
        <w:id w:val="376908253"/>
        <w:placeholder>
          <w:docPart w:val="GBC22222222222222222222222222222"/>
        </w:placeholder>
      </w:sdtPr>
      <w:sdtEndPr>
        <w:rPr>
          <w:color w:val="000000" w:themeColor="text1"/>
          <w14:textFill>
            <w14:solidFill>
              <w14:schemeClr w14:val="tx1"/>
            </w14:solidFill>
          </w14:textFill>
        </w:rPr>
      </w:sdtEndPr>
      <w:sdtContent>
        <w:p w14:paraId="540452D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6C08971">
      <w:pPr>
        <w:rPr>
          <w:color w:val="000000" w:themeColor="text1"/>
          <w14:textFill>
            <w14:solidFill>
              <w14:schemeClr w14:val="tx1"/>
            </w14:solidFill>
          </w14:textFill>
        </w:rPr>
      </w:pPr>
    </w:p>
    <w:p w14:paraId="44EA63C2">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w:t>
      </w:r>
    </w:p>
    <w:sdt>
      <w:sdtPr>
        <w:rPr>
          <w:color w:val="000000" w:themeColor="text1"/>
          <w14:textFill>
            <w14:solidFill>
              <w14:schemeClr w14:val="tx1"/>
            </w14:solidFill>
          </w14:textFill>
        </w:rPr>
        <w:alias w:val="是否适用：母公司按单项计提坏账准备的详细情况[双击切换]"/>
        <w:tag w:val="_GBC_9e66e9365aa445c3891c917c0b2cb0f8"/>
        <w:id w:val="-1106494486"/>
        <w:placeholder>
          <w:docPart w:val="GBC22222222222222222222222222222"/>
        </w:placeholder>
      </w:sdtPr>
      <w:sdtEndPr>
        <w:rPr>
          <w:color w:val="000000" w:themeColor="text1"/>
          <w14:textFill>
            <w14:solidFill>
              <w14:schemeClr w14:val="tx1"/>
            </w14:solidFill>
          </w14:textFill>
        </w:rPr>
      </w:sdtEndPr>
      <w:sdtContent>
        <w:p w14:paraId="67084FF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E737D56">
      <w:pPr>
        <w:rPr>
          <w:color w:val="000000" w:themeColor="text1"/>
          <w14:textFill>
            <w14:solidFill>
              <w14:schemeClr w14:val="tx1"/>
            </w14:solidFill>
          </w14:textFill>
        </w:rPr>
      </w:pPr>
    </w:p>
    <w:p w14:paraId="35AAC7FD">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按单项计提坏账准备的说明：</w:t>
      </w:r>
    </w:p>
    <w:sdt>
      <w:sdtPr>
        <w:rPr>
          <w:color w:val="000000" w:themeColor="text1"/>
          <w14:textFill>
            <w14:solidFill>
              <w14:schemeClr w14:val="tx1"/>
            </w14:solidFill>
          </w14:textFill>
        </w:rPr>
        <w:alias w:val="是否适用：母公司按单项计提坏账准备的说明[双击切换]"/>
        <w:tag w:val="_GBC_61cf7a42166c410985a3f556c1a407d3"/>
        <w:id w:val="1613544633"/>
        <w:placeholder>
          <w:docPart w:val="GBC22222222222222222222222222222"/>
        </w:placeholder>
      </w:sdtPr>
      <w:sdtEndPr>
        <w:rPr>
          <w:color w:val="000000" w:themeColor="text1"/>
          <w14:textFill>
            <w14:solidFill>
              <w14:schemeClr w14:val="tx1"/>
            </w14:solidFill>
          </w14:textFill>
        </w:rPr>
      </w:sdtEndPr>
      <w:sdtContent>
        <w:p w14:paraId="33A24F0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4BF5633">
      <w:pPr>
        <w:rPr>
          <w:color w:val="000000" w:themeColor="text1"/>
          <w14:textFill>
            <w14:solidFill>
              <w14:schemeClr w14:val="tx1"/>
            </w14:solidFill>
          </w14:textFill>
        </w:rPr>
      </w:pPr>
    </w:p>
    <w:p w14:paraId="6B5AD05F">
      <w:pPr>
        <w:rPr>
          <w:rFonts w:ascii="Calibri" w:hAnsi="Calibri" w:cs="Times New Roman"/>
          <w:bCs w:val="0"/>
          <w:color w:val="000000" w:themeColor="text1"/>
          <w:szCs w:val="22"/>
          <w14:textFill>
            <w14:solidFill>
              <w14:schemeClr w14:val="tx1"/>
            </w14:solidFill>
          </w14:textFill>
        </w:rPr>
      </w:pPr>
      <w:r>
        <w:rPr>
          <w:rFonts w:hint="eastAsia" w:ascii="Calibri" w:hAnsi="Calibri" w:cs="Times New Roman"/>
          <w:color w:val="000000" w:themeColor="text1"/>
          <w:szCs w:val="22"/>
          <w14:textFill>
            <w14:solidFill>
              <w14:schemeClr w14:val="tx1"/>
            </w14:solidFill>
          </w14:textFill>
        </w:rPr>
        <w:t>按组合计提坏账准备：</w:t>
      </w:r>
    </w:p>
    <w:sdt>
      <w:sdtPr>
        <w:rPr>
          <w:rFonts w:ascii="Calibri" w:hAnsi="Calibri" w:cs="Times New Roman"/>
          <w:bCs w:val="0"/>
          <w:color w:val="000000" w:themeColor="text1"/>
          <w:szCs w:val="22"/>
          <w14:textFill>
            <w14:solidFill>
              <w14:schemeClr w14:val="tx1"/>
            </w14:solidFill>
          </w14:textFill>
        </w:rPr>
        <w:alias w:val="是否适用：母公司按组合计提坏账准备的详细情况[双击切换]"/>
        <w:tag w:val="_GBC_d3043e47b1544d94a13ce780dd85e9fc"/>
        <w:id w:val="1456680429"/>
        <w:placeholder>
          <w:docPart w:val="GBC22222222222222222222222222222"/>
        </w:placeholder>
      </w:sdtPr>
      <w:sdtEndPr>
        <w:rPr>
          <w:rFonts w:ascii="Calibri" w:hAnsi="Calibri" w:cs="Times New Roman"/>
          <w:bCs w:val="0"/>
          <w:color w:val="000000" w:themeColor="text1"/>
          <w:szCs w:val="22"/>
          <w14:textFill>
            <w14:solidFill>
              <w14:schemeClr w14:val="tx1"/>
            </w14:solidFill>
          </w14:textFill>
        </w:rPr>
      </w:sdtEndPr>
      <w:sdtContent>
        <w:p w14:paraId="15F8B171">
          <w:pPr>
            <w:rPr>
              <w:color w:val="000000" w:themeColor="text1"/>
              <w14:textFill>
                <w14:solidFill>
                  <w14:schemeClr w14:val="tx1"/>
                </w14:solidFill>
              </w14:textFill>
            </w:rPr>
          </w:pPr>
          <w:r>
            <w:rPr>
              <w:rFonts w:ascii="宋体" w:hAnsi="宋体" w:cs="Times New Roman"/>
              <w:bCs w:val="0"/>
              <w:color w:val="000000" w:themeColor="text1"/>
              <w:szCs w:val="22"/>
              <w14:textFill>
                <w14:solidFill>
                  <w14:schemeClr w14:val="tx1"/>
                </w14:solidFill>
              </w14:textFill>
            </w:rPr>
            <w:fldChar w:fldCharType="begin"/>
          </w:r>
          <w:r>
            <w:rPr>
              <w:rFonts w:hint="eastAsia" w:ascii="宋体" w:hAnsi="宋体" w:cs="Times New Roman"/>
              <w:color w:val="000000" w:themeColor="text1"/>
              <w:szCs w:val="22"/>
              <w14:textFill>
                <w14:solidFill>
                  <w14:schemeClr w14:val="tx1"/>
                </w14:solidFill>
              </w14:textFill>
            </w:rPr>
            <w:instrText xml:space="preserve"> MACROBUTTON  SnrToggleCheckbox □适用 </w:instrText>
          </w:r>
          <w:r>
            <w:rPr>
              <w:rFonts w:ascii="宋体" w:hAnsi="宋体" w:cs="Times New Roman"/>
              <w:bCs w:val="0"/>
              <w:color w:val="000000" w:themeColor="text1"/>
              <w:szCs w:val="22"/>
              <w14:textFill>
                <w14:solidFill>
                  <w14:schemeClr w14:val="tx1"/>
                </w14:solidFill>
              </w14:textFill>
            </w:rPr>
            <w:fldChar w:fldCharType="end"/>
          </w:r>
          <w:r>
            <w:rPr>
              <w:rFonts w:ascii="宋体" w:hAnsi="宋体" w:cs="Times New Roman"/>
              <w:bCs w:val="0"/>
              <w:color w:val="000000" w:themeColor="text1"/>
              <w:szCs w:val="22"/>
              <w14:textFill>
                <w14:solidFill>
                  <w14:schemeClr w14:val="tx1"/>
                </w14:solidFill>
              </w14:textFill>
            </w:rPr>
            <w:fldChar w:fldCharType="begin"/>
          </w:r>
          <w:r>
            <w:rPr>
              <w:rFonts w:hint="eastAsia" w:ascii="宋体" w:hAnsi="宋体" w:cs="Times New Roman"/>
              <w:color w:val="000000" w:themeColor="text1"/>
              <w:szCs w:val="22"/>
              <w14:textFill>
                <w14:solidFill>
                  <w14:schemeClr w14:val="tx1"/>
                </w14:solidFill>
              </w14:textFill>
            </w:rPr>
            <w:instrText xml:space="preserve"> MACROBUTTON  SnrToggleCheckbox √不适用 </w:instrText>
          </w:r>
          <w:r>
            <w:rPr>
              <w:rFonts w:ascii="宋体" w:hAnsi="宋体" w:cs="Times New Roman"/>
              <w:bCs w:val="0"/>
              <w:color w:val="000000" w:themeColor="text1"/>
              <w:szCs w:val="22"/>
              <w14:textFill>
                <w14:solidFill>
                  <w14:schemeClr w14:val="tx1"/>
                </w14:solidFill>
              </w14:textFill>
            </w:rPr>
            <w:fldChar w:fldCharType="end"/>
          </w:r>
        </w:p>
      </w:sdtContent>
    </w:sdt>
    <w:p w14:paraId="776D3F49">
      <w:pPr>
        <w:rPr>
          <w:color w:val="000000" w:themeColor="text1"/>
          <w14:textFill>
            <w14:solidFill>
              <w14:schemeClr w14:val="tx1"/>
            </w14:solidFill>
          </w14:textFill>
        </w:rPr>
      </w:pPr>
    </w:p>
    <w:p w14:paraId="3521DD63">
      <w:pPr>
        <w:rPr>
          <w:rFonts w:ascii="Calibri" w:hAnsi="Calibri" w:cs="Times New Roman"/>
          <w:b/>
          <w:bCs w:val="0"/>
          <w:color w:val="000000" w:themeColor="text1"/>
          <w:szCs w:val="22"/>
          <w14:textFill>
            <w14:solidFill>
              <w14:schemeClr w14:val="tx1"/>
            </w14:solidFill>
          </w14:textFill>
        </w:rPr>
      </w:pPr>
    </w:p>
    <w:bookmarkEnd w:id="461"/>
    <w:bookmarkEnd w:id="462"/>
    <w:bookmarkEnd w:id="463"/>
    <w:p w14:paraId="6F370131">
      <w:pPr>
        <w:pStyle w:val="6"/>
        <w:numPr>
          <w:ilvl w:val="0"/>
          <w:numId w:val="116"/>
        </w:numPr>
        <w:rPr>
          <w:rFonts w:cs="宋体" w:asciiTheme="minorHAnsi" w:hAnsiTheme="minorHAnsi"/>
          <w:color w:val="000000" w:themeColor="text1"/>
          <w:kern w:val="0"/>
          <w:szCs w:val="22"/>
          <w14:textFill>
            <w14:solidFill>
              <w14:schemeClr w14:val="tx1"/>
            </w14:solidFill>
          </w14:textFill>
        </w:rPr>
      </w:pPr>
      <w:bookmarkStart w:id="464" w:name="_Hlk10547083"/>
      <w:bookmarkEnd w:id="464"/>
      <w:bookmarkStart w:id="465" w:name="_Hlk10547096"/>
      <w:r>
        <w:rPr>
          <w:rFonts w:hint="eastAsia" w:cs="宋体" w:asciiTheme="minorHAnsi" w:hAnsiTheme="minorHAnsi"/>
          <w:color w:val="000000" w:themeColor="text1"/>
          <w:kern w:val="0"/>
          <w:szCs w:val="22"/>
          <w14:textFill>
            <w14:solidFill>
              <w14:schemeClr w14:val="tx1"/>
            </w14:solidFill>
          </w14:textFill>
        </w:rPr>
        <w:t>按预期信用损失一般模型计提坏账准备</w:t>
      </w:r>
    </w:p>
    <w:sdt>
      <w:sdtPr>
        <w:rPr>
          <w:color w:val="000000" w:themeColor="text1"/>
          <w14:textFill>
            <w14:solidFill>
              <w14:schemeClr w14:val="tx1"/>
            </w14:solidFill>
          </w14:textFill>
        </w:rPr>
        <w:alias w:val="是否适用：母公司应收利息坏账准备调节表[双击切换]"/>
        <w:tag w:val="_GBC_051d1f4329834464b99226954bb8040d"/>
        <w:id w:val="1516107890"/>
        <w:placeholder>
          <w:docPart w:val="GBC22222222222222222222222222222"/>
        </w:placeholder>
      </w:sdtPr>
      <w:sdtEndPr>
        <w:rPr>
          <w:color w:val="000000" w:themeColor="text1"/>
          <w14:textFill>
            <w14:solidFill>
              <w14:schemeClr w14:val="tx1"/>
            </w14:solidFill>
          </w14:textFill>
        </w:rPr>
      </w:sdtEndPr>
      <w:sdtContent>
        <w:p w14:paraId="2C35BA0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DF2A620">
      <w:pPr>
        <w:rPr>
          <w:color w:val="000000" w:themeColor="text1"/>
          <w14:textFill>
            <w14:solidFill>
              <w14:schemeClr w14:val="tx1"/>
            </w14:solidFill>
          </w14:textFill>
        </w:rPr>
      </w:pPr>
    </w:p>
    <w:p w14:paraId="60DC0FC9">
      <w:pPr>
        <w:rPr>
          <w:color w:val="000000" w:themeColor="text1"/>
          <w14:textFill>
            <w14:solidFill>
              <w14:schemeClr w14:val="tx1"/>
            </w14:solidFill>
          </w14:textFill>
        </w:rPr>
      </w:pPr>
    </w:p>
    <w:bookmarkEnd w:id="465"/>
    <w:p w14:paraId="75567D17">
      <w:pPr>
        <w:pStyle w:val="6"/>
        <w:numPr>
          <w:ilvl w:val="0"/>
          <w:numId w:val="116"/>
        </w:numPr>
        <w:rPr>
          <w:rFonts w:hint="eastAsia" w:ascii="宋体" w:hAnsi="宋体" w:cs="宋体"/>
          <w:color w:val="000000" w:themeColor="text1"/>
          <w:kern w:val="0"/>
          <w:szCs w:val="24"/>
          <w14:textFill>
            <w14:solidFill>
              <w14:schemeClr w14:val="tx1"/>
            </w14:solidFill>
          </w14:textFill>
        </w:rPr>
      </w:pPr>
      <w:bookmarkStart w:id="466" w:name="_Hlk167984472"/>
      <w:bookmarkStart w:id="467" w:name="_Hlk154149866"/>
      <w:bookmarkStart w:id="468" w:name="_Hlk10547119"/>
      <w:bookmarkStart w:id="469" w:name="_Hlk10547128"/>
      <w:r>
        <w:rPr>
          <w:rFonts w:hint="eastAsia" w:ascii="宋体" w:hAnsi="宋体" w:cs="宋体"/>
          <w:color w:val="000000" w:themeColor="text1"/>
          <w:kern w:val="0"/>
          <w:szCs w:val="24"/>
          <w14:textFill>
            <w14:solidFill>
              <w14:schemeClr w14:val="tx1"/>
            </w14:solidFill>
          </w14:textFill>
        </w:rPr>
        <w:t>坏账准备的情况</w:t>
      </w:r>
    </w:p>
    <w:sdt>
      <w:sdtPr>
        <w:rPr>
          <w:color w:val="000000" w:themeColor="text1"/>
          <w14:textFill>
            <w14:solidFill>
              <w14:schemeClr w14:val="tx1"/>
            </w14:solidFill>
          </w14:textFill>
        </w:rPr>
        <w:alias w:val="是否适用：母公司坏账准备情况[双击切换]"/>
        <w:tag w:val="_GBC_4dc2b543f39042eeba6f1a6da14a23c7"/>
        <w:id w:val="-1833363304"/>
        <w:placeholder>
          <w:docPart w:val="GBC22222222222222222222222222222"/>
        </w:placeholder>
      </w:sdtPr>
      <w:sdtEndPr>
        <w:rPr>
          <w:color w:val="000000" w:themeColor="text1"/>
          <w14:textFill>
            <w14:solidFill>
              <w14:schemeClr w14:val="tx1"/>
            </w14:solidFill>
          </w14:textFill>
        </w:rPr>
      </w:sdtEndPr>
      <w:sdtContent>
        <w:p w14:paraId="3AA66CC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3FEF3D6">
      <w:pPr>
        <w:rPr>
          <w:color w:val="000000" w:themeColor="text1"/>
          <w14:textFill>
            <w14:solidFill>
              <w14:schemeClr w14:val="tx1"/>
            </w14:solidFill>
          </w14:textFill>
        </w:rPr>
      </w:pPr>
    </w:p>
    <w:p w14:paraId="1DA8DEB9">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其中本期坏账准备收回或转回金额重要的：</w:t>
      </w:r>
    </w:p>
    <w:sdt>
      <w:sdtPr>
        <w:rPr>
          <w:color w:val="000000" w:themeColor="text1"/>
          <w14:textFill>
            <w14:solidFill>
              <w14:schemeClr w14:val="tx1"/>
            </w14:solidFill>
          </w14:textFill>
        </w:rPr>
        <w:alias w:val="是否适用：本期坏账准备收回或转回金额重要的[双击切换]"/>
        <w:tag w:val="_GBC_279266492b924c379c68ded1cd456b96"/>
        <w:id w:val="1159963813"/>
        <w:placeholder>
          <w:docPart w:val="GBC22222222222222222222222222222"/>
        </w:placeholder>
      </w:sdtPr>
      <w:sdtEndPr>
        <w:rPr>
          <w:color w:val="000000" w:themeColor="text1"/>
          <w14:textFill>
            <w14:solidFill>
              <w14:schemeClr w14:val="tx1"/>
            </w14:solidFill>
          </w14:textFill>
        </w:rPr>
      </w:sdtEndPr>
      <w:sdtContent>
        <w:p w14:paraId="0F8BF9A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8973B93">
      <w:pPr>
        <w:rPr>
          <w:color w:val="000000" w:themeColor="text1"/>
          <w14:textFill>
            <w14:solidFill>
              <w14:schemeClr w14:val="tx1"/>
            </w14:solidFill>
          </w14:textFill>
        </w:rPr>
      </w:pPr>
    </w:p>
    <w:p w14:paraId="23A1FB56">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母公司坏账准备情况的说明"/>
        <w:tag w:val="_GBC_3ab55111e91142e6a9275bfe02be4915"/>
        <w:id w:val="1384370326"/>
        <w:placeholder>
          <w:docPart w:val="GBC22222222222222222222222222222"/>
        </w:placeholder>
      </w:sdtPr>
      <w:sdtEndPr>
        <w:rPr>
          <w:color w:val="000000" w:themeColor="text1"/>
          <w14:textFill>
            <w14:solidFill>
              <w14:schemeClr w14:val="tx1"/>
            </w14:solidFill>
          </w14:textFill>
        </w:rPr>
      </w:sdtEndPr>
      <w:sdtContent>
        <w:p w14:paraId="1833D95A">
          <w:pPr>
            <w:ind w:right="42" w:rightChars="20"/>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182613A3">
      <w:pPr>
        <w:ind w:right="-1594" w:rightChars="-759"/>
        <w:rPr>
          <w:color w:val="000000" w:themeColor="text1"/>
          <w14:textFill>
            <w14:solidFill>
              <w14:schemeClr w14:val="tx1"/>
            </w14:solidFill>
          </w14:textFill>
        </w:rPr>
      </w:pPr>
    </w:p>
    <w:p w14:paraId="07CC01B3">
      <w:pPr>
        <w:pStyle w:val="6"/>
        <w:numPr>
          <w:ilvl w:val="0"/>
          <w:numId w:val="116"/>
        </w:numPr>
        <w:rPr>
          <w:rFonts w:hint="eastAsia"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本期实际核销的应收</w:t>
      </w:r>
      <w:r>
        <w:rPr>
          <w:rFonts w:hint="eastAsia" w:ascii="宋体" w:hAnsi="宋体" w:cs="宋体"/>
          <w:color w:val="000000" w:themeColor="text1"/>
          <w:kern w:val="0"/>
          <w:szCs w:val="24"/>
          <w14:textFill>
            <w14:solidFill>
              <w14:schemeClr w14:val="tx1"/>
            </w14:solidFill>
          </w14:textFill>
        </w:rPr>
        <w:t>利息</w:t>
      </w:r>
      <w:r>
        <w:rPr>
          <w:rFonts w:ascii="宋体" w:hAnsi="宋体" w:cs="宋体"/>
          <w:color w:val="000000" w:themeColor="text1"/>
          <w:kern w:val="0"/>
          <w:szCs w:val="24"/>
          <w14:textFill>
            <w14:solidFill>
              <w14:schemeClr w14:val="tx1"/>
            </w14:solidFill>
          </w14:textFill>
        </w:rPr>
        <w:t>情况</w:t>
      </w:r>
    </w:p>
    <w:sdt>
      <w:sdtPr>
        <w:rPr>
          <w:color w:val="000000" w:themeColor="text1"/>
          <w14:textFill>
            <w14:solidFill>
              <w14:schemeClr w14:val="tx1"/>
            </w14:solidFill>
          </w14:textFill>
        </w:rPr>
        <w:alias w:val="是否适用：实际核销的情况[双击切换]"/>
        <w:tag w:val="_GBC_e26e6d4104e24b8ba3faa4e27a6c1045"/>
        <w:id w:val="1766032635"/>
        <w:placeholder>
          <w:docPart w:val="GBC22222222222222222222222222222"/>
        </w:placeholder>
      </w:sdtPr>
      <w:sdtEndPr>
        <w:rPr>
          <w:color w:val="000000" w:themeColor="text1"/>
          <w14:textFill>
            <w14:solidFill>
              <w14:schemeClr w14:val="tx1"/>
            </w14:solidFill>
          </w14:textFill>
        </w:rPr>
      </w:sdtEndPr>
      <w:sdtContent>
        <w:p w14:paraId="5227F33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525892E">
      <w:pPr>
        <w:rPr>
          <w:color w:val="000000" w:themeColor="text1"/>
          <w14:textFill>
            <w14:solidFill>
              <w14:schemeClr w14:val="tx1"/>
            </w14:solidFill>
          </w14:textFill>
        </w:rPr>
      </w:pPr>
    </w:p>
    <w:p w14:paraId="61AA8854">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其中重要的应收利息核销情况</w:t>
      </w:r>
    </w:p>
    <w:sdt>
      <w:sdtPr>
        <w:rPr>
          <w:rFonts w:hint="eastAsia"/>
          <w:color w:val="000000" w:themeColor="text1"/>
          <w14:textFill>
            <w14:solidFill>
              <w14:schemeClr w14:val="tx1"/>
            </w14:solidFill>
          </w14:textFill>
        </w:rPr>
        <w:alias w:val="是否适用：母公司重要的核销情况[双击切换]"/>
        <w:tag w:val="_GBC_60da80ce578f488fb72578d4541af9c0"/>
        <w:id w:val="-2019070674"/>
        <w:placeholder>
          <w:docPart w:val="GBC22222222222222222222222222222"/>
        </w:placeholder>
      </w:sdtPr>
      <w:sdtEndPr>
        <w:rPr>
          <w:rFonts w:hint="eastAsia"/>
          <w:color w:val="000000" w:themeColor="text1"/>
          <w14:textFill>
            <w14:solidFill>
              <w14:schemeClr w14:val="tx1"/>
            </w14:solidFill>
          </w14:textFill>
        </w:rPr>
      </w:sdtEndPr>
      <w:sdtContent>
        <w:p w14:paraId="167AE6E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C8A4B7B">
      <w:pPr>
        <w:rPr>
          <w:color w:val="000000" w:themeColor="text1"/>
          <w14:textFill>
            <w14:solidFill>
              <w14:schemeClr w14:val="tx1"/>
            </w14:solidFill>
          </w14:textFill>
        </w:rPr>
      </w:pPr>
    </w:p>
    <w:p w14:paraId="03F910DA">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核销说明：</w:t>
      </w:r>
    </w:p>
    <w:sdt>
      <w:sdtPr>
        <w:rPr>
          <w:color w:val="000000" w:themeColor="text1"/>
          <w14:textFill>
            <w14:solidFill>
              <w14:schemeClr w14:val="tx1"/>
            </w14:solidFill>
          </w14:textFill>
        </w:rPr>
        <w:alias w:val="是否适用：母公司核销说明[双击切换]"/>
        <w:tag w:val="_GBC_ae6210dfe1cb4aa880cbee38195c69fa"/>
        <w:id w:val="1632666802"/>
        <w:placeholder>
          <w:docPart w:val="GBC22222222222222222222222222222"/>
        </w:placeholder>
      </w:sdtPr>
      <w:sdtEndPr>
        <w:rPr>
          <w:color w:val="000000" w:themeColor="text1"/>
          <w14:textFill>
            <w14:solidFill>
              <w14:schemeClr w14:val="tx1"/>
            </w14:solidFill>
          </w14:textFill>
        </w:rPr>
      </w:sdtEndPr>
      <w:sdtContent>
        <w:p w14:paraId="240D8404">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58E4666">
      <w:pPr>
        <w:rPr>
          <w:color w:val="000000" w:themeColor="text1"/>
          <w14:textFill>
            <w14:solidFill>
              <w14:schemeClr w14:val="tx1"/>
            </w14:solidFill>
          </w14:textFill>
        </w:rPr>
      </w:pPr>
    </w:p>
    <w:bookmarkEnd w:id="466"/>
    <w:bookmarkEnd w:id="467"/>
    <w:p w14:paraId="2E2F92B2">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bookmarkEnd w:id="468"/>
    </w:p>
    <w:sdt>
      <w:sdtPr>
        <w:rPr>
          <w:color w:val="000000" w:themeColor="text1"/>
          <w14:textFill>
            <w14:solidFill>
              <w14:schemeClr w14:val="tx1"/>
            </w14:solidFill>
          </w14:textFill>
        </w:rPr>
        <w:alias w:val="是否适用：母公司应收利息其他说明[双击切换]"/>
        <w:tag w:val="_GBC_936c374258514f469f2c9bb36b889c43"/>
        <w:id w:val="924839157"/>
        <w:placeholder>
          <w:docPart w:val="GBC22222222222222222222222222222"/>
        </w:placeholder>
      </w:sdtPr>
      <w:sdtEndPr>
        <w:rPr>
          <w:color w:val="000000" w:themeColor="text1"/>
          <w14:textFill>
            <w14:solidFill>
              <w14:schemeClr w14:val="tx1"/>
            </w14:solidFill>
          </w14:textFill>
        </w:rPr>
      </w:sdtEndPr>
      <w:sdtContent>
        <w:p w14:paraId="219B4F0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E347D03">
      <w:pPr>
        <w:rPr>
          <w:color w:val="000000" w:themeColor="text1"/>
          <w14:textFill>
            <w14:solidFill>
              <w14:schemeClr w14:val="tx1"/>
            </w14:solidFill>
          </w14:textFill>
        </w:rPr>
      </w:pPr>
    </w:p>
    <w:bookmarkEnd w:id="469"/>
    <w:p w14:paraId="1EACCD62">
      <w:pPr>
        <w:pStyle w:val="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应收股利</w:t>
      </w:r>
    </w:p>
    <w:p w14:paraId="664FF4A7">
      <w:pPr>
        <w:pStyle w:val="6"/>
        <w:numPr>
          <w:ilvl w:val="0"/>
          <w:numId w:val="117"/>
        </w:numPr>
      </w:pPr>
      <w:bookmarkStart w:id="470" w:name="_Hlk10547160"/>
      <w:bookmarkStart w:id="471" w:name="_Hlk10547171"/>
      <w:r>
        <w:rPr>
          <w:rFonts w:hint="eastAsia"/>
        </w:rPr>
        <w:t>应收股利</w:t>
      </w:r>
      <w:bookmarkEnd w:id="470"/>
    </w:p>
    <w:sdt>
      <w:sdtPr>
        <w:rPr>
          <w:color w:val="000000" w:themeColor="text1"/>
          <w14:textFill>
            <w14:solidFill>
              <w14:schemeClr w14:val="tx1"/>
            </w14:solidFill>
          </w14:textFill>
        </w:rPr>
        <w:alias w:val="是否适用：母公司应收股利[双击切换]"/>
        <w:tag w:val="_GBC_3f36acb68ddd426b990a146c5c14da80"/>
        <w:id w:val="1135613593"/>
        <w:placeholder>
          <w:docPart w:val="GBC22222222222222222222222222222"/>
        </w:placeholder>
      </w:sdtPr>
      <w:sdtEndPr>
        <w:rPr>
          <w:color w:val="000000" w:themeColor="text1"/>
          <w14:textFill>
            <w14:solidFill>
              <w14:schemeClr w14:val="tx1"/>
            </w14:solidFill>
          </w14:textFill>
        </w:rPr>
      </w:sdtEndPr>
      <w:sdtContent>
        <w:p w14:paraId="10985BF6">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3B67729">
      <w:pPr>
        <w:rPr>
          <w:color w:val="000000" w:themeColor="text1"/>
          <w14:textFill>
            <w14:solidFill>
              <w14:schemeClr w14:val="tx1"/>
            </w14:solidFill>
          </w14:textFill>
        </w:rPr>
      </w:pPr>
    </w:p>
    <w:bookmarkEnd w:id="471"/>
    <w:p w14:paraId="400CB80C">
      <w:pPr>
        <w:pStyle w:val="6"/>
        <w:numPr>
          <w:ilvl w:val="0"/>
          <w:numId w:val="117"/>
        </w:numPr>
        <w:rPr>
          <w:rFonts w:cs="宋体"/>
          <w:kern w:val="0"/>
          <w:szCs w:val="24"/>
        </w:rPr>
      </w:pPr>
      <w:bookmarkStart w:id="472" w:name="_Hlk10547188"/>
      <w:bookmarkStart w:id="473" w:name="_Hlk10547199"/>
      <w:r>
        <w:rPr>
          <w:rFonts w:hint="eastAsia" w:cs="宋体"/>
          <w:kern w:val="0"/>
          <w:szCs w:val="24"/>
        </w:rPr>
        <w:t>重要的账龄超过1年的应收股利</w:t>
      </w:r>
      <w:bookmarkEnd w:id="472"/>
    </w:p>
    <w:sdt>
      <w:sdtPr>
        <w:rPr>
          <w:color w:val="000000" w:themeColor="text1"/>
          <w14:textFill>
            <w14:solidFill>
              <w14:schemeClr w14:val="tx1"/>
            </w14:solidFill>
          </w14:textFill>
        </w:rPr>
        <w:alias w:val="是否适用：母公司重要的账龄超过1年的应收股利[双击切换]"/>
        <w:tag w:val="_GBC_5ce593c40926400393bed620009e5006"/>
        <w:id w:val="-640582200"/>
        <w:placeholder>
          <w:docPart w:val="GBC22222222222222222222222222222"/>
        </w:placeholder>
      </w:sdtPr>
      <w:sdtEndPr>
        <w:rPr>
          <w:color w:val="000000" w:themeColor="text1"/>
          <w14:textFill>
            <w14:solidFill>
              <w14:schemeClr w14:val="tx1"/>
            </w14:solidFill>
          </w14:textFill>
        </w:rPr>
      </w:sdtEndPr>
      <w:sdtContent>
        <w:p w14:paraId="672E480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A8A6378">
      <w:pPr>
        <w:rPr>
          <w:color w:val="000000" w:themeColor="text1"/>
          <w14:textFill>
            <w14:solidFill>
              <w14:schemeClr w14:val="tx1"/>
            </w14:solidFill>
          </w14:textFill>
        </w:rPr>
      </w:pPr>
    </w:p>
    <w:bookmarkEnd w:id="473"/>
    <w:p w14:paraId="758E9CD1">
      <w:pPr>
        <w:pStyle w:val="6"/>
        <w:numPr>
          <w:ilvl w:val="0"/>
          <w:numId w:val="117"/>
        </w:numPr>
        <w:rPr>
          <w:rFonts w:cs="宋体" w:asciiTheme="minorHAnsi" w:hAnsiTheme="minorHAnsi"/>
          <w:color w:val="000000" w:themeColor="text1"/>
          <w:kern w:val="0"/>
          <w:szCs w:val="22"/>
          <w14:textFill>
            <w14:solidFill>
              <w14:schemeClr w14:val="tx1"/>
            </w14:solidFill>
          </w14:textFill>
        </w:rPr>
      </w:pPr>
      <w:bookmarkStart w:id="474" w:name="_Hlk154150045"/>
      <w:bookmarkStart w:id="475" w:name="_Hlk168041814"/>
      <w:bookmarkStart w:id="476" w:name="_Hlk153790907"/>
      <w:r>
        <w:rPr>
          <w:rFonts w:hint="eastAsia" w:cs="宋体" w:asciiTheme="minorHAnsi" w:hAnsiTheme="minorHAnsi"/>
          <w:color w:val="000000" w:themeColor="text1"/>
          <w:kern w:val="0"/>
          <w:szCs w:val="22"/>
          <w14:textFill>
            <w14:solidFill>
              <w14:schemeClr w14:val="tx1"/>
            </w14:solidFill>
          </w14:textFill>
        </w:rPr>
        <w:t>按</w:t>
      </w:r>
      <w:r>
        <w:rPr>
          <w:rFonts w:cs="宋体" w:asciiTheme="minorHAnsi" w:hAnsiTheme="minorHAnsi"/>
          <w:color w:val="000000" w:themeColor="text1"/>
          <w:kern w:val="0"/>
          <w:szCs w:val="22"/>
          <w14:textFill>
            <w14:solidFill>
              <w14:schemeClr w14:val="tx1"/>
            </w14:solidFill>
          </w14:textFill>
        </w:rPr>
        <w:t>坏账计提方法分类</w:t>
      </w:r>
      <w:r>
        <w:rPr>
          <w:rFonts w:cs="宋体"/>
          <w:kern w:val="0"/>
          <w:szCs w:val="24"/>
        </w:rPr>
        <w:t>披露</w:t>
      </w:r>
    </w:p>
    <w:sdt>
      <w:sdtPr>
        <w:rPr>
          <w:color w:val="000000" w:themeColor="text1"/>
          <w14:textFill>
            <w14:solidFill>
              <w14:schemeClr w14:val="tx1"/>
            </w14:solidFill>
          </w14:textFill>
        </w:rPr>
        <w:alias w:val="是否适用：母公司按坏账计提方法分类披露[双击切换]"/>
        <w:tag w:val="_GBC_606fd71a57c6434eaa16ce805f815d2e"/>
        <w:id w:val="-646133694"/>
        <w:placeholder>
          <w:docPart w:val="GBC22222222222222222222222222222"/>
        </w:placeholder>
      </w:sdtPr>
      <w:sdtEndPr>
        <w:rPr>
          <w:color w:val="000000" w:themeColor="text1"/>
          <w14:textFill>
            <w14:solidFill>
              <w14:schemeClr w14:val="tx1"/>
            </w14:solidFill>
          </w14:textFill>
        </w:rPr>
      </w:sdtEndPr>
      <w:sdtContent>
        <w:p w14:paraId="4BA717B0">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CDD1ABE">
      <w:pPr>
        <w:rPr>
          <w:color w:val="000000" w:themeColor="text1"/>
          <w14:textFill>
            <w14:solidFill>
              <w14:schemeClr w14:val="tx1"/>
            </w14:solidFill>
          </w14:textFill>
        </w:rPr>
      </w:pPr>
    </w:p>
    <w:p w14:paraId="64449E11">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w:t>
      </w:r>
    </w:p>
    <w:sdt>
      <w:sdtPr>
        <w:rPr>
          <w:color w:val="000000" w:themeColor="text1"/>
          <w14:textFill>
            <w14:solidFill>
              <w14:schemeClr w14:val="tx1"/>
            </w14:solidFill>
          </w14:textFill>
        </w:rPr>
        <w:alias w:val="是否适用：母公司按单项计提坏账准备的详细情况[双击切换]"/>
        <w:tag w:val="_GBC_02d5c836df9842559c42aa2f751aa5ba"/>
        <w:id w:val="321387293"/>
        <w:placeholder>
          <w:docPart w:val="GBC22222222222222222222222222222"/>
        </w:placeholder>
      </w:sdtPr>
      <w:sdtEndPr>
        <w:rPr>
          <w:color w:val="000000" w:themeColor="text1"/>
          <w14:textFill>
            <w14:solidFill>
              <w14:schemeClr w14:val="tx1"/>
            </w14:solidFill>
          </w14:textFill>
        </w:rPr>
      </w:sdtEndPr>
      <w:sdtContent>
        <w:p w14:paraId="2407593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437CBCE">
      <w:pPr>
        <w:rPr>
          <w:color w:val="000000" w:themeColor="text1"/>
          <w14:textFill>
            <w14:solidFill>
              <w14:schemeClr w14:val="tx1"/>
            </w14:solidFill>
          </w14:textFill>
        </w:rPr>
      </w:pPr>
    </w:p>
    <w:p w14:paraId="7C51B7C3">
      <w:pPr>
        <w:rPr>
          <w:color w:val="000000" w:themeColor="text1"/>
          <w14:textFill>
            <w14:solidFill>
              <w14:schemeClr w14:val="tx1"/>
            </w14:solidFill>
          </w14:textFill>
        </w:rPr>
      </w:pPr>
      <w:r>
        <w:rPr>
          <w:rFonts w:hint="eastAsia"/>
          <w:color w:val="000000" w:themeColor="text1"/>
          <w14:textFill>
            <w14:solidFill>
              <w14:schemeClr w14:val="tx1"/>
            </w14:solidFill>
          </w14:textFill>
        </w:rPr>
        <w:t>按单项计提坏账准备的说明：</w:t>
      </w:r>
    </w:p>
    <w:sdt>
      <w:sdtPr>
        <w:rPr>
          <w:color w:val="000000" w:themeColor="text1"/>
          <w14:textFill>
            <w14:solidFill>
              <w14:schemeClr w14:val="tx1"/>
            </w14:solidFill>
          </w14:textFill>
        </w:rPr>
        <w:alias w:val="是否适用：母公司按单项计提坏账准备的说明[双击切换]"/>
        <w:tag w:val="_GBC_4af2b30a86cf42d091fd1188b15fbce6"/>
        <w:id w:val="861176173"/>
        <w:placeholder>
          <w:docPart w:val="GBC22222222222222222222222222222"/>
        </w:placeholder>
      </w:sdtPr>
      <w:sdtEndPr>
        <w:rPr>
          <w:color w:val="000000" w:themeColor="text1"/>
          <w14:textFill>
            <w14:solidFill>
              <w14:schemeClr w14:val="tx1"/>
            </w14:solidFill>
          </w14:textFill>
        </w:rPr>
      </w:sdtEndPr>
      <w:sdtContent>
        <w:p w14:paraId="3742CA17">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84FA415">
      <w:pPr>
        <w:rPr>
          <w:color w:val="000000" w:themeColor="text1"/>
          <w14:textFill>
            <w14:solidFill>
              <w14:schemeClr w14:val="tx1"/>
            </w14:solidFill>
          </w14:textFill>
        </w:rPr>
      </w:pPr>
    </w:p>
    <w:p w14:paraId="4256774C">
      <w:pPr>
        <w:rPr>
          <w:rFonts w:ascii="Calibri" w:hAnsi="Calibri" w:cs="Times New Roman"/>
          <w:bCs w:val="0"/>
          <w:color w:val="000000" w:themeColor="text1"/>
          <w:szCs w:val="22"/>
          <w14:textFill>
            <w14:solidFill>
              <w14:schemeClr w14:val="tx1"/>
            </w14:solidFill>
          </w14:textFill>
        </w:rPr>
      </w:pPr>
      <w:r>
        <w:rPr>
          <w:rFonts w:hint="eastAsia" w:ascii="Calibri" w:hAnsi="Calibri" w:cs="Times New Roman"/>
          <w:color w:val="000000" w:themeColor="text1"/>
          <w:szCs w:val="22"/>
          <w14:textFill>
            <w14:solidFill>
              <w14:schemeClr w14:val="tx1"/>
            </w14:solidFill>
          </w14:textFill>
        </w:rPr>
        <w:t>按组合计提坏账准备：</w:t>
      </w:r>
    </w:p>
    <w:sdt>
      <w:sdtPr>
        <w:rPr>
          <w:rFonts w:ascii="Calibri" w:hAnsi="Calibri" w:cs="Times New Roman"/>
          <w:bCs w:val="0"/>
          <w:color w:val="000000" w:themeColor="text1"/>
          <w:szCs w:val="22"/>
          <w14:textFill>
            <w14:solidFill>
              <w14:schemeClr w14:val="tx1"/>
            </w14:solidFill>
          </w14:textFill>
        </w:rPr>
        <w:alias w:val="是否适用：母公司按组合计提坏账准备的详细情况[双击切换]"/>
        <w:tag w:val="_GBC_9f9d44f1ec164a3da4b2c14d4d129121"/>
        <w:id w:val="-905147968"/>
        <w:placeholder>
          <w:docPart w:val="GBC22222222222222222222222222222"/>
        </w:placeholder>
      </w:sdtPr>
      <w:sdtEndPr>
        <w:rPr>
          <w:rFonts w:ascii="Calibri" w:hAnsi="Calibri" w:cs="Times New Roman"/>
          <w:bCs w:val="0"/>
          <w:color w:val="000000" w:themeColor="text1"/>
          <w:szCs w:val="22"/>
          <w14:textFill>
            <w14:solidFill>
              <w14:schemeClr w14:val="tx1"/>
            </w14:solidFill>
          </w14:textFill>
        </w:rPr>
      </w:sdtEndPr>
      <w:sdtContent>
        <w:p w14:paraId="0A2B64E5">
          <w:pPr>
            <w:rPr>
              <w:color w:val="000000" w:themeColor="text1"/>
              <w14:textFill>
                <w14:solidFill>
                  <w14:schemeClr w14:val="tx1"/>
                </w14:solidFill>
              </w14:textFill>
            </w:rPr>
          </w:pPr>
          <w:r>
            <w:rPr>
              <w:rFonts w:ascii="宋体" w:hAnsi="宋体" w:cs="Times New Roman"/>
              <w:bCs w:val="0"/>
              <w:color w:val="000000" w:themeColor="text1"/>
              <w:szCs w:val="22"/>
              <w14:textFill>
                <w14:solidFill>
                  <w14:schemeClr w14:val="tx1"/>
                </w14:solidFill>
              </w14:textFill>
            </w:rPr>
            <w:fldChar w:fldCharType="begin"/>
          </w:r>
          <w:r>
            <w:rPr>
              <w:rFonts w:hint="eastAsia" w:ascii="宋体" w:hAnsi="宋体" w:cs="Times New Roman"/>
              <w:color w:val="000000" w:themeColor="text1"/>
              <w:szCs w:val="22"/>
              <w14:textFill>
                <w14:solidFill>
                  <w14:schemeClr w14:val="tx1"/>
                </w14:solidFill>
              </w14:textFill>
            </w:rPr>
            <w:instrText xml:space="preserve"> MACROBUTTON  SnrToggleCheckbox □适用 </w:instrText>
          </w:r>
          <w:r>
            <w:rPr>
              <w:rFonts w:ascii="宋体" w:hAnsi="宋体" w:cs="Times New Roman"/>
              <w:bCs w:val="0"/>
              <w:color w:val="000000" w:themeColor="text1"/>
              <w:szCs w:val="22"/>
              <w14:textFill>
                <w14:solidFill>
                  <w14:schemeClr w14:val="tx1"/>
                </w14:solidFill>
              </w14:textFill>
            </w:rPr>
            <w:fldChar w:fldCharType="end"/>
          </w:r>
          <w:r>
            <w:rPr>
              <w:rFonts w:ascii="宋体" w:hAnsi="宋体" w:cs="Times New Roman"/>
              <w:bCs w:val="0"/>
              <w:color w:val="000000" w:themeColor="text1"/>
              <w:szCs w:val="22"/>
              <w14:textFill>
                <w14:solidFill>
                  <w14:schemeClr w14:val="tx1"/>
                </w14:solidFill>
              </w14:textFill>
            </w:rPr>
            <w:fldChar w:fldCharType="begin"/>
          </w:r>
          <w:r>
            <w:rPr>
              <w:rFonts w:hint="eastAsia" w:ascii="宋体" w:hAnsi="宋体" w:cs="Times New Roman"/>
              <w:color w:val="000000" w:themeColor="text1"/>
              <w:szCs w:val="22"/>
              <w14:textFill>
                <w14:solidFill>
                  <w14:schemeClr w14:val="tx1"/>
                </w14:solidFill>
              </w14:textFill>
            </w:rPr>
            <w:instrText xml:space="preserve"> MACROBUTTON  SnrToggleCheckbox √不适用 </w:instrText>
          </w:r>
          <w:r>
            <w:rPr>
              <w:rFonts w:ascii="宋体" w:hAnsi="宋体" w:cs="Times New Roman"/>
              <w:bCs w:val="0"/>
              <w:color w:val="000000" w:themeColor="text1"/>
              <w:szCs w:val="22"/>
              <w14:textFill>
                <w14:solidFill>
                  <w14:schemeClr w14:val="tx1"/>
                </w14:solidFill>
              </w14:textFill>
            </w:rPr>
            <w:fldChar w:fldCharType="end"/>
          </w:r>
        </w:p>
      </w:sdtContent>
    </w:sdt>
    <w:p w14:paraId="0AE93003">
      <w:pPr>
        <w:rPr>
          <w:color w:val="000000" w:themeColor="text1"/>
          <w14:textFill>
            <w14:solidFill>
              <w14:schemeClr w14:val="tx1"/>
            </w14:solidFill>
          </w14:textFill>
        </w:rPr>
      </w:pPr>
    </w:p>
    <w:p w14:paraId="2EE392E5">
      <w:pPr>
        <w:rPr>
          <w:rFonts w:ascii="Calibri" w:hAnsi="Calibri" w:cs="Times New Roman"/>
          <w:b/>
          <w:bCs w:val="0"/>
          <w:color w:val="000000" w:themeColor="text1"/>
          <w:szCs w:val="22"/>
          <w14:textFill>
            <w14:solidFill>
              <w14:schemeClr w14:val="tx1"/>
            </w14:solidFill>
          </w14:textFill>
        </w:rPr>
      </w:pPr>
    </w:p>
    <w:bookmarkEnd w:id="474"/>
    <w:bookmarkEnd w:id="475"/>
    <w:bookmarkEnd w:id="476"/>
    <w:p w14:paraId="6B8730AF">
      <w:pPr>
        <w:pStyle w:val="6"/>
        <w:numPr>
          <w:ilvl w:val="0"/>
          <w:numId w:val="117"/>
        </w:numPr>
        <w:rPr>
          <w:rFonts w:cs="宋体" w:asciiTheme="minorHAnsi" w:hAnsiTheme="minorHAnsi"/>
          <w:color w:val="000000" w:themeColor="text1"/>
          <w:kern w:val="0"/>
          <w:szCs w:val="22"/>
          <w14:textFill>
            <w14:solidFill>
              <w14:schemeClr w14:val="tx1"/>
            </w14:solidFill>
          </w14:textFill>
        </w:rPr>
      </w:pPr>
      <w:bookmarkStart w:id="477" w:name="_Hlk10547212"/>
      <w:bookmarkEnd w:id="477"/>
      <w:bookmarkStart w:id="478" w:name="_Hlk10547224"/>
      <w:r>
        <w:rPr>
          <w:rFonts w:hint="eastAsia" w:cs="宋体" w:asciiTheme="minorHAnsi" w:hAnsiTheme="minorHAnsi"/>
          <w:color w:val="000000" w:themeColor="text1"/>
          <w:kern w:val="0"/>
          <w:szCs w:val="22"/>
          <w14:textFill>
            <w14:solidFill>
              <w14:schemeClr w14:val="tx1"/>
            </w14:solidFill>
          </w14:textFill>
        </w:rPr>
        <w:t>按预期信用损失一般模型计提坏账准备</w:t>
      </w:r>
    </w:p>
    <w:sdt>
      <w:sdtPr>
        <w:rPr>
          <w:color w:val="000000" w:themeColor="text1"/>
          <w14:textFill>
            <w14:solidFill>
              <w14:schemeClr w14:val="tx1"/>
            </w14:solidFill>
          </w14:textFill>
        </w:rPr>
        <w:alias w:val="是否适用：母公司应收股利坏账准备调节表[双击切换]"/>
        <w:tag w:val="_GBC_9d130aecb6cb4874ac083fcdce5ee739"/>
        <w:id w:val="955457126"/>
        <w:placeholder>
          <w:docPart w:val="GBC22222222222222222222222222222"/>
        </w:placeholder>
      </w:sdtPr>
      <w:sdtEndPr>
        <w:rPr>
          <w:color w:val="000000" w:themeColor="text1"/>
          <w14:textFill>
            <w14:solidFill>
              <w14:schemeClr w14:val="tx1"/>
            </w14:solidFill>
          </w14:textFill>
        </w:rPr>
      </w:sdtEndPr>
      <w:sdtContent>
        <w:p w14:paraId="3C638D1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0EF7E68">
      <w:pPr>
        <w:rPr>
          <w:color w:val="000000" w:themeColor="text1"/>
          <w14:textFill>
            <w14:solidFill>
              <w14:schemeClr w14:val="tx1"/>
            </w14:solidFill>
          </w14:textFill>
        </w:rPr>
      </w:pPr>
    </w:p>
    <w:p w14:paraId="2ED15564">
      <w:pPr>
        <w:rPr>
          <w:color w:val="000000" w:themeColor="text1"/>
          <w14:textFill>
            <w14:solidFill>
              <w14:schemeClr w14:val="tx1"/>
            </w14:solidFill>
          </w14:textFill>
        </w:rPr>
      </w:pPr>
    </w:p>
    <w:bookmarkEnd w:id="478"/>
    <w:p w14:paraId="2FC5AFAD">
      <w:pPr>
        <w:pStyle w:val="6"/>
        <w:numPr>
          <w:ilvl w:val="0"/>
          <w:numId w:val="117"/>
        </w:numPr>
        <w:rPr>
          <w:rFonts w:hint="eastAsia" w:ascii="宋体" w:hAnsi="宋体" w:cs="宋体"/>
          <w:color w:val="000000" w:themeColor="text1"/>
          <w:kern w:val="0"/>
          <w:szCs w:val="24"/>
          <w14:textFill>
            <w14:solidFill>
              <w14:schemeClr w14:val="tx1"/>
            </w14:solidFill>
          </w14:textFill>
        </w:rPr>
      </w:pPr>
      <w:bookmarkStart w:id="479" w:name="_Hlk153792018"/>
      <w:bookmarkStart w:id="480" w:name="_Hlk154150256"/>
      <w:bookmarkStart w:id="481" w:name="_Hlk168042003"/>
      <w:r>
        <w:rPr>
          <w:rFonts w:hint="eastAsia" w:ascii="宋体" w:hAnsi="宋体" w:cs="宋体"/>
          <w:color w:val="000000" w:themeColor="text1"/>
          <w:kern w:val="0"/>
          <w:szCs w:val="24"/>
          <w14:textFill>
            <w14:solidFill>
              <w14:schemeClr w14:val="tx1"/>
            </w14:solidFill>
          </w14:textFill>
        </w:rPr>
        <w:t>坏账准备的情况</w:t>
      </w:r>
    </w:p>
    <w:sdt>
      <w:sdtPr>
        <w:rPr>
          <w:color w:val="000000" w:themeColor="text1"/>
          <w14:textFill>
            <w14:solidFill>
              <w14:schemeClr w14:val="tx1"/>
            </w14:solidFill>
          </w14:textFill>
        </w:rPr>
        <w:alias w:val="是否适用：母公司坏账准备情况[双击切换]"/>
        <w:tag w:val="_GBC_4359768bbe6b4db5aaabe9fec181f50a"/>
        <w:id w:val="-1220586550"/>
        <w:placeholder>
          <w:docPart w:val="GBC22222222222222222222222222222"/>
        </w:placeholder>
      </w:sdtPr>
      <w:sdtEndPr>
        <w:rPr>
          <w:color w:val="000000" w:themeColor="text1"/>
          <w14:textFill>
            <w14:solidFill>
              <w14:schemeClr w14:val="tx1"/>
            </w14:solidFill>
          </w14:textFill>
        </w:rPr>
      </w:sdtEndPr>
      <w:sdtContent>
        <w:p w14:paraId="72B926A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AAA1098">
      <w:pPr>
        <w:rPr>
          <w:color w:val="000000" w:themeColor="text1"/>
          <w14:textFill>
            <w14:solidFill>
              <w14:schemeClr w14:val="tx1"/>
            </w14:solidFill>
          </w14:textFill>
        </w:rPr>
      </w:pPr>
    </w:p>
    <w:p w14:paraId="440C0F22">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其中本期坏账准备收回或转回金额重要的：</w:t>
      </w:r>
    </w:p>
    <w:sdt>
      <w:sdtPr>
        <w:rPr>
          <w:color w:val="000000" w:themeColor="text1"/>
          <w14:textFill>
            <w14:solidFill>
              <w14:schemeClr w14:val="tx1"/>
            </w14:solidFill>
          </w14:textFill>
        </w:rPr>
        <w:alias w:val="是否适用：母公司本期坏账准备收回或转回金额重要的[双击切换]"/>
        <w:tag w:val="_GBC_15c983ff27c348dab992de66b12c1147"/>
        <w:id w:val="-273566231"/>
        <w:placeholder>
          <w:docPart w:val="GBC22222222222222222222222222222"/>
        </w:placeholder>
      </w:sdtPr>
      <w:sdtEndPr>
        <w:rPr>
          <w:color w:val="000000" w:themeColor="text1"/>
          <w14:textFill>
            <w14:solidFill>
              <w14:schemeClr w14:val="tx1"/>
            </w14:solidFill>
          </w14:textFill>
        </w:rPr>
      </w:sdtEndPr>
      <w:sdtContent>
        <w:p w14:paraId="581FFA7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649403E">
      <w:pPr>
        <w:rPr>
          <w:color w:val="000000" w:themeColor="text1"/>
          <w14:textFill>
            <w14:solidFill>
              <w14:schemeClr w14:val="tx1"/>
            </w14:solidFill>
          </w14:textFill>
        </w:rPr>
      </w:pPr>
    </w:p>
    <w:p w14:paraId="6675DCEE">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母公司坏账准备情况的说明"/>
        <w:tag w:val="_GBC_c23d2aac5be544dab9d6cfeb3fe4c5b9"/>
        <w:id w:val="-1258446753"/>
        <w:placeholder>
          <w:docPart w:val="GBC22222222222222222222222222222"/>
        </w:placeholder>
      </w:sdtPr>
      <w:sdtEndPr>
        <w:rPr>
          <w:color w:val="000000" w:themeColor="text1"/>
          <w14:textFill>
            <w14:solidFill>
              <w14:schemeClr w14:val="tx1"/>
            </w14:solidFill>
          </w14:textFill>
        </w:rPr>
      </w:sdtEndPr>
      <w:sdtContent>
        <w:p w14:paraId="52A98AF9">
          <w:pPr>
            <w:ind w:right="42" w:rightChars="20"/>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4D455D9B">
      <w:pPr>
        <w:ind w:right="-1594" w:rightChars="-759"/>
        <w:rPr>
          <w:color w:val="000000" w:themeColor="text1"/>
          <w14:textFill>
            <w14:solidFill>
              <w14:schemeClr w14:val="tx1"/>
            </w14:solidFill>
          </w14:textFill>
        </w:rPr>
      </w:pPr>
    </w:p>
    <w:p w14:paraId="7924D367">
      <w:pPr>
        <w:pStyle w:val="6"/>
        <w:numPr>
          <w:ilvl w:val="0"/>
          <w:numId w:val="117"/>
        </w:numPr>
        <w:rPr>
          <w:rFonts w:cs="宋体" w:asciiTheme="minorHAnsi" w:hAnsiTheme="minorHAnsi"/>
          <w:color w:val="000000" w:themeColor="text1"/>
          <w:kern w:val="0"/>
          <w:szCs w:val="22"/>
          <w14:textFill>
            <w14:solidFill>
              <w14:schemeClr w14:val="tx1"/>
            </w14:solidFill>
          </w14:textFill>
        </w:rPr>
      </w:pPr>
      <w:bookmarkStart w:id="482" w:name="_Hlk155883151"/>
      <w:r>
        <w:rPr>
          <w:rFonts w:cs="宋体" w:asciiTheme="minorHAnsi" w:hAnsiTheme="minorHAnsi"/>
          <w:color w:val="000000" w:themeColor="text1"/>
          <w:kern w:val="0"/>
          <w:szCs w:val="22"/>
          <w14:textFill>
            <w14:solidFill>
              <w14:schemeClr w14:val="tx1"/>
            </w14:solidFill>
          </w14:textFill>
        </w:rPr>
        <w:t>本期实际核销的应收</w:t>
      </w:r>
      <w:r>
        <w:rPr>
          <w:rFonts w:hint="eastAsia" w:cs="宋体" w:asciiTheme="minorHAnsi" w:hAnsiTheme="minorHAnsi"/>
          <w:color w:val="000000" w:themeColor="text1"/>
          <w:kern w:val="0"/>
          <w:szCs w:val="22"/>
          <w14:textFill>
            <w14:solidFill>
              <w14:schemeClr w14:val="tx1"/>
            </w14:solidFill>
          </w14:textFill>
        </w:rPr>
        <w:t>股利</w:t>
      </w:r>
      <w:r>
        <w:rPr>
          <w:rFonts w:ascii="宋体" w:hAnsi="宋体" w:cs="宋体"/>
          <w:color w:val="000000" w:themeColor="text1"/>
          <w:kern w:val="0"/>
          <w:szCs w:val="24"/>
          <w14:textFill>
            <w14:solidFill>
              <w14:schemeClr w14:val="tx1"/>
            </w14:solidFill>
          </w14:textFill>
        </w:rPr>
        <w:t>情况</w:t>
      </w:r>
    </w:p>
    <w:sdt>
      <w:sdtPr>
        <w:rPr>
          <w:color w:val="000000" w:themeColor="text1"/>
          <w14:textFill>
            <w14:solidFill>
              <w14:schemeClr w14:val="tx1"/>
            </w14:solidFill>
          </w14:textFill>
        </w:rPr>
        <w:alias w:val="是否适用：母公司实际核销的情况[双击切换]"/>
        <w:tag w:val="_GBC_aa389cb741114553a4e1a7aed4aa319e"/>
        <w:id w:val="-1171251529"/>
        <w:placeholder>
          <w:docPart w:val="GBC22222222222222222222222222222"/>
        </w:placeholder>
      </w:sdtPr>
      <w:sdtEndPr>
        <w:rPr>
          <w:color w:val="000000" w:themeColor="text1"/>
          <w14:textFill>
            <w14:solidFill>
              <w14:schemeClr w14:val="tx1"/>
            </w14:solidFill>
          </w14:textFill>
        </w:rPr>
      </w:sdtEndPr>
      <w:sdtContent>
        <w:p w14:paraId="55F10A6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DA8957B">
      <w:pPr>
        <w:rPr>
          <w:color w:val="000000" w:themeColor="text1"/>
          <w14:textFill>
            <w14:solidFill>
              <w14:schemeClr w14:val="tx1"/>
            </w14:solidFill>
          </w14:textFill>
        </w:rPr>
      </w:pPr>
    </w:p>
    <w:bookmarkEnd w:id="482"/>
    <w:p w14:paraId="1B29DEA0">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其中重要的应收股利核销情况</w:t>
      </w:r>
    </w:p>
    <w:sdt>
      <w:sdtPr>
        <w:rPr>
          <w:rFonts w:hint="eastAsia"/>
          <w:color w:val="000000" w:themeColor="text1"/>
          <w14:textFill>
            <w14:solidFill>
              <w14:schemeClr w14:val="tx1"/>
            </w14:solidFill>
          </w14:textFill>
        </w:rPr>
        <w:alias w:val="是否适用：母公司重要的核销情况[双击切换]"/>
        <w:tag w:val="_GBC_146148b0997846e4bafed15556419cf8"/>
        <w:id w:val="-625848686"/>
        <w:placeholder>
          <w:docPart w:val="GBC22222222222222222222222222222"/>
        </w:placeholder>
      </w:sdtPr>
      <w:sdtEndPr>
        <w:rPr>
          <w:rFonts w:hint="eastAsia"/>
          <w:color w:val="000000" w:themeColor="text1"/>
          <w14:textFill>
            <w14:solidFill>
              <w14:schemeClr w14:val="tx1"/>
            </w14:solidFill>
          </w14:textFill>
        </w:rPr>
      </w:sdtEndPr>
      <w:sdtContent>
        <w:p w14:paraId="52C9CAB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E3269BA">
      <w:pPr>
        <w:rPr>
          <w:color w:val="000000" w:themeColor="text1"/>
          <w14:textFill>
            <w14:solidFill>
              <w14:schemeClr w14:val="tx1"/>
            </w14:solidFill>
          </w14:textFill>
        </w:rPr>
      </w:pPr>
    </w:p>
    <w:p w14:paraId="22722E0A">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核销说明：</w:t>
      </w:r>
    </w:p>
    <w:sdt>
      <w:sdtPr>
        <w:rPr>
          <w:color w:val="000000" w:themeColor="text1"/>
          <w14:textFill>
            <w14:solidFill>
              <w14:schemeClr w14:val="tx1"/>
            </w14:solidFill>
          </w14:textFill>
        </w:rPr>
        <w:alias w:val="是否适用：母公司核销说明[双击切换]"/>
        <w:tag w:val="_GBC_61aa391f7973406cadb21e662d9b01ec"/>
        <w:id w:val="-2136484302"/>
        <w:placeholder>
          <w:docPart w:val="GBC22222222222222222222222222222"/>
        </w:placeholder>
      </w:sdtPr>
      <w:sdtEndPr>
        <w:rPr>
          <w:color w:val="000000" w:themeColor="text1"/>
          <w14:textFill>
            <w14:solidFill>
              <w14:schemeClr w14:val="tx1"/>
            </w14:solidFill>
          </w14:textFill>
        </w:rPr>
      </w:sdtEndPr>
      <w:sdtContent>
        <w:p w14:paraId="366A31B2">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3014A4A">
      <w:pPr>
        <w:rPr>
          <w:color w:val="000000" w:themeColor="text1"/>
          <w14:textFill>
            <w14:solidFill>
              <w14:schemeClr w14:val="tx1"/>
            </w14:solidFill>
          </w14:textFill>
        </w:rPr>
      </w:pPr>
    </w:p>
    <w:bookmarkEnd w:id="479"/>
    <w:bookmarkEnd w:id="480"/>
    <w:bookmarkEnd w:id="481"/>
    <w:p w14:paraId="038BBD72">
      <w:pPr>
        <w:rPr>
          <w:color w:val="000000" w:themeColor="text1"/>
          <w14:textFill>
            <w14:solidFill>
              <w14:schemeClr w14:val="tx1"/>
            </w14:solidFill>
          </w14:textFill>
        </w:rPr>
      </w:pPr>
      <w:bookmarkStart w:id="483" w:name="_Hlk10547234"/>
      <w:bookmarkStart w:id="484" w:name="_Hlk10547244"/>
      <w:r>
        <w:rPr>
          <w:rFonts w:hint="eastAsia"/>
          <w:color w:val="000000" w:themeColor="text1"/>
          <w14:textFill>
            <w14:solidFill>
              <w14:schemeClr w14:val="tx1"/>
            </w14:solidFill>
          </w14:textFill>
        </w:rPr>
        <w:t>其他说明：</w:t>
      </w:r>
      <w:bookmarkEnd w:id="483"/>
    </w:p>
    <w:sdt>
      <w:sdtPr>
        <w:rPr>
          <w:color w:val="000000" w:themeColor="text1"/>
          <w14:textFill>
            <w14:solidFill>
              <w14:schemeClr w14:val="tx1"/>
            </w14:solidFill>
          </w14:textFill>
        </w:rPr>
        <w:alias w:val="是否适用：母公司应收股利其他说明[双击切换]"/>
        <w:tag w:val="_GBC_79a2eb8844e84fe3b78bb5ffcf2a57d5"/>
        <w:id w:val="-1822960475"/>
        <w:placeholder>
          <w:docPart w:val="GBC22222222222222222222222222222"/>
        </w:placeholder>
      </w:sdtPr>
      <w:sdtEndPr>
        <w:rPr>
          <w:color w:val="000000" w:themeColor="text1"/>
          <w14:textFill>
            <w14:solidFill>
              <w14:schemeClr w14:val="tx1"/>
            </w14:solidFill>
          </w14:textFill>
        </w:rPr>
      </w:sdtEndPr>
      <w:sdtContent>
        <w:p w14:paraId="58191C2E">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65AE7A0">
      <w:pPr>
        <w:rPr>
          <w:color w:val="000000" w:themeColor="text1"/>
          <w14:textFill>
            <w14:solidFill>
              <w14:schemeClr w14:val="tx1"/>
            </w14:solidFill>
          </w14:textFill>
        </w:rPr>
      </w:pPr>
    </w:p>
    <w:bookmarkEnd w:id="484"/>
    <w:p w14:paraId="7874D9EF">
      <w:pPr>
        <w:pStyle w:val="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其他应收款</w:t>
      </w:r>
    </w:p>
    <w:p w14:paraId="35D9ACD9">
      <w:pPr>
        <w:pStyle w:val="6"/>
        <w:numPr>
          <w:ilvl w:val="0"/>
          <w:numId w:val="118"/>
        </w:numPr>
        <w:ind w:left="425" w:hanging="425"/>
        <w:rPr>
          <w:rFonts w:cs="宋体" w:asciiTheme="minorHAnsi" w:hAnsiTheme="minorHAnsi"/>
          <w:color w:val="000000" w:themeColor="text1"/>
          <w:kern w:val="0"/>
          <w:szCs w:val="22"/>
          <w14:textFill>
            <w14:solidFill>
              <w14:schemeClr w14:val="tx1"/>
            </w14:solidFill>
          </w14:textFill>
        </w:rPr>
      </w:pPr>
      <w:bookmarkStart w:id="485" w:name="_Hlk153797719"/>
      <w:bookmarkStart w:id="486" w:name="_Hlk168042601"/>
      <w:r>
        <w:rPr>
          <w:rFonts w:hint="eastAsia" w:cs="宋体" w:asciiTheme="minorHAnsi" w:hAnsiTheme="minorHAnsi"/>
          <w:color w:val="000000" w:themeColor="text1"/>
          <w:kern w:val="0"/>
          <w:szCs w:val="22"/>
          <w14:textFill>
            <w14:solidFill>
              <w14:schemeClr w14:val="tx1"/>
            </w14:solidFill>
          </w14:textFill>
        </w:rPr>
        <w:t>按账龄披露</w:t>
      </w:r>
    </w:p>
    <w:sdt>
      <w:sdtPr>
        <w:rPr>
          <w:color w:val="000000" w:themeColor="text1"/>
          <w14:textFill>
            <w14:solidFill>
              <w14:schemeClr w14:val="tx1"/>
            </w14:solidFill>
          </w14:textFill>
        </w:rPr>
        <w:alias w:val="是否适用：母公司其他应收款按账龄披露[双击切换]"/>
        <w:tag w:val="_GBC_5b9c67da114b4f51b08890c9615bd1d4"/>
        <w:id w:val="-1798824400"/>
        <w:placeholder>
          <w:docPart w:val="GBC22222222222222222222222222222"/>
        </w:placeholder>
      </w:sdtPr>
      <w:sdtEndPr>
        <w:rPr>
          <w:color w:val="000000" w:themeColor="text1"/>
          <w14:textFill>
            <w14:solidFill>
              <w14:schemeClr w14:val="tx1"/>
            </w14:solidFill>
          </w14:textFill>
        </w:rPr>
      </w:sdtEndPr>
      <w:sdtContent>
        <w:p w14:paraId="7AC8C09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291772A">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母公司其他应收款按账龄披露"/>
          <w:tag w:val="_GBC_6ab414dc01fc4a13acb3e3755a5cc201"/>
          <w:id w:val="161632998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母公司其他应收款按账龄披露"/>
          <w:tag w:val="_GBC_043422dceaa24b4d9763b5cc6404b654"/>
          <w:id w:val="-8060052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3" w:type="dxa"/>
          <w:bottom w:w="0" w:type="dxa"/>
          <w:right w:w="113" w:type="dxa"/>
        </w:tblCellMar>
      </w:tblPr>
      <w:tblGrid>
        <w:gridCol w:w="2993"/>
        <w:gridCol w:w="2915"/>
        <w:gridCol w:w="2915"/>
      </w:tblGrid>
      <w:tr w14:paraId="75D4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sdt>
          <w:sdtPr>
            <w:tag w:val="_PLD_af35a4cb8d9748a7bccbc4e491ccfe60"/>
            <w:id w:val="-561403927"/>
          </w:sdtPr>
          <w:sdtContent>
            <w:tc>
              <w:tcPr>
                <w:tcW w:w="1696" w:type="pct"/>
                <w:tcBorders>
                  <w:top w:val="single" w:color="auto" w:sz="4" w:space="0"/>
                  <w:left w:val="single" w:color="auto" w:sz="4" w:space="0"/>
                  <w:bottom w:val="single" w:color="auto" w:sz="4" w:space="0"/>
                  <w:right w:val="single" w:color="auto" w:sz="4" w:space="0"/>
                </w:tcBorders>
                <w:vAlign w:val="center"/>
              </w:tcPr>
              <w:p w14:paraId="2195481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账龄</w:t>
                </w:r>
              </w:p>
            </w:tc>
          </w:sdtContent>
        </w:sdt>
        <w:sdt>
          <w:sdtPr>
            <w:tag w:val="_PLD_21e0bb0de0cb4a07bdd466a200c90bfc"/>
            <w:id w:val="-74900862"/>
          </w:sdtPr>
          <w:sdtContent>
            <w:tc>
              <w:tcPr>
                <w:tcW w:w="1652" w:type="pct"/>
                <w:tcBorders>
                  <w:top w:val="single" w:color="auto" w:sz="4" w:space="0"/>
                  <w:left w:val="single" w:color="auto" w:sz="4" w:space="0"/>
                  <w:bottom w:val="single" w:color="auto" w:sz="4" w:space="0"/>
                  <w:right w:val="single" w:color="auto" w:sz="4" w:space="0"/>
                </w:tcBorders>
                <w:vAlign w:val="center"/>
              </w:tcPr>
              <w:p w14:paraId="76FC9A2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期末账面余额</w:t>
                </w:r>
              </w:p>
            </w:tc>
          </w:sdtContent>
        </w:sdt>
        <w:tc>
          <w:tcPr>
            <w:tcW w:w="1652" w:type="pct"/>
            <w:tcBorders>
              <w:top w:val="single" w:color="auto" w:sz="4" w:space="0"/>
              <w:left w:val="single" w:color="auto" w:sz="4" w:space="0"/>
              <w:bottom w:val="single" w:color="auto" w:sz="4" w:space="0"/>
              <w:right w:val="single" w:color="auto" w:sz="4" w:space="0"/>
            </w:tcBorders>
          </w:tcPr>
          <w:sdt>
            <w:sdtPr>
              <w:tag w:val="_PLD_6e9631382f39495983e2cd57b3906040"/>
              <w:id w:val="1136995843"/>
            </w:sdtPr>
            <w:sdtContent>
              <w:p w14:paraId="53B22F7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期初账面余额</w:t>
                </w:r>
              </w:p>
            </w:sdtContent>
          </w:sdt>
        </w:tc>
      </w:tr>
      <w:tr w14:paraId="1CEF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01F59878">
            <w:pPr>
              <w:rPr>
                <w:color w:val="000000" w:themeColor="text1"/>
                <w14:textFill>
                  <w14:solidFill>
                    <w14:schemeClr w14:val="tx1"/>
                  </w14:solidFill>
                </w14:textFill>
              </w:rPr>
            </w:pPr>
            <w:r>
              <w:rPr>
                <w:rFonts w:hint="eastAsia"/>
                <w:color w:val="000000" w:themeColor="text1"/>
                <w14:textFill>
                  <w14:solidFill>
                    <w14:schemeClr w14:val="tx1"/>
                  </w14:solidFill>
                </w14:textFill>
              </w:rPr>
              <w:t>1年以内（含1年）</w:t>
            </w:r>
          </w:p>
        </w:tc>
        <w:tc>
          <w:tcPr>
            <w:tcW w:w="1652" w:type="pct"/>
            <w:tcBorders>
              <w:top w:val="single" w:color="auto" w:sz="4" w:space="0"/>
              <w:left w:val="single" w:color="auto" w:sz="4" w:space="0"/>
              <w:bottom w:val="single" w:color="auto" w:sz="4" w:space="0"/>
              <w:right w:val="single" w:color="auto" w:sz="4" w:space="0"/>
            </w:tcBorders>
          </w:tcPr>
          <w:p w14:paraId="45E6D47D">
            <w:pPr>
              <w:jc w:val="right"/>
            </w:pPr>
            <w:r>
              <w:t>442,610,832.71</w:t>
            </w:r>
          </w:p>
        </w:tc>
        <w:tc>
          <w:tcPr>
            <w:tcW w:w="1652" w:type="pct"/>
            <w:tcBorders>
              <w:top w:val="single" w:color="auto" w:sz="4" w:space="0"/>
              <w:left w:val="single" w:color="auto" w:sz="4" w:space="0"/>
              <w:bottom w:val="single" w:color="auto" w:sz="4" w:space="0"/>
              <w:right w:val="single" w:color="auto" w:sz="4" w:space="0"/>
            </w:tcBorders>
          </w:tcPr>
          <w:p w14:paraId="43728F49">
            <w:pPr>
              <w:jc w:val="right"/>
            </w:pPr>
            <w:r>
              <w:t>450,327,197.41</w:t>
            </w:r>
          </w:p>
        </w:tc>
      </w:tr>
      <w:tr w14:paraId="36405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359094F7">
            <w:r>
              <w:rPr>
                <w:rFonts w:hint="eastAsia"/>
              </w:rPr>
              <w:t>其中：1年以内分项</w:t>
            </w:r>
          </w:p>
        </w:tc>
        <w:tc>
          <w:tcPr>
            <w:tcW w:w="1652" w:type="pct"/>
            <w:tcBorders>
              <w:top w:val="single" w:color="auto" w:sz="4" w:space="0"/>
              <w:left w:val="single" w:color="auto" w:sz="4" w:space="0"/>
              <w:bottom w:val="single" w:color="auto" w:sz="4" w:space="0"/>
              <w:right w:val="single" w:color="auto" w:sz="4" w:space="0"/>
            </w:tcBorders>
          </w:tcPr>
          <w:p w14:paraId="06AF8B52">
            <w:pPr>
              <w:jc w:val="right"/>
            </w:pPr>
          </w:p>
        </w:tc>
        <w:tc>
          <w:tcPr>
            <w:tcW w:w="1652" w:type="pct"/>
            <w:tcBorders>
              <w:top w:val="single" w:color="auto" w:sz="4" w:space="0"/>
              <w:left w:val="single" w:color="auto" w:sz="4" w:space="0"/>
              <w:bottom w:val="single" w:color="auto" w:sz="4" w:space="0"/>
              <w:right w:val="single" w:color="auto" w:sz="4" w:space="0"/>
            </w:tcBorders>
          </w:tcPr>
          <w:p w14:paraId="17807620">
            <w:pPr>
              <w:jc w:val="right"/>
            </w:pPr>
          </w:p>
        </w:tc>
      </w:tr>
      <w:tr w14:paraId="35AF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vAlign w:val="center"/>
          </w:tcPr>
          <w:p w14:paraId="7FDE4827">
            <w:r>
              <w:rPr>
                <w:rFonts w:hint="eastAsia"/>
              </w:rPr>
              <w:t>1</w:t>
            </w:r>
            <w:r>
              <w:rPr>
                <w:rFonts w:hint="eastAsia" w:ascii="宋体" w:hAnsi="宋体"/>
              </w:rPr>
              <w:t>年以内</w:t>
            </w:r>
          </w:p>
        </w:tc>
        <w:tc>
          <w:tcPr>
            <w:tcW w:w="1652" w:type="pct"/>
            <w:tcBorders>
              <w:top w:val="single" w:color="auto" w:sz="4" w:space="0"/>
              <w:left w:val="single" w:color="auto" w:sz="4" w:space="0"/>
              <w:bottom w:val="single" w:color="auto" w:sz="4" w:space="0"/>
              <w:right w:val="single" w:color="auto" w:sz="4" w:space="0"/>
            </w:tcBorders>
          </w:tcPr>
          <w:p w14:paraId="0D82EC71">
            <w:pPr>
              <w:jc w:val="right"/>
            </w:pPr>
          </w:p>
        </w:tc>
        <w:tc>
          <w:tcPr>
            <w:tcW w:w="1652" w:type="pct"/>
            <w:tcBorders>
              <w:top w:val="single" w:color="auto" w:sz="4" w:space="0"/>
              <w:left w:val="single" w:color="auto" w:sz="4" w:space="0"/>
              <w:bottom w:val="single" w:color="auto" w:sz="4" w:space="0"/>
              <w:right w:val="single" w:color="auto" w:sz="4" w:space="0"/>
            </w:tcBorders>
          </w:tcPr>
          <w:p w14:paraId="72B570A8">
            <w:pPr>
              <w:jc w:val="right"/>
            </w:pPr>
          </w:p>
        </w:tc>
      </w:tr>
      <w:tr w14:paraId="0407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vAlign w:val="center"/>
          </w:tcPr>
          <w:p w14:paraId="5DA2673B">
            <w:r>
              <w:rPr>
                <w:rFonts w:hint="eastAsia"/>
              </w:rPr>
              <w:t>1</w:t>
            </w:r>
            <w:r>
              <w:rPr>
                <w:rFonts w:hint="eastAsia" w:ascii="宋体" w:hAnsi="宋体"/>
              </w:rPr>
              <w:t>年以内小计</w:t>
            </w:r>
          </w:p>
        </w:tc>
        <w:tc>
          <w:tcPr>
            <w:tcW w:w="1652" w:type="pct"/>
            <w:tcBorders>
              <w:top w:val="single" w:color="auto" w:sz="4" w:space="0"/>
              <w:left w:val="single" w:color="auto" w:sz="4" w:space="0"/>
              <w:bottom w:val="single" w:color="auto" w:sz="4" w:space="0"/>
              <w:right w:val="single" w:color="auto" w:sz="4" w:space="0"/>
            </w:tcBorders>
          </w:tcPr>
          <w:p w14:paraId="3A5F184D">
            <w:pPr>
              <w:jc w:val="right"/>
            </w:pPr>
            <w:r>
              <w:t>442,610,832.71</w:t>
            </w:r>
          </w:p>
        </w:tc>
        <w:tc>
          <w:tcPr>
            <w:tcW w:w="1652" w:type="pct"/>
            <w:tcBorders>
              <w:top w:val="single" w:color="auto" w:sz="4" w:space="0"/>
              <w:left w:val="single" w:color="auto" w:sz="4" w:space="0"/>
              <w:bottom w:val="single" w:color="auto" w:sz="4" w:space="0"/>
              <w:right w:val="single" w:color="auto" w:sz="4" w:space="0"/>
            </w:tcBorders>
          </w:tcPr>
          <w:p w14:paraId="6D3421F4">
            <w:pPr>
              <w:jc w:val="right"/>
            </w:pPr>
            <w:r>
              <w:t>450,327,197.41</w:t>
            </w:r>
          </w:p>
        </w:tc>
      </w:tr>
      <w:tr w14:paraId="2327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2F04DE39">
            <w:pPr>
              <w:rPr>
                <w:color w:val="000000" w:themeColor="text1"/>
                <w14:textFill>
                  <w14:solidFill>
                    <w14:schemeClr w14:val="tx1"/>
                  </w14:solidFill>
                </w14:textFill>
              </w:rPr>
            </w:pPr>
            <w:r>
              <w:rPr>
                <w:rFonts w:hint="eastAsia"/>
                <w:color w:val="000000" w:themeColor="text1"/>
                <w14:textFill>
                  <w14:solidFill>
                    <w14:schemeClr w14:val="tx1"/>
                  </w14:solidFill>
                </w14:textFill>
              </w:rPr>
              <w:t>1至2年</w:t>
            </w:r>
          </w:p>
        </w:tc>
        <w:tc>
          <w:tcPr>
            <w:tcW w:w="1652" w:type="pct"/>
            <w:tcBorders>
              <w:top w:val="single" w:color="auto" w:sz="4" w:space="0"/>
              <w:left w:val="single" w:color="auto" w:sz="4" w:space="0"/>
              <w:bottom w:val="single" w:color="auto" w:sz="4" w:space="0"/>
              <w:right w:val="single" w:color="auto" w:sz="4" w:space="0"/>
            </w:tcBorders>
          </w:tcPr>
          <w:p w14:paraId="68CDF74A">
            <w:pPr>
              <w:jc w:val="right"/>
            </w:pPr>
          </w:p>
        </w:tc>
        <w:tc>
          <w:tcPr>
            <w:tcW w:w="1652" w:type="pct"/>
            <w:tcBorders>
              <w:top w:val="single" w:color="auto" w:sz="4" w:space="0"/>
              <w:left w:val="single" w:color="auto" w:sz="4" w:space="0"/>
              <w:bottom w:val="single" w:color="auto" w:sz="4" w:space="0"/>
              <w:right w:val="single" w:color="auto" w:sz="4" w:space="0"/>
            </w:tcBorders>
          </w:tcPr>
          <w:p w14:paraId="4094AFC5">
            <w:pPr>
              <w:jc w:val="right"/>
            </w:pPr>
            <w:r>
              <w:rPr>
                <w:rFonts w:hint="eastAsia"/>
              </w:rPr>
              <w:t>17.06</w:t>
            </w:r>
          </w:p>
        </w:tc>
      </w:tr>
      <w:tr w14:paraId="4B6A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4C384C39">
            <w:pPr>
              <w:rPr>
                <w:color w:val="000000" w:themeColor="text1"/>
                <w14:textFill>
                  <w14:solidFill>
                    <w14:schemeClr w14:val="tx1"/>
                  </w14:solidFill>
                </w14:textFill>
              </w:rPr>
            </w:pPr>
            <w:r>
              <w:rPr>
                <w:rFonts w:hint="eastAsia"/>
                <w:color w:val="000000" w:themeColor="text1"/>
                <w14:textFill>
                  <w14:solidFill>
                    <w14:schemeClr w14:val="tx1"/>
                  </w14:solidFill>
                </w14:textFill>
              </w:rPr>
              <w:t>2至3年</w:t>
            </w:r>
          </w:p>
        </w:tc>
        <w:tc>
          <w:tcPr>
            <w:tcW w:w="1652" w:type="pct"/>
            <w:tcBorders>
              <w:top w:val="single" w:color="auto" w:sz="4" w:space="0"/>
              <w:left w:val="single" w:color="auto" w:sz="4" w:space="0"/>
              <w:bottom w:val="single" w:color="auto" w:sz="4" w:space="0"/>
              <w:right w:val="single" w:color="auto" w:sz="4" w:space="0"/>
            </w:tcBorders>
          </w:tcPr>
          <w:p w14:paraId="26D1092A">
            <w:pPr>
              <w:jc w:val="right"/>
            </w:pPr>
          </w:p>
        </w:tc>
        <w:tc>
          <w:tcPr>
            <w:tcW w:w="1652" w:type="pct"/>
            <w:tcBorders>
              <w:top w:val="single" w:color="auto" w:sz="4" w:space="0"/>
              <w:left w:val="single" w:color="auto" w:sz="4" w:space="0"/>
              <w:bottom w:val="single" w:color="auto" w:sz="4" w:space="0"/>
              <w:right w:val="single" w:color="auto" w:sz="4" w:space="0"/>
            </w:tcBorders>
          </w:tcPr>
          <w:p w14:paraId="3C595DA9">
            <w:pPr>
              <w:jc w:val="right"/>
            </w:pPr>
            <w:r>
              <w:t>2,692.36</w:t>
            </w:r>
          </w:p>
        </w:tc>
      </w:tr>
      <w:tr w14:paraId="69BC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5F5BA5A7">
            <w:pPr>
              <w:rPr>
                <w:color w:val="000000" w:themeColor="text1"/>
                <w14:textFill>
                  <w14:solidFill>
                    <w14:schemeClr w14:val="tx1"/>
                  </w14:solidFill>
                </w14:textFill>
              </w:rPr>
            </w:pPr>
            <w:r>
              <w:rPr>
                <w:rFonts w:hint="eastAsia"/>
                <w:color w:val="000000" w:themeColor="text1"/>
                <w14:textFill>
                  <w14:solidFill>
                    <w14:schemeClr w14:val="tx1"/>
                  </w14:solidFill>
                </w14:textFill>
              </w:rPr>
              <w:t>3年以上</w:t>
            </w:r>
          </w:p>
        </w:tc>
        <w:tc>
          <w:tcPr>
            <w:tcW w:w="1652" w:type="pct"/>
            <w:tcBorders>
              <w:top w:val="single" w:color="auto" w:sz="4" w:space="0"/>
              <w:left w:val="single" w:color="auto" w:sz="4" w:space="0"/>
              <w:bottom w:val="single" w:color="auto" w:sz="4" w:space="0"/>
              <w:right w:val="single" w:color="auto" w:sz="4" w:space="0"/>
            </w:tcBorders>
          </w:tcPr>
          <w:p w14:paraId="59EED46E">
            <w:pPr>
              <w:jc w:val="right"/>
            </w:pPr>
            <w:r>
              <w:t>960,055.05</w:t>
            </w:r>
          </w:p>
        </w:tc>
        <w:tc>
          <w:tcPr>
            <w:tcW w:w="1652" w:type="pct"/>
            <w:tcBorders>
              <w:top w:val="single" w:color="auto" w:sz="4" w:space="0"/>
              <w:left w:val="single" w:color="auto" w:sz="4" w:space="0"/>
              <w:bottom w:val="single" w:color="auto" w:sz="4" w:space="0"/>
              <w:right w:val="single" w:color="auto" w:sz="4" w:space="0"/>
            </w:tcBorders>
          </w:tcPr>
          <w:p w14:paraId="3A5854DB">
            <w:pPr>
              <w:jc w:val="right"/>
            </w:pPr>
            <w:r>
              <w:t>960,055.05</w:t>
            </w:r>
          </w:p>
        </w:tc>
      </w:tr>
      <w:tr w14:paraId="2F18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724B1B0B">
            <w:pPr>
              <w:rPr>
                <w:color w:val="000000" w:themeColor="text1"/>
                <w14:textFill>
                  <w14:solidFill>
                    <w14:schemeClr w14:val="tx1"/>
                  </w14:solidFill>
                </w14:textFill>
              </w:rPr>
            </w:pPr>
            <w:r>
              <w:rPr>
                <w:rFonts w:hint="eastAsia"/>
                <w:color w:val="000000" w:themeColor="text1"/>
                <w14:textFill>
                  <w14:solidFill>
                    <w14:schemeClr w14:val="tx1"/>
                  </w14:solidFill>
                </w14:textFill>
              </w:rPr>
              <w:t>3至4年</w:t>
            </w:r>
          </w:p>
        </w:tc>
        <w:tc>
          <w:tcPr>
            <w:tcW w:w="1652" w:type="pct"/>
            <w:tcBorders>
              <w:top w:val="single" w:color="auto" w:sz="4" w:space="0"/>
              <w:left w:val="single" w:color="auto" w:sz="4" w:space="0"/>
              <w:bottom w:val="single" w:color="auto" w:sz="4" w:space="0"/>
              <w:right w:val="single" w:color="auto" w:sz="4" w:space="0"/>
            </w:tcBorders>
          </w:tcPr>
          <w:p w14:paraId="46597739">
            <w:pPr>
              <w:jc w:val="right"/>
            </w:pPr>
          </w:p>
        </w:tc>
        <w:tc>
          <w:tcPr>
            <w:tcW w:w="1652" w:type="pct"/>
            <w:tcBorders>
              <w:top w:val="single" w:color="auto" w:sz="4" w:space="0"/>
              <w:left w:val="single" w:color="auto" w:sz="4" w:space="0"/>
              <w:bottom w:val="single" w:color="auto" w:sz="4" w:space="0"/>
              <w:right w:val="single" w:color="auto" w:sz="4" w:space="0"/>
            </w:tcBorders>
          </w:tcPr>
          <w:p w14:paraId="713F93DB">
            <w:pPr>
              <w:jc w:val="right"/>
            </w:pPr>
          </w:p>
        </w:tc>
      </w:tr>
      <w:tr w14:paraId="53DD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4C1EA700">
            <w:pPr>
              <w:rPr>
                <w:color w:val="000000" w:themeColor="text1"/>
                <w14:textFill>
                  <w14:solidFill>
                    <w14:schemeClr w14:val="tx1"/>
                  </w14:solidFill>
                </w14:textFill>
              </w:rPr>
            </w:pPr>
            <w:r>
              <w:rPr>
                <w:rFonts w:hint="eastAsia"/>
                <w:color w:val="000000" w:themeColor="text1"/>
                <w14:textFill>
                  <w14:solidFill>
                    <w14:schemeClr w14:val="tx1"/>
                  </w14:solidFill>
                </w14:textFill>
              </w:rPr>
              <w:t>4至5年</w:t>
            </w:r>
          </w:p>
        </w:tc>
        <w:tc>
          <w:tcPr>
            <w:tcW w:w="1652" w:type="pct"/>
            <w:tcBorders>
              <w:top w:val="single" w:color="auto" w:sz="4" w:space="0"/>
              <w:left w:val="single" w:color="auto" w:sz="4" w:space="0"/>
              <w:bottom w:val="single" w:color="auto" w:sz="4" w:space="0"/>
              <w:right w:val="single" w:color="auto" w:sz="4" w:space="0"/>
            </w:tcBorders>
          </w:tcPr>
          <w:p w14:paraId="4EF99972">
            <w:pPr>
              <w:jc w:val="right"/>
            </w:pPr>
          </w:p>
        </w:tc>
        <w:tc>
          <w:tcPr>
            <w:tcW w:w="1652" w:type="pct"/>
            <w:tcBorders>
              <w:top w:val="single" w:color="auto" w:sz="4" w:space="0"/>
              <w:left w:val="single" w:color="auto" w:sz="4" w:space="0"/>
              <w:bottom w:val="single" w:color="auto" w:sz="4" w:space="0"/>
              <w:right w:val="single" w:color="auto" w:sz="4" w:space="0"/>
            </w:tcBorders>
          </w:tcPr>
          <w:p w14:paraId="58807A36">
            <w:pPr>
              <w:jc w:val="right"/>
            </w:pPr>
          </w:p>
        </w:tc>
      </w:tr>
      <w:tr w14:paraId="2D22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tcPr>
          <w:p w14:paraId="6D03F38F">
            <w:pPr>
              <w:rPr>
                <w:color w:val="000000" w:themeColor="text1"/>
                <w14:textFill>
                  <w14:solidFill>
                    <w14:schemeClr w14:val="tx1"/>
                  </w14:solidFill>
                </w14:textFill>
              </w:rPr>
            </w:pPr>
            <w:r>
              <w:rPr>
                <w:rFonts w:hint="eastAsia"/>
                <w:color w:val="000000" w:themeColor="text1"/>
                <w14:textFill>
                  <w14:solidFill>
                    <w14:schemeClr w14:val="tx1"/>
                  </w14:solidFill>
                </w14:textFill>
              </w:rPr>
              <w:t>5年以上</w:t>
            </w:r>
          </w:p>
        </w:tc>
        <w:tc>
          <w:tcPr>
            <w:tcW w:w="1652" w:type="pct"/>
            <w:tcBorders>
              <w:top w:val="single" w:color="auto" w:sz="4" w:space="0"/>
              <w:left w:val="single" w:color="auto" w:sz="4" w:space="0"/>
              <w:bottom w:val="single" w:color="auto" w:sz="4" w:space="0"/>
              <w:right w:val="single" w:color="auto" w:sz="4" w:space="0"/>
            </w:tcBorders>
          </w:tcPr>
          <w:p w14:paraId="4BA39DB3">
            <w:pPr>
              <w:jc w:val="right"/>
            </w:pPr>
          </w:p>
        </w:tc>
        <w:tc>
          <w:tcPr>
            <w:tcW w:w="1652" w:type="pct"/>
            <w:tcBorders>
              <w:top w:val="single" w:color="auto" w:sz="4" w:space="0"/>
              <w:left w:val="single" w:color="auto" w:sz="4" w:space="0"/>
              <w:bottom w:val="single" w:color="auto" w:sz="4" w:space="0"/>
              <w:right w:val="single" w:color="auto" w:sz="4" w:space="0"/>
            </w:tcBorders>
          </w:tcPr>
          <w:p w14:paraId="5EE5B378">
            <w:pPr>
              <w:jc w:val="right"/>
            </w:pPr>
          </w:p>
        </w:tc>
      </w:tr>
      <w:tr w14:paraId="6375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696" w:type="pct"/>
            <w:tcBorders>
              <w:top w:val="single" w:color="auto" w:sz="4" w:space="0"/>
              <w:left w:val="single" w:color="auto" w:sz="4" w:space="0"/>
              <w:bottom w:val="single" w:color="auto" w:sz="4" w:space="0"/>
              <w:right w:val="single" w:color="auto" w:sz="4" w:space="0"/>
            </w:tcBorders>
            <w:vAlign w:val="center"/>
          </w:tcPr>
          <w:p w14:paraId="1BE17CD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652" w:type="pct"/>
            <w:tcBorders>
              <w:top w:val="single" w:color="auto" w:sz="4" w:space="0"/>
              <w:left w:val="single" w:color="auto" w:sz="4" w:space="0"/>
              <w:bottom w:val="single" w:color="auto" w:sz="4" w:space="0"/>
              <w:right w:val="single" w:color="auto" w:sz="4" w:space="0"/>
            </w:tcBorders>
          </w:tcPr>
          <w:p w14:paraId="347F4C07">
            <w:pPr>
              <w:jc w:val="right"/>
            </w:pPr>
            <w:r>
              <w:t>443,570,887.76</w:t>
            </w:r>
          </w:p>
        </w:tc>
        <w:tc>
          <w:tcPr>
            <w:tcW w:w="1652" w:type="pct"/>
            <w:tcBorders>
              <w:top w:val="single" w:color="auto" w:sz="4" w:space="0"/>
              <w:left w:val="single" w:color="auto" w:sz="4" w:space="0"/>
              <w:bottom w:val="single" w:color="auto" w:sz="4" w:space="0"/>
              <w:right w:val="single" w:color="auto" w:sz="4" w:space="0"/>
            </w:tcBorders>
          </w:tcPr>
          <w:p w14:paraId="12946F0E">
            <w:pPr>
              <w:jc w:val="right"/>
            </w:pPr>
            <w:r>
              <w:t>451,289,961.88</w:t>
            </w:r>
          </w:p>
        </w:tc>
      </w:tr>
    </w:tbl>
    <w:p w14:paraId="1ED88E08">
      <w:pPr>
        <w:rPr>
          <w:color w:val="000000" w:themeColor="text1"/>
          <w14:textFill>
            <w14:solidFill>
              <w14:schemeClr w14:val="tx1"/>
            </w14:solidFill>
          </w14:textFill>
        </w:rPr>
      </w:pPr>
    </w:p>
    <w:bookmarkEnd w:id="485"/>
    <w:bookmarkEnd w:id="486"/>
    <w:p w14:paraId="74CD8333">
      <w:pPr>
        <w:pStyle w:val="6"/>
        <w:numPr>
          <w:ilvl w:val="0"/>
          <w:numId w:val="118"/>
        </w:numPr>
        <w:ind w:left="425" w:hanging="425"/>
        <w:rPr>
          <w:rFonts w:cs="宋体" w:asciiTheme="minorHAnsi" w:hAnsiTheme="minorHAnsi"/>
          <w:color w:val="000000" w:themeColor="text1"/>
          <w:kern w:val="0"/>
          <w:szCs w:val="22"/>
          <w14:textFill>
            <w14:solidFill>
              <w14:schemeClr w14:val="tx1"/>
            </w14:solidFill>
          </w14:textFill>
        </w:rPr>
      </w:pPr>
      <w:bookmarkStart w:id="487" w:name="_Hlk10547648"/>
      <w:r>
        <w:rPr>
          <w:rFonts w:hint="eastAsia" w:cs="宋体" w:asciiTheme="minorHAnsi" w:hAnsiTheme="minorHAnsi"/>
          <w:color w:val="000000" w:themeColor="text1"/>
          <w:kern w:val="0"/>
          <w:szCs w:val="22"/>
          <w14:textFill>
            <w14:solidFill>
              <w14:schemeClr w14:val="tx1"/>
            </w14:solidFill>
          </w14:textFill>
        </w:rPr>
        <w:t>按款项性质分类情况</w:t>
      </w:r>
    </w:p>
    <w:sdt>
      <w:sdtPr>
        <w:rPr>
          <w:color w:val="000000" w:themeColor="text1"/>
          <w14:textFill>
            <w14:solidFill>
              <w14:schemeClr w14:val="tx1"/>
            </w14:solidFill>
          </w14:textFill>
        </w:rPr>
        <w:alias w:val="是否适用：母公司其他应收款按款项性质分类情况[双击切换]"/>
        <w:tag w:val="_GBC_101fec10ac1f41f39330610cac041192"/>
        <w:id w:val="1986037972"/>
        <w:placeholder>
          <w:docPart w:val="GBC22222222222222222222222222222"/>
        </w:placeholder>
      </w:sdtPr>
      <w:sdtEndPr>
        <w:rPr>
          <w:color w:val="000000" w:themeColor="text1"/>
          <w14:textFill>
            <w14:solidFill>
              <w14:schemeClr w14:val="tx1"/>
            </w14:solidFill>
          </w14:textFill>
        </w:rPr>
      </w:sdtEndPr>
      <w:sdtContent>
        <w:p w14:paraId="0B2F218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A2533F2">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财务附注：母公司其他应收款按款项性质分类情况"/>
          <w:tag w:val="_GBC_cdfadb9bdd864b32a99df11dec001a83"/>
          <w:id w:val="-189819800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母公司其他应收款按款项性质分类情况"/>
          <w:tag w:val="_GBC_cac854cfb75144bc86635f44f78d6611"/>
          <w:id w:val="6199609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0"/>
        <w:gridCol w:w="2906"/>
        <w:gridCol w:w="2917"/>
      </w:tblGrid>
      <w:tr w14:paraId="06E1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797d39f4d1fd488e93d36af61d0bebfd"/>
            <w:id w:val="710538086"/>
          </w:sdtPr>
          <w:sdtContent>
            <w:tc>
              <w:tcPr>
                <w:tcW w:w="1700" w:type="pct"/>
                <w:vAlign w:val="center"/>
              </w:tcPr>
              <w:p w14:paraId="70469BD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款项性质</w:t>
                </w:r>
              </w:p>
            </w:tc>
          </w:sdtContent>
        </w:sdt>
        <w:sdt>
          <w:sdtPr>
            <w:tag w:val="_PLD_7853db088d0a4b218482e741ebbac8e0"/>
            <w:id w:val="-297539235"/>
          </w:sdtPr>
          <w:sdtContent>
            <w:tc>
              <w:tcPr>
                <w:tcW w:w="1647" w:type="pct"/>
                <w:vAlign w:val="center"/>
              </w:tcPr>
              <w:p w14:paraId="5FD5412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期末账面余额</w:t>
                </w:r>
              </w:p>
            </w:tc>
          </w:sdtContent>
        </w:sdt>
        <w:sdt>
          <w:sdtPr>
            <w:tag w:val="_PLD_56ab744bffee4ad28664bdf9e16551e2"/>
            <w:id w:val="4716194"/>
          </w:sdtPr>
          <w:sdtContent>
            <w:tc>
              <w:tcPr>
                <w:tcW w:w="1653" w:type="pct"/>
                <w:vAlign w:val="center"/>
              </w:tcPr>
              <w:p w14:paraId="13322C8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期初账面余额</w:t>
                </w:r>
              </w:p>
            </w:tc>
          </w:sdtContent>
        </w:sdt>
      </w:tr>
      <w:tr w14:paraId="0A30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pct"/>
            <w:vAlign w:val="center"/>
          </w:tcPr>
          <w:p w14:paraId="206CC43F">
            <w:pPr>
              <w:rPr>
                <w:highlight w:val="yellow"/>
              </w:rPr>
            </w:pPr>
            <w:r>
              <w:rPr>
                <w:rFonts w:ascii="宋体" w:hAnsi="宋体"/>
              </w:rPr>
              <w:t>单位往来款项</w:t>
            </w:r>
          </w:p>
        </w:tc>
        <w:tc>
          <w:tcPr>
            <w:tcW w:w="1647" w:type="pct"/>
          </w:tcPr>
          <w:p w14:paraId="07B16E05">
            <w:pPr>
              <w:jc w:val="right"/>
            </w:pPr>
            <w:r>
              <w:t>443,275,938.24</w:t>
            </w:r>
          </w:p>
        </w:tc>
        <w:tc>
          <w:tcPr>
            <w:tcW w:w="1653" w:type="pct"/>
          </w:tcPr>
          <w:p w14:paraId="3CD67415">
            <w:pPr>
              <w:jc w:val="right"/>
            </w:pPr>
            <w:r>
              <w:t>450,600,224.62</w:t>
            </w:r>
          </w:p>
        </w:tc>
      </w:tr>
      <w:tr w14:paraId="7AAE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pct"/>
            <w:vAlign w:val="center"/>
          </w:tcPr>
          <w:p w14:paraId="737A2803">
            <w:pPr>
              <w:rPr>
                <w:highlight w:val="yellow"/>
              </w:rPr>
            </w:pPr>
            <w:r>
              <w:rPr>
                <w:rFonts w:ascii="宋体" w:hAnsi="宋体"/>
              </w:rPr>
              <w:t>个人往来款项</w:t>
            </w:r>
          </w:p>
        </w:tc>
        <w:tc>
          <w:tcPr>
            <w:tcW w:w="1647" w:type="pct"/>
          </w:tcPr>
          <w:p w14:paraId="305DFF44">
            <w:pPr>
              <w:jc w:val="right"/>
            </w:pPr>
            <w:r>
              <w:t>293,349.52</w:t>
            </w:r>
          </w:p>
        </w:tc>
        <w:tc>
          <w:tcPr>
            <w:tcW w:w="1653" w:type="pct"/>
          </w:tcPr>
          <w:p w14:paraId="21169711">
            <w:pPr>
              <w:jc w:val="right"/>
            </w:pPr>
            <w:r>
              <w:t>688,137.26</w:t>
            </w:r>
          </w:p>
        </w:tc>
      </w:tr>
      <w:tr w14:paraId="6EDF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pct"/>
            <w:vAlign w:val="center"/>
          </w:tcPr>
          <w:p w14:paraId="74185BC1">
            <w:pPr>
              <w:rPr>
                <w:highlight w:val="yellow"/>
              </w:rPr>
            </w:pPr>
            <w:r>
              <w:rPr>
                <w:rFonts w:ascii="宋体" w:hAnsi="宋体"/>
              </w:rPr>
              <w:t>保证金及押金</w:t>
            </w:r>
          </w:p>
        </w:tc>
        <w:tc>
          <w:tcPr>
            <w:tcW w:w="1647" w:type="pct"/>
          </w:tcPr>
          <w:p w14:paraId="6584F5C5">
            <w:pPr>
              <w:jc w:val="right"/>
            </w:pPr>
            <w:r>
              <w:t>1,600.00</w:t>
            </w:r>
          </w:p>
        </w:tc>
        <w:tc>
          <w:tcPr>
            <w:tcW w:w="1653" w:type="pct"/>
          </w:tcPr>
          <w:p w14:paraId="38D56DBE">
            <w:pPr>
              <w:jc w:val="right"/>
            </w:pPr>
            <w:r>
              <w:t>1,600.00</w:t>
            </w:r>
          </w:p>
        </w:tc>
      </w:tr>
      <w:tr w14:paraId="7CB6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pct"/>
          </w:tcPr>
          <w:p w14:paraId="05F356D1">
            <w:pPr>
              <w:jc w:val="center"/>
              <w:rPr>
                <w:color w:val="000000" w:themeColor="text1"/>
                <w14:textFill>
                  <w14:solidFill>
                    <w14:schemeClr w14:val="tx1"/>
                  </w14:solidFill>
                </w14:textFill>
              </w:rPr>
            </w:pPr>
            <w:r>
              <w:rPr>
                <w:color w:val="000000" w:themeColor="text1"/>
                <w14:textFill>
                  <w14:solidFill>
                    <w14:schemeClr w14:val="tx1"/>
                  </w14:solidFill>
                </w14:textFill>
              </w:rPr>
              <w:t>合计</w:t>
            </w:r>
          </w:p>
        </w:tc>
        <w:tc>
          <w:tcPr>
            <w:tcW w:w="1647" w:type="pct"/>
          </w:tcPr>
          <w:p w14:paraId="63563A8F">
            <w:pPr>
              <w:jc w:val="right"/>
            </w:pPr>
            <w:r>
              <w:t>443,570,887.76</w:t>
            </w:r>
          </w:p>
        </w:tc>
        <w:tc>
          <w:tcPr>
            <w:tcW w:w="1653" w:type="pct"/>
          </w:tcPr>
          <w:p w14:paraId="7E116759">
            <w:pPr>
              <w:jc w:val="right"/>
            </w:pPr>
            <w:r>
              <w:t>451,289,961.88</w:t>
            </w:r>
          </w:p>
        </w:tc>
      </w:tr>
    </w:tbl>
    <w:p w14:paraId="083D0CC4">
      <w:pPr>
        <w:rPr>
          <w:color w:val="000000" w:themeColor="text1"/>
          <w14:textFill>
            <w14:solidFill>
              <w14:schemeClr w14:val="tx1"/>
            </w14:solidFill>
          </w14:textFill>
        </w:rPr>
      </w:pPr>
    </w:p>
    <w:bookmarkEnd w:id="487"/>
    <w:p w14:paraId="291F6132">
      <w:pPr>
        <w:pStyle w:val="6"/>
        <w:numPr>
          <w:ilvl w:val="0"/>
          <w:numId w:val="118"/>
        </w:numPr>
        <w:ind w:left="425" w:hanging="425"/>
        <w:rPr>
          <w:rFonts w:cs="宋体" w:asciiTheme="minorHAnsi" w:hAnsiTheme="minorHAnsi"/>
          <w:color w:val="000000" w:themeColor="text1"/>
          <w:kern w:val="0"/>
          <w:szCs w:val="22"/>
          <w14:textFill>
            <w14:solidFill>
              <w14:schemeClr w14:val="tx1"/>
            </w14:solidFill>
          </w14:textFill>
        </w:rPr>
      </w:pPr>
      <w:bookmarkStart w:id="488" w:name="_Hlk10547765"/>
      <w:r>
        <w:rPr>
          <w:rFonts w:hint="eastAsia" w:cs="宋体" w:asciiTheme="minorHAnsi" w:hAnsiTheme="minorHAnsi"/>
          <w:color w:val="000000" w:themeColor="text1"/>
          <w:kern w:val="0"/>
          <w:szCs w:val="22"/>
          <w14:textFill>
            <w14:solidFill>
              <w14:schemeClr w14:val="tx1"/>
            </w14:solidFill>
          </w14:textFill>
        </w:rPr>
        <w:t>坏账准备计提情况</w:t>
      </w:r>
    </w:p>
    <w:sdt>
      <w:sdtPr>
        <w:rPr>
          <w:color w:val="000000" w:themeColor="text1"/>
          <w14:textFill>
            <w14:solidFill>
              <w14:schemeClr w14:val="tx1"/>
            </w14:solidFill>
          </w14:textFill>
        </w:rPr>
        <w:alias w:val="是否适用：母公司其他应收款坏账准备调节表[双击切换]"/>
        <w:tag w:val="_GBC_550996ad46c8493eb98c011d7acf7dfb"/>
        <w:id w:val="40944732"/>
        <w:placeholder>
          <w:docPart w:val="GBC22222222222222222222222222222"/>
        </w:placeholder>
      </w:sdtPr>
      <w:sdtEndPr>
        <w:rPr>
          <w:color w:val="000000" w:themeColor="text1"/>
          <w14:textFill>
            <w14:solidFill>
              <w14:schemeClr w14:val="tx1"/>
            </w14:solidFill>
          </w14:textFill>
        </w:rPr>
      </w:sdtEndPr>
      <w:sdtContent>
        <w:p w14:paraId="33E0722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99D2E3B">
      <w:pPr>
        <w:rPr>
          <w:color w:val="000000" w:themeColor="text1"/>
          <w14:textFill>
            <w14:solidFill>
              <w14:schemeClr w14:val="tx1"/>
            </w14:solidFill>
          </w14:textFill>
        </w:rPr>
      </w:pPr>
    </w:p>
    <w:p w14:paraId="3E035CC8">
      <w:pPr>
        <w:rPr>
          <w:color w:val="000000" w:themeColor="text1"/>
          <w14:textFill>
            <w14:solidFill>
              <w14:schemeClr w14:val="tx1"/>
            </w14:solidFill>
          </w14:textFill>
        </w:rPr>
      </w:pPr>
    </w:p>
    <w:bookmarkEnd w:id="488"/>
    <w:p w14:paraId="220B4C36">
      <w:pPr>
        <w:pStyle w:val="6"/>
        <w:numPr>
          <w:ilvl w:val="0"/>
          <w:numId w:val="118"/>
        </w:numPr>
        <w:ind w:left="425" w:hanging="425"/>
        <w:rPr>
          <w:rFonts w:cs="宋体" w:asciiTheme="minorHAnsi" w:hAnsiTheme="minorHAnsi"/>
          <w:color w:val="000000" w:themeColor="text1"/>
          <w:kern w:val="0"/>
          <w:szCs w:val="22"/>
          <w14:textFill>
            <w14:solidFill>
              <w14:schemeClr w14:val="tx1"/>
            </w14:solidFill>
          </w14:textFill>
        </w:rPr>
      </w:pPr>
      <w:bookmarkStart w:id="489" w:name="_Hlk10548122"/>
      <w:r>
        <w:rPr>
          <w:rFonts w:hint="eastAsia" w:cs="宋体" w:asciiTheme="minorHAnsi" w:hAnsiTheme="minorHAnsi"/>
          <w:color w:val="000000" w:themeColor="text1"/>
          <w:kern w:val="0"/>
          <w:szCs w:val="22"/>
          <w14:textFill>
            <w14:solidFill>
              <w14:schemeClr w14:val="tx1"/>
            </w14:solidFill>
          </w14:textFill>
        </w:rPr>
        <w:t>坏账准备的情况</w:t>
      </w:r>
    </w:p>
    <w:sdt>
      <w:sdtPr>
        <w:rPr>
          <w:color w:val="000000" w:themeColor="text1"/>
          <w14:textFill>
            <w14:solidFill>
              <w14:schemeClr w14:val="tx1"/>
            </w14:solidFill>
          </w14:textFill>
        </w:rPr>
        <w:alias w:val="是否适用：其他应收款坏账准备[双击切换]"/>
        <w:tag w:val="_GBC_746f45a984d44f56a795e5587d8e7cf2"/>
        <w:id w:val="633064776"/>
        <w:placeholder>
          <w:docPart w:val="GBC22222222222222222222222222222"/>
        </w:placeholder>
      </w:sdtPr>
      <w:sdtEndPr>
        <w:rPr>
          <w:color w:val="000000" w:themeColor="text1"/>
          <w14:textFill>
            <w14:solidFill>
              <w14:schemeClr w14:val="tx1"/>
            </w14:solidFill>
          </w14:textFill>
        </w:rPr>
      </w:sdtEndPr>
      <w:sdtContent>
        <w:p w14:paraId="43EAEB5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5F75382">
      <w:pPr>
        <w:rPr>
          <w:color w:val="000000" w:themeColor="text1"/>
          <w14:textFill>
            <w14:solidFill>
              <w14:schemeClr w14:val="tx1"/>
            </w14:solidFill>
          </w14:textFill>
        </w:rPr>
      </w:pPr>
    </w:p>
    <w:bookmarkEnd w:id="489"/>
    <w:p w14:paraId="265424BB">
      <w:pPr>
        <w:rPr>
          <w:color w:val="000000" w:themeColor="text1"/>
          <w14:textFill>
            <w14:solidFill>
              <w14:schemeClr w14:val="tx1"/>
            </w14:solidFill>
          </w14:textFill>
        </w:rPr>
      </w:pPr>
      <w:bookmarkStart w:id="490" w:name="_Hlk168055794"/>
      <w:r>
        <w:rPr>
          <w:rFonts w:hint="eastAsia"/>
          <w:color w:val="000000" w:themeColor="text1"/>
          <w14:textFill>
            <w14:solidFill>
              <w14:schemeClr w14:val="tx1"/>
            </w14:solidFill>
          </w14:textFill>
        </w:rPr>
        <w:t>其中本期坏账准备转回或收回金额重要的：</w:t>
      </w:r>
    </w:p>
    <w:sdt>
      <w:sdtPr>
        <w:rPr>
          <w:color w:val="000000" w:themeColor="text1"/>
          <w14:textFill>
            <w14:solidFill>
              <w14:schemeClr w14:val="tx1"/>
            </w14:solidFill>
          </w14:textFill>
        </w:rPr>
        <w:alias w:val="是否适用：母公司其他应收款坏账准备转回或收回金额重要的[双击切换]"/>
        <w:tag w:val="_GBC_98cb10e0ff8642ad9141960d4dbb7d85"/>
        <w:id w:val="1959609986"/>
        <w:placeholder>
          <w:docPart w:val="GBC22222222222222222222222222222"/>
        </w:placeholder>
      </w:sdtPr>
      <w:sdtEndPr>
        <w:rPr>
          <w:color w:val="000000" w:themeColor="text1"/>
          <w14:textFill>
            <w14:solidFill>
              <w14:schemeClr w14:val="tx1"/>
            </w14:solidFill>
          </w14:textFill>
        </w:rPr>
      </w:sdtEndPr>
      <w:sdtContent>
        <w:p w14:paraId="78FAC0F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3B4F925">
      <w:pPr>
        <w:rPr>
          <w:color w:val="000000" w:themeColor="text1"/>
          <w14:textFill>
            <w14:solidFill>
              <w14:schemeClr w14:val="tx1"/>
            </w14:solidFill>
          </w14:textFill>
        </w:rPr>
      </w:pPr>
    </w:p>
    <w:p w14:paraId="46CA706B">
      <w:pPr>
        <w:ind w:right="-1594" w:rightChars="-759"/>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其他应收款坏账准备情况的说明"/>
        <w:tag w:val="_GBC_83e986a007b44d029c897d7f19741e02"/>
        <w:id w:val="-1782025020"/>
        <w:placeholder>
          <w:docPart w:val="GBC22222222222222222222222222222"/>
        </w:placeholder>
      </w:sdtPr>
      <w:sdtEndPr>
        <w:rPr>
          <w:color w:val="000000" w:themeColor="text1"/>
          <w14:textFill>
            <w14:solidFill>
              <w14:schemeClr w14:val="tx1"/>
            </w14:solidFill>
          </w14:textFill>
        </w:rPr>
      </w:sdtEndPr>
      <w:sdtContent>
        <w:p w14:paraId="5F478FDC">
          <w:pPr>
            <w:ind w:right="-1594" w:rightChars="-759"/>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5766E6B4">
      <w:pPr>
        <w:ind w:right="-1594" w:rightChars="-759"/>
        <w:rPr>
          <w:color w:val="000000" w:themeColor="text1"/>
          <w14:textFill>
            <w14:solidFill>
              <w14:schemeClr w14:val="tx1"/>
            </w14:solidFill>
          </w14:textFill>
        </w:rPr>
      </w:pPr>
    </w:p>
    <w:bookmarkEnd w:id="490"/>
    <w:p w14:paraId="21AD63EE">
      <w:pPr>
        <w:pStyle w:val="6"/>
        <w:numPr>
          <w:ilvl w:val="0"/>
          <w:numId w:val="118"/>
        </w:numPr>
        <w:ind w:left="425" w:hanging="425"/>
        <w:rPr>
          <w:rFonts w:cs="宋体" w:asciiTheme="minorHAnsi" w:hAnsiTheme="minorHAnsi"/>
          <w:color w:val="000000" w:themeColor="text1"/>
          <w:kern w:val="0"/>
          <w:szCs w:val="22"/>
          <w14:textFill>
            <w14:solidFill>
              <w14:schemeClr w14:val="tx1"/>
            </w14:solidFill>
          </w14:textFill>
        </w:rPr>
      </w:pPr>
      <w:r>
        <w:rPr>
          <w:rFonts w:hint="eastAsia" w:cs="宋体" w:asciiTheme="minorHAnsi" w:hAnsiTheme="minorHAnsi"/>
          <w:color w:val="000000" w:themeColor="text1"/>
          <w:kern w:val="0"/>
          <w:szCs w:val="22"/>
          <w14:textFill>
            <w14:solidFill>
              <w14:schemeClr w14:val="tx1"/>
            </w14:solidFill>
          </w14:textFill>
        </w:rPr>
        <w:t>本期实际核销的其他应收款情况</w:t>
      </w:r>
    </w:p>
    <w:sdt>
      <w:sdtPr>
        <w:rPr>
          <w:color w:val="000000" w:themeColor="text1"/>
          <w14:textFill>
            <w14:solidFill>
              <w14:schemeClr w14:val="tx1"/>
            </w14:solidFill>
          </w14:textFill>
        </w:rPr>
        <w:alias w:val="是否适用：母公司本期实际核销的其他应收款情况[双击切换]"/>
        <w:tag w:val="_GBC_dd1095756d2b471688ce5b700380fafc"/>
        <w:id w:val="-488089487"/>
        <w:placeholder>
          <w:docPart w:val="GBC22222222222222222222222222222"/>
        </w:placeholder>
      </w:sdtPr>
      <w:sdtEndPr>
        <w:rPr>
          <w:color w:val="000000" w:themeColor="text1"/>
          <w14:textFill>
            <w14:solidFill>
              <w14:schemeClr w14:val="tx1"/>
            </w14:solidFill>
          </w14:textFill>
        </w:rPr>
      </w:sdtEndPr>
      <w:sdtContent>
        <w:p w14:paraId="5933979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0DB1D0F">
      <w:pPr>
        <w:rPr>
          <w:color w:val="000000" w:themeColor="text1"/>
          <w14:textFill>
            <w14:solidFill>
              <w14:schemeClr w14:val="tx1"/>
            </w14:solidFill>
          </w14:textFill>
        </w:rPr>
      </w:pPr>
    </w:p>
    <w:p w14:paraId="2B4BB142">
      <w:pPr>
        <w:rPr>
          <w:color w:val="000000" w:themeColor="text1"/>
          <w14:textFill>
            <w14:solidFill>
              <w14:schemeClr w14:val="tx1"/>
            </w14:solidFill>
          </w14:textFill>
        </w:rPr>
      </w:pPr>
      <w:r>
        <w:rPr>
          <w:rFonts w:hint="eastAsia"/>
          <w:color w:val="000000" w:themeColor="text1"/>
          <w14:textFill>
            <w14:solidFill>
              <w14:schemeClr w14:val="tx1"/>
            </w14:solidFill>
          </w14:textFill>
        </w:rPr>
        <w:t>其中重要的其他应收款核销情况：</w:t>
      </w:r>
    </w:p>
    <w:sdt>
      <w:sdtPr>
        <w:rPr>
          <w:color w:val="000000" w:themeColor="text1"/>
          <w14:textFill>
            <w14:solidFill>
              <w14:schemeClr w14:val="tx1"/>
            </w14:solidFill>
          </w14:textFill>
        </w:rPr>
        <w:alias w:val="是否适用：母公司其中重要的其他应收款核销情况[双击切换]"/>
        <w:tag w:val="_GBC_5dff1eacde3a41d6914cb7afef2e2acf"/>
        <w:id w:val="-1253052646"/>
        <w:placeholder>
          <w:docPart w:val="GBC22222222222222222222222222222"/>
        </w:placeholder>
      </w:sdtPr>
      <w:sdtEndPr>
        <w:rPr>
          <w:color w:val="000000" w:themeColor="text1"/>
          <w14:textFill>
            <w14:solidFill>
              <w14:schemeClr w14:val="tx1"/>
            </w14:solidFill>
          </w14:textFill>
        </w:rPr>
      </w:sdtEndPr>
      <w:sdtContent>
        <w:p w14:paraId="552BBD79">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521886E">
      <w:pPr>
        <w:rPr>
          <w:color w:val="000000" w:themeColor="text1"/>
          <w14:textFill>
            <w14:solidFill>
              <w14:schemeClr w14:val="tx1"/>
            </w14:solidFill>
          </w14:textFill>
        </w:rPr>
      </w:pPr>
    </w:p>
    <w:p w14:paraId="0A10B3B6">
      <w:pPr>
        <w:snapToGrid w:val="0"/>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其他应收款核销说明：</w:t>
      </w:r>
    </w:p>
    <w:sdt>
      <w:sdtPr>
        <w:rPr>
          <w:bCs w:val="0"/>
          <w:color w:val="000000" w:themeColor="text1"/>
          <w14:textFill>
            <w14:solidFill>
              <w14:schemeClr w14:val="tx1"/>
            </w14:solidFill>
          </w14:textFill>
        </w:rPr>
        <w:alias w:val="是否适用：母公司其他应收款核销说明[双击切换]"/>
        <w:tag w:val="_GBC_7e98a555990349648a39fba0c7228ab7"/>
        <w:id w:val="646399436"/>
        <w:placeholder>
          <w:docPart w:val="GBC22222222222222222222222222222"/>
        </w:placeholder>
      </w:sdtPr>
      <w:sdtEndPr>
        <w:rPr>
          <w:bCs w:val="0"/>
          <w:color w:val="000000" w:themeColor="text1"/>
          <w14:textFill>
            <w14:solidFill>
              <w14:schemeClr w14:val="tx1"/>
            </w14:solidFill>
          </w14:textFill>
        </w:rPr>
      </w:sdtEndPr>
      <w:sdtContent>
        <w:p w14:paraId="2F80DD4A">
          <w:pPr>
            <w:snapToGrid w:val="0"/>
            <w:spacing w:line="240" w:lineRule="atLeast"/>
            <w:rPr>
              <w:color w:val="000000" w:themeColor="text1"/>
              <w14:textFill>
                <w14:solidFill>
                  <w14:schemeClr w14:val="tx1"/>
                </w14:solidFill>
              </w14:textFill>
            </w:rPr>
          </w:pPr>
          <w:r>
            <w:rPr>
              <w:rFonts w:ascii="宋体" w:hAnsi="宋体"/>
              <w:bCs w:val="0"/>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bCs w:val="0"/>
              <w:color w:val="000000" w:themeColor="text1"/>
              <w14:textFill>
                <w14:solidFill>
                  <w14:schemeClr w14:val="tx1"/>
                </w14:solidFill>
              </w14:textFill>
            </w:rPr>
            <w:fldChar w:fldCharType="end"/>
          </w:r>
          <w:r>
            <w:rPr>
              <w:rFonts w:ascii="宋体" w:hAnsi="宋体"/>
              <w:bCs w:val="0"/>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bCs w:val="0"/>
              <w:color w:val="000000" w:themeColor="text1"/>
              <w14:textFill>
                <w14:solidFill>
                  <w14:schemeClr w14:val="tx1"/>
                </w14:solidFill>
              </w14:textFill>
            </w:rPr>
            <w:fldChar w:fldCharType="end"/>
          </w:r>
        </w:p>
      </w:sdtContent>
    </w:sdt>
    <w:p w14:paraId="7DB62BEE">
      <w:pPr>
        <w:rPr>
          <w:color w:val="000000" w:themeColor="text1"/>
          <w14:textFill>
            <w14:solidFill>
              <w14:schemeClr w14:val="tx1"/>
            </w14:solidFill>
          </w14:textFill>
        </w:rPr>
      </w:pPr>
    </w:p>
    <w:p w14:paraId="50C057AD">
      <w:pPr>
        <w:pStyle w:val="6"/>
        <w:numPr>
          <w:ilvl w:val="0"/>
          <w:numId w:val="118"/>
        </w:numPr>
        <w:ind w:left="425" w:hanging="425"/>
        <w:rPr>
          <w:rFonts w:cs="宋体" w:asciiTheme="minorHAnsi" w:hAnsiTheme="minorHAnsi"/>
          <w:color w:val="000000" w:themeColor="text1"/>
          <w:kern w:val="0"/>
          <w:szCs w:val="22"/>
          <w14:textFill>
            <w14:solidFill>
              <w14:schemeClr w14:val="tx1"/>
            </w14:solidFill>
          </w14:textFill>
        </w:rPr>
      </w:pPr>
      <w:r>
        <w:rPr>
          <w:rFonts w:hint="eastAsia" w:cs="宋体" w:asciiTheme="minorHAnsi" w:hAnsiTheme="minorHAnsi"/>
          <w:color w:val="000000" w:themeColor="text1"/>
          <w:kern w:val="0"/>
          <w:szCs w:val="22"/>
          <w14:textFill>
            <w14:solidFill>
              <w14:schemeClr w14:val="tx1"/>
            </w14:solidFill>
          </w14:textFill>
        </w:rPr>
        <w:t>按欠款方归集的期末余额前五名的其他应收款情况</w:t>
      </w:r>
    </w:p>
    <w:sdt>
      <w:sdtPr>
        <w:rPr>
          <w:color w:val="000000" w:themeColor="text1"/>
          <w14:textFill>
            <w14:solidFill>
              <w14:schemeClr w14:val="tx1"/>
            </w14:solidFill>
          </w14:textFill>
        </w:rPr>
        <w:alias w:val="是否适用：母公司按欠款方归集的期末余额前五名的其他应收款情况[双击切换]"/>
        <w:tag w:val="_GBC_c31bd7806af645a4b98780e353753bee"/>
        <w:id w:val="-678426781"/>
        <w:placeholder>
          <w:docPart w:val="GBC22222222222222222222222222222"/>
        </w:placeholder>
      </w:sdtPr>
      <w:sdtEndPr>
        <w:rPr>
          <w:color w:val="000000" w:themeColor="text1"/>
          <w14:textFill>
            <w14:solidFill>
              <w14:schemeClr w14:val="tx1"/>
            </w14:solidFill>
          </w14:textFill>
        </w:rPr>
      </w:sdtEndPr>
      <w:sdtContent>
        <w:p w14:paraId="7DF0586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87BFEA6">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母公司财务附注：其他应收账款前五名欠款情况"/>
          <w:tag w:val="_GBC_5eaec4085c10422f90a7a09ee515d922"/>
          <w:id w:val="-12032511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母公司财务附注：其他应收账款前五名欠款情况"/>
          <w:tag w:val="_GBC_76fb156b47fb495eb1748f1f6ffdfc64"/>
          <w:id w:val="-20120568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1" w:type="dxa"/>
          <w:bottom w:w="0" w:type="dxa"/>
          <w:right w:w="31" w:type="dxa"/>
        </w:tblCellMar>
      </w:tblPr>
      <w:tblGrid>
        <w:gridCol w:w="1489"/>
        <w:gridCol w:w="1400"/>
        <w:gridCol w:w="1713"/>
        <w:gridCol w:w="1309"/>
        <w:gridCol w:w="1284"/>
        <w:gridCol w:w="1628"/>
      </w:tblGrid>
      <w:tr w14:paraId="44B6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tag w:val="_PLD_1bf4103fa73c4527ab273af4182bdac9"/>
            <w:id w:val="-1823497240"/>
          </w:sdtPr>
          <w:sdtContent>
            <w:tc>
              <w:tcPr>
                <w:tcW w:w="865" w:type="pct"/>
                <w:vAlign w:val="center"/>
              </w:tcPr>
              <w:p w14:paraId="17E4E5C6">
                <w:pPr>
                  <w:ind w:right="10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单位名称</w:t>
                </w:r>
              </w:p>
            </w:tc>
          </w:sdtContent>
        </w:sdt>
        <w:sdt>
          <w:sdtPr>
            <w:tag w:val="_PLD_2272ceae47e74a6489bfeb2c73aa1f4a"/>
            <w:id w:val="1308511007"/>
          </w:sdtPr>
          <w:sdtContent>
            <w:tc>
              <w:tcPr>
                <w:tcW w:w="690" w:type="pct"/>
                <w:vAlign w:val="center"/>
              </w:tcPr>
              <w:p w14:paraId="434F8AA3">
                <w:pPr>
                  <w:ind w:right="7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13e1362304be4663873f1e8f72848948"/>
            <w:id w:val="929852871"/>
          </w:sdtPr>
          <w:sdtContent>
            <w:tc>
              <w:tcPr>
                <w:tcW w:w="992" w:type="pct"/>
                <w:vAlign w:val="center"/>
              </w:tcPr>
              <w:p w14:paraId="5D86616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占其他应收款期末余额合计数的比例(</w:t>
                </w:r>
                <w:r>
                  <w:rPr>
                    <w:color w:val="000000" w:themeColor="text1"/>
                    <w14:textFill>
                      <w14:solidFill>
                        <w14:schemeClr w14:val="tx1"/>
                      </w14:solidFill>
                    </w14:textFill>
                  </w:rPr>
                  <w:t>%)</w:t>
                </w:r>
              </w:p>
            </w:tc>
          </w:sdtContent>
        </w:sdt>
        <w:sdt>
          <w:sdtPr>
            <w:tag w:val="_PLD_13e90710aaf8432b8989b8a8d1ceae0c"/>
            <w:id w:val="-1141968540"/>
          </w:sdtPr>
          <w:sdtContent>
            <w:tc>
              <w:tcPr>
                <w:tcW w:w="762" w:type="pct"/>
                <w:vAlign w:val="center"/>
              </w:tcPr>
              <w:p w14:paraId="0753DCF4">
                <w:pPr>
                  <w:ind w:right="7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款项的性质</w:t>
                </w:r>
              </w:p>
            </w:tc>
          </w:sdtContent>
        </w:sdt>
        <w:sdt>
          <w:sdtPr>
            <w:tag w:val="_PLD_fcefa3ecef954c579974ef8beaeadf3a"/>
            <w:id w:val="1066147205"/>
          </w:sdtPr>
          <w:sdtContent>
            <w:tc>
              <w:tcPr>
                <w:tcW w:w="748" w:type="pct"/>
                <w:vAlign w:val="center"/>
              </w:tcPr>
              <w:p w14:paraId="37502E05">
                <w:pPr>
                  <w:ind w:right="7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账龄</w:t>
                </w:r>
              </w:p>
            </w:tc>
          </w:sdtContent>
        </w:sdt>
        <w:sdt>
          <w:sdtPr>
            <w:tag w:val="_PLD_f2c7137b0fd6426d9d9640429eb47701"/>
            <w:id w:val="-936819051"/>
          </w:sdtPr>
          <w:sdtContent>
            <w:tc>
              <w:tcPr>
                <w:tcW w:w="943" w:type="pct"/>
                <w:vAlign w:val="center"/>
              </w:tcPr>
              <w:p w14:paraId="1A02443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坏账准备</w:t>
                </w:r>
              </w:p>
              <w:p w14:paraId="63FEE57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tr>
      <w:tr w14:paraId="6465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865" w:type="pct"/>
            <w:vAlign w:val="center"/>
          </w:tcPr>
          <w:p w14:paraId="35501ADC">
            <w:pPr>
              <w:ind w:right="105"/>
            </w:pPr>
            <w:r>
              <w:rPr>
                <w:rFonts w:hint="eastAsia"/>
                <w:color w:val="000000"/>
                <w:sz w:val="22"/>
                <w:szCs w:val="22"/>
              </w:rPr>
              <w:t>荣成市国裕辉水产有限公司</w:t>
            </w:r>
          </w:p>
        </w:tc>
        <w:tc>
          <w:tcPr>
            <w:tcW w:w="690" w:type="pct"/>
            <w:vAlign w:val="center"/>
          </w:tcPr>
          <w:p w14:paraId="5D233765">
            <w:pPr>
              <w:ind w:right="73"/>
              <w:jc w:val="right"/>
            </w:pPr>
            <w:r>
              <w:rPr>
                <w:color w:val="000000"/>
                <w:sz w:val="22"/>
                <w:szCs w:val="22"/>
              </w:rPr>
              <w:t>15,000,000.00</w:t>
            </w:r>
          </w:p>
        </w:tc>
        <w:tc>
          <w:tcPr>
            <w:tcW w:w="992" w:type="pct"/>
            <w:vAlign w:val="center"/>
          </w:tcPr>
          <w:p w14:paraId="2B1116DA">
            <w:pPr>
              <w:jc w:val="right"/>
            </w:pPr>
            <w:r>
              <w:rPr>
                <w:rFonts w:hint="eastAsia"/>
                <w:color w:val="000000"/>
                <w:sz w:val="22"/>
                <w:szCs w:val="22"/>
              </w:rPr>
              <w:t>3.38</w:t>
            </w:r>
          </w:p>
        </w:tc>
        <w:tc>
          <w:tcPr>
            <w:tcW w:w="762" w:type="pct"/>
            <w:vAlign w:val="center"/>
          </w:tcPr>
          <w:p w14:paraId="49A67805">
            <w:pPr>
              <w:ind w:right="73"/>
            </w:pPr>
            <w:r>
              <w:rPr>
                <w:rFonts w:hint="eastAsia"/>
                <w:color w:val="000000"/>
                <w:sz w:val="18"/>
                <w:szCs w:val="18"/>
              </w:rPr>
              <w:t>代借款</w:t>
            </w:r>
          </w:p>
        </w:tc>
        <w:tc>
          <w:tcPr>
            <w:tcW w:w="748" w:type="pct"/>
            <w:vAlign w:val="center"/>
          </w:tcPr>
          <w:p w14:paraId="125734F5">
            <w:pPr>
              <w:ind w:right="73"/>
            </w:pPr>
            <w:r>
              <w:rPr>
                <w:rFonts w:hint="eastAsia"/>
                <w:color w:val="000000"/>
                <w:sz w:val="22"/>
                <w:szCs w:val="22"/>
              </w:rPr>
              <w:t>1年内</w:t>
            </w:r>
          </w:p>
        </w:tc>
        <w:tc>
          <w:tcPr>
            <w:tcW w:w="943" w:type="pct"/>
            <w:vAlign w:val="center"/>
          </w:tcPr>
          <w:p w14:paraId="36974603">
            <w:pPr>
              <w:jc w:val="right"/>
            </w:pPr>
            <w:r>
              <w:rPr>
                <w:color w:val="000000"/>
                <w:sz w:val="22"/>
                <w:szCs w:val="22"/>
              </w:rPr>
              <w:t>750,000.00</w:t>
            </w:r>
          </w:p>
        </w:tc>
      </w:tr>
      <w:tr w14:paraId="5A2C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865" w:type="pct"/>
            <w:vAlign w:val="center"/>
          </w:tcPr>
          <w:p w14:paraId="2F423CCE">
            <w:pPr>
              <w:ind w:right="105"/>
            </w:pPr>
            <w:r>
              <w:rPr>
                <w:rFonts w:hint="eastAsia"/>
                <w:color w:val="000000"/>
                <w:sz w:val="22"/>
                <w:szCs w:val="22"/>
              </w:rPr>
              <w:t>虎山镇政府</w:t>
            </w:r>
          </w:p>
        </w:tc>
        <w:tc>
          <w:tcPr>
            <w:tcW w:w="690" w:type="pct"/>
            <w:vAlign w:val="center"/>
          </w:tcPr>
          <w:p w14:paraId="1B237518">
            <w:pPr>
              <w:ind w:right="73"/>
              <w:jc w:val="right"/>
            </w:pPr>
            <w:r>
              <w:rPr>
                <w:color w:val="000000"/>
                <w:sz w:val="22"/>
                <w:szCs w:val="22"/>
              </w:rPr>
              <w:t>757,851.74</w:t>
            </w:r>
          </w:p>
        </w:tc>
        <w:tc>
          <w:tcPr>
            <w:tcW w:w="992" w:type="pct"/>
            <w:vAlign w:val="center"/>
          </w:tcPr>
          <w:p w14:paraId="3A4FCD6C">
            <w:pPr>
              <w:jc w:val="right"/>
            </w:pPr>
            <w:r>
              <w:rPr>
                <w:rFonts w:hint="eastAsia"/>
                <w:color w:val="000000"/>
                <w:sz w:val="22"/>
                <w:szCs w:val="22"/>
              </w:rPr>
              <w:t>0.17</w:t>
            </w:r>
          </w:p>
        </w:tc>
        <w:tc>
          <w:tcPr>
            <w:tcW w:w="762" w:type="pct"/>
            <w:vAlign w:val="center"/>
          </w:tcPr>
          <w:p w14:paraId="22886873">
            <w:pPr>
              <w:ind w:right="73"/>
            </w:pPr>
            <w:r>
              <w:rPr>
                <w:rFonts w:hint="eastAsia"/>
                <w:color w:val="000000"/>
                <w:sz w:val="22"/>
                <w:szCs w:val="22"/>
              </w:rPr>
              <w:t>单位往来</w:t>
            </w:r>
          </w:p>
        </w:tc>
        <w:tc>
          <w:tcPr>
            <w:tcW w:w="748" w:type="pct"/>
            <w:vAlign w:val="center"/>
          </w:tcPr>
          <w:p w14:paraId="661BD0CD">
            <w:pPr>
              <w:ind w:right="73"/>
            </w:pPr>
            <w:r>
              <w:rPr>
                <w:rFonts w:hint="eastAsia"/>
                <w:color w:val="000000"/>
                <w:sz w:val="18"/>
                <w:szCs w:val="18"/>
              </w:rPr>
              <w:t>4-5年</w:t>
            </w:r>
          </w:p>
        </w:tc>
        <w:tc>
          <w:tcPr>
            <w:tcW w:w="943" w:type="pct"/>
            <w:vAlign w:val="center"/>
          </w:tcPr>
          <w:p w14:paraId="54263E2F">
            <w:pPr>
              <w:jc w:val="right"/>
            </w:pPr>
            <w:r>
              <w:rPr>
                <w:color w:val="000000"/>
                <w:sz w:val="22"/>
                <w:szCs w:val="22"/>
              </w:rPr>
              <w:t>378,925.87</w:t>
            </w:r>
          </w:p>
        </w:tc>
      </w:tr>
      <w:tr w14:paraId="0BC7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865" w:type="pct"/>
            <w:vAlign w:val="center"/>
          </w:tcPr>
          <w:p w14:paraId="771C6D03">
            <w:pPr>
              <w:ind w:right="105"/>
            </w:pPr>
            <w:r>
              <w:rPr>
                <w:rFonts w:hint="eastAsia"/>
                <w:color w:val="000000"/>
                <w:sz w:val="22"/>
                <w:szCs w:val="22"/>
              </w:rPr>
              <w:t>房建阳</w:t>
            </w:r>
          </w:p>
        </w:tc>
        <w:tc>
          <w:tcPr>
            <w:tcW w:w="690" w:type="pct"/>
            <w:vAlign w:val="center"/>
          </w:tcPr>
          <w:p w14:paraId="188EF298">
            <w:pPr>
              <w:ind w:right="73"/>
              <w:jc w:val="right"/>
            </w:pPr>
            <w:r>
              <w:rPr>
                <w:rFonts w:hint="eastAsia"/>
                <w:color w:val="000000"/>
                <w:sz w:val="22"/>
                <w:szCs w:val="22"/>
              </w:rPr>
              <w:t>418,488.11</w:t>
            </w:r>
          </w:p>
        </w:tc>
        <w:tc>
          <w:tcPr>
            <w:tcW w:w="992" w:type="pct"/>
            <w:vAlign w:val="center"/>
          </w:tcPr>
          <w:p w14:paraId="3EFD7747">
            <w:pPr>
              <w:jc w:val="right"/>
            </w:pPr>
            <w:r>
              <w:rPr>
                <w:rFonts w:hint="eastAsia"/>
                <w:color w:val="000000"/>
                <w:sz w:val="22"/>
                <w:szCs w:val="22"/>
              </w:rPr>
              <w:t>0.09</w:t>
            </w:r>
          </w:p>
        </w:tc>
        <w:tc>
          <w:tcPr>
            <w:tcW w:w="762" w:type="pct"/>
            <w:vAlign w:val="center"/>
          </w:tcPr>
          <w:p w14:paraId="1CD5B244">
            <w:pPr>
              <w:ind w:right="73"/>
            </w:pPr>
            <w:r>
              <w:rPr>
                <w:rFonts w:hint="eastAsia"/>
                <w:color w:val="000000"/>
                <w:sz w:val="22"/>
                <w:szCs w:val="22"/>
              </w:rPr>
              <w:t>个人往来</w:t>
            </w:r>
          </w:p>
        </w:tc>
        <w:tc>
          <w:tcPr>
            <w:tcW w:w="748" w:type="pct"/>
            <w:vAlign w:val="center"/>
          </w:tcPr>
          <w:p w14:paraId="4D249B84">
            <w:pPr>
              <w:ind w:right="73"/>
            </w:pPr>
            <w:r>
              <w:rPr>
                <w:rFonts w:hint="eastAsia"/>
                <w:color w:val="000000"/>
                <w:sz w:val="22"/>
                <w:szCs w:val="22"/>
              </w:rPr>
              <w:t>1年内</w:t>
            </w:r>
          </w:p>
        </w:tc>
        <w:tc>
          <w:tcPr>
            <w:tcW w:w="943" w:type="pct"/>
            <w:vAlign w:val="center"/>
          </w:tcPr>
          <w:p w14:paraId="106EF55E">
            <w:pPr>
              <w:jc w:val="right"/>
            </w:pPr>
            <w:r>
              <w:rPr>
                <w:rFonts w:hint="eastAsia"/>
                <w:color w:val="000000"/>
                <w:sz w:val="22"/>
                <w:szCs w:val="22"/>
              </w:rPr>
              <w:t>20924.41</w:t>
            </w:r>
          </w:p>
        </w:tc>
      </w:tr>
      <w:tr w14:paraId="78B1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865" w:type="pct"/>
            <w:vAlign w:val="center"/>
          </w:tcPr>
          <w:p w14:paraId="09F1B698">
            <w:pPr>
              <w:ind w:right="105"/>
            </w:pPr>
            <w:r>
              <w:rPr>
                <w:rFonts w:hint="eastAsia"/>
                <w:color w:val="000000"/>
                <w:sz w:val="20"/>
                <w:szCs w:val="20"/>
              </w:rPr>
              <w:t>孙华山</w:t>
            </w:r>
          </w:p>
        </w:tc>
        <w:tc>
          <w:tcPr>
            <w:tcW w:w="690" w:type="pct"/>
            <w:vAlign w:val="center"/>
          </w:tcPr>
          <w:p w14:paraId="18F6A3F0">
            <w:pPr>
              <w:ind w:right="73"/>
              <w:jc w:val="right"/>
            </w:pPr>
            <w:r>
              <w:rPr>
                <w:color w:val="000000"/>
                <w:sz w:val="20"/>
                <w:szCs w:val="20"/>
              </w:rPr>
              <w:t>83,284.47</w:t>
            </w:r>
          </w:p>
        </w:tc>
        <w:tc>
          <w:tcPr>
            <w:tcW w:w="992" w:type="pct"/>
            <w:vAlign w:val="center"/>
          </w:tcPr>
          <w:p w14:paraId="48FBE2F0">
            <w:pPr>
              <w:jc w:val="right"/>
            </w:pPr>
            <w:r>
              <w:rPr>
                <w:rFonts w:hint="eastAsia"/>
                <w:color w:val="000000"/>
                <w:sz w:val="22"/>
                <w:szCs w:val="22"/>
              </w:rPr>
              <w:t>0.02</w:t>
            </w:r>
          </w:p>
        </w:tc>
        <w:tc>
          <w:tcPr>
            <w:tcW w:w="762" w:type="pct"/>
            <w:vAlign w:val="center"/>
          </w:tcPr>
          <w:p w14:paraId="023DE63C">
            <w:pPr>
              <w:ind w:right="73"/>
            </w:pPr>
            <w:r>
              <w:rPr>
                <w:rFonts w:hint="eastAsia"/>
                <w:color w:val="000000"/>
                <w:sz w:val="22"/>
                <w:szCs w:val="22"/>
              </w:rPr>
              <w:t>个人往来</w:t>
            </w:r>
          </w:p>
        </w:tc>
        <w:tc>
          <w:tcPr>
            <w:tcW w:w="748" w:type="pct"/>
            <w:vAlign w:val="center"/>
          </w:tcPr>
          <w:p w14:paraId="1BB6457F">
            <w:pPr>
              <w:ind w:right="73"/>
            </w:pPr>
            <w:r>
              <w:rPr>
                <w:rFonts w:hint="eastAsia"/>
                <w:color w:val="000000"/>
                <w:sz w:val="22"/>
                <w:szCs w:val="22"/>
              </w:rPr>
              <w:t>5年以上</w:t>
            </w:r>
          </w:p>
        </w:tc>
        <w:tc>
          <w:tcPr>
            <w:tcW w:w="943" w:type="pct"/>
            <w:vAlign w:val="center"/>
          </w:tcPr>
          <w:p w14:paraId="3A94C75F">
            <w:pPr>
              <w:jc w:val="right"/>
            </w:pPr>
            <w:r>
              <w:rPr>
                <w:color w:val="000000"/>
                <w:sz w:val="22"/>
                <w:szCs w:val="22"/>
              </w:rPr>
              <w:t>83,284.47</w:t>
            </w:r>
          </w:p>
        </w:tc>
      </w:tr>
      <w:tr w14:paraId="630A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865" w:type="pct"/>
            <w:vAlign w:val="center"/>
          </w:tcPr>
          <w:p w14:paraId="460DA118">
            <w:pPr>
              <w:ind w:right="105"/>
            </w:pPr>
            <w:r>
              <w:rPr>
                <w:rFonts w:hint="eastAsia"/>
                <w:color w:val="000000"/>
                <w:sz w:val="20"/>
                <w:szCs w:val="20"/>
              </w:rPr>
              <w:t>于新胜</w:t>
            </w:r>
          </w:p>
        </w:tc>
        <w:tc>
          <w:tcPr>
            <w:tcW w:w="690" w:type="pct"/>
            <w:vAlign w:val="center"/>
          </w:tcPr>
          <w:p w14:paraId="13E9F10F">
            <w:pPr>
              <w:ind w:right="73"/>
              <w:jc w:val="right"/>
            </w:pPr>
            <w:r>
              <w:rPr>
                <w:color w:val="000000"/>
                <w:sz w:val="20"/>
                <w:szCs w:val="20"/>
              </w:rPr>
              <w:t>56,520.34</w:t>
            </w:r>
          </w:p>
        </w:tc>
        <w:tc>
          <w:tcPr>
            <w:tcW w:w="992" w:type="pct"/>
            <w:vAlign w:val="center"/>
          </w:tcPr>
          <w:p w14:paraId="10D1900A">
            <w:pPr>
              <w:jc w:val="right"/>
            </w:pPr>
            <w:r>
              <w:rPr>
                <w:rFonts w:hint="eastAsia"/>
                <w:color w:val="000000"/>
                <w:sz w:val="22"/>
                <w:szCs w:val="22"/>
              </w:rPr>
              <w:t>0.01</w:t>
            </w:r>
          </w:p>
        </w:tc>
        <w:tc>
          <w:tcPr>
            <w:tcW w:w="762" w:type="pct"/>
            <w:vAlign w:val="center"/>
          </w:tcPr>
          <w:p w14:paraId="528F7CF7">
            <w:pPr>
              <w:ind w:right="73"/>
            </w:pPr>
            <w:r>
              <w:rPr>
                <w:rFonts w:hint="eastAsia"/>
                <w:color w:val="000000"/>
                <w:sz w:val="22"/>
                <w:szCs w:val="22"/>
              </w:rPr>
              <w:t>个人往来</w:t>
            </w:r>
          </w:p>
        </w:tc>
        <w:tc>
          <w:tcPr>
            <w:tcW w:w="748" w:type="pct"/>
            <w:vAlign w:val="center"/>
          </w:tcPr>
          <w:p w14:paraId="65B9E572">
            <w:pPr>
              <w:ind w:right="73"/>
            </w:pPr>
            <w:r>
              <w:rPr>
                <w:rFonts w:hint="eastAsia"/>
                <w:color w:val="000000"/>
                <w:sz w:val="22"/>
                <w:szCs w:val="22"/>
              </w:rPr>
              <w:t>5年以上</w:t>
            </w:r>
          </w:p>
        </w:tc>
        <w:tc>
          <w:tcPr>
            <w:tcW w:w="943" w:type="pct"/>
            <w:vAlign w:val="center"/>
          </w:tcPr>
          <w:p w14:paraId="27A43ED3">
            <w:pPr>
              <w:jc w:val="right"/>
            </w:pPr>
            <w:r>
              <w:rPr>
                <w:color w:val="000000"/>
                <w:sz w:val="22"/>
                <w:szCs w:val="22"/>
              </w:rPr>
              <w:t>56,520.34</w:t>
            </w:r>
          </w:p>
        </w:tc>
      </w:tr>
      <w:tr w14:paraId="4121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865" w:type="pct"/>
          </w:tcPr>
          <w:p w14:paraId="3739A04D">
            <w:pPr>
              <w:ind w:right="105"/>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690" w:type="pct"/>
          </w:tcPr>
          <w:p w14:paraId="38C77799">
            <w:pPr>
              <w:ind w:right="73"/>
              <w:jc w:val="right"/>
            </w:pPr>
            <w:r>
              <w:t>16,316,144.66</w:t>
            </w:r>
          </w:p>
        </w:tc>
        <w:tc>
          <w:tcPr>
            <w:tcW w:w="992" w:type="pct"/>
          </w:tcPr>
          <w:p w14:paraId="57440950">
            <w:pPr>
              <w:jc w:val="right"/>
            </w:pPr>
          </w:p>
        </w:tc>
        <w:tc>
          <w:tcPr>
            <w:tcW w:w="762" w:type="pct"/>
          </w:tcPr>
          <w:p w14:paraId="68262F02">
            <w:pPr>
              <w:ind w:right="73"/>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748" w:type="pct"/>
          </w:tcPr>
          <w:p w14:paraId="1BE63D9D">
            <w:pPr>
              <w:ind w:right="73"/>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943" w:type="pct"/>
          </w:tcPr>
          <w:p w14:paraId="6AD67A5D">
            <w:pPr>
              <w:jc w:val="right"/>
            </w:pPr>
            <w:r>
              <w:t>1,289,655.09</w:t>
            </w:r>
          </w:p>
        </w:tc>
      </w:tr>
    </w:tbl>
    <w:p w14:paraId="2F418E75">
      <w:pPr>
        <w:rPr>
          <w:color w:val="000000" w:themeColor="text1"/>
          <w14:textFill>
            <w14:solidFill>
              <w14:schemeClr w14:val="tx1"/>
            </w14:solidFill>
          </w14:textFill>
        </w:rPr>
      </w:pPr>
    </w:p>
    <w:p w14:paraId="1486C86E">
      <w:pPr>
        <w:rPr>
          <w:color w:val="000000" w:themeColor="text1"/>
          <w14:textFill>
            <w14:solidFill>
              <w14:schemeClr w14:val="tx1"/>
            </w14:solidFill>
          </w14:textFill>
        </w:rPr>
      </w:pPr>
    </w:p>
    <w:p w14:paraId="0102F2E1">
      <w:pPr>
        <w:pStyle w:val="6"/>
        <w:numPr>
          <w:ilvl w:val="0"/>
          <w:numId w:val="118"/>
        </w:numPr>
        <w:ind w:left="425" w:hanging="425"/>
        <w:rPr>
          <w:rFonts w:cs="宋体" w:asciiTheme="minorHAnsi" w:hAnsiTheme="minorHAnsi"/>
          <w:color w:val="000000" w:themeColor="text1"/>
          <w:kern w:val="0"/>
          <w:szCs w:val="22"/>
          <w14:textFill>
            <w14:solidFill>
              <w14:schemeClr w14:val="tx1"/>
            </w14:solidFill>
          </w14:textFill>
        </w:rPr>
      </w:pPr>
      <w:bookmarkStart w:id="491" w:name="_Hlk168057150"/>
      <w:bookmarkStart w:id="492" w:name="_Hlk153798113"/>
      <w:r>
        <w:rPr>
          <w:rFonts w:cs="宋体" w:asciiTheme="minorHAnsi" w:hAnsiTheme="minorHAnsi"/>
          <w:color w:val="000000" w:themeColor="text1"/>
          <w:kern w:val="0"/>
          <w:szCs w:val="22"/>
          <w14:textFill>
            <w14:solidFill>
              <w14:schemeClr w14:val="tx1"/>
            </w14:solidFill>
          </w14:textFill>
        </w:rPr>
        <w:t>因资金集中管理而列报于其他应收款</w:t>
      </w:r>
    </w:p>
    <w:sdt>
      <w:sdtPr>
        <w:rPr>
          <w:color w:val="000000" w:themeColor="text1"/>
          <w14:textFill>
            <w14:solidFill>
              <w14:schemeClr w14:val="tx1"/>
            </w14:solidFill>
          </w14:textFill>
        </w:rPr>
        <w:alias w:val="是否适用：母公司因资金集中管理而列报于其他应收款[双击切换]"/>
        <w:tag w:val="_GBC_e0997ad9657c40258adda569dcfcbb5a"/>
        <w:id w:val="204993233"/>
        <w:placeholder>
          <w:docPart w:val="GBC22222222222222222222222222222"/>
        </w:placeholder>
      </w:sdtPr>
      <w:sdtEndPr>
        <w:rPr>
          <w:color w:val="000000" w:themeColor="text1"/>
          <w14:textFill>
            <w14:solidFill>
              <w14:schemeClr w14:val="tx1"/>
            </w14:solidFill>
          </w14:textFill>
        </w:rPr>
      </w:sdtEndPr>
      <w:sdtContent>
        <w:p w14:paraId="4B876092">
          <w:pPr>
            <w:snapToGrid w:val="0"/>
            <w:spacing w:line="240" w:lineRule="atLeast"/>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64F9DE6">
      <w:pPr>
        <w:snapToGrid w:val="0"/>
        <w:spacing w:line="240" w:lineRule="atLeast"/>
        <w:rPr>
          <w:color w:val="000000" w:themeColor="text1"/>
          <w14:textFill>
            <w14:solidFill>
              <w14:schemeClr w14:val="tx1"/>
            </w14:solidFill>
          </w14:textFill>
        </w:rPr>
      </w:pPr>
    </w:p>
    <w:bookmarkEnd w:id="491"/>
    <w:bookmarkEnd w:id="492"/>
    <w:p w14:paraId="2390A6B8">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r>
        <w:rPr>
          <w:color w:val="000000" w:themeColor="text1"/>
          <w14:textFill>
            <w14:solidFill>
              <w14:schemeClr w14:val="tx1"/>
            </w14:solidFill>
          </w14:textFill>
        </w:rPr>
        <w:t>说明：</w:t>
      </w:r>
    </w:p>
    <w:sdt>
      <w:sdtPr>
        <w:rPr>
          <w:color w:val="000000" w:themeColor="text1"/>
          <w14:textFill>
            <w14:solidFill>
              <w14:schemeClr w14:val="tx1"/>
            </w14:solidFill>
          </w14:textFill>
        </w:rPr>
        <w:alias w:val="是否适用：母公司其他应收款的其他说明[双击切换]"/>
        <w:tag w:val="_GBC_2e0f632cbc7d4916b89bf8824f4b71f0"/>
        <w:id w:val="476039467"/>
        <w:placeholder>
          <w:docPart w:val="GBC22222222222222222222222222222"/>
        </w:placeholder>
      </w:sdtPr>
      <w:sdtEndPr>
        <w:rPr>
          <w:color w:val="000000" w:themeColor="text1"/>
          <w14:textFill>
            <w14:solidFill>
              <w14:schemeClr w14:val="tx1"/>
            </w14:solidFill>
          </w14:textFill>
        </w:rPr>
      </w:sdtEndPr>
      <w:sdtContent>
        <w:p w14:paraId="070A9F4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39B138F">
      <w:pPr>
        <w:rPr>
          <w:color w:val="000000" w:themeColor="text1"/>
          <w14:textFill>
            <w14:solidFill>
              <w14:schemeClr w14:val="tx1"/>
            </w14:solidFill>
          </w14:textFill>
        </w:rPr>
        <w:sectPr>
          <w:pgSz w:w="11906" w:h="16838"/>
          <w:pgMar w:top="1525" w:right="1276" w:bottom="1440" w:left="1797" w:header="856" w:footer="992" w:gutter="0"/>
          <w:cols w:space="425" w:num="1"/>
          <w:docGrid w:linePitch="312" w:charSpace="0"/>
        </w:sectPr>
      </w:pPr>
    </w:p>
    <w:p w14:paraId="5FC8E0D3">
      <w:pPr>
        <w:pStyle w:val="4"/>
        <w:numPr>
          <w:ilvl w:val="0"/>
          <w:numId w:val="114"/>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长期股权投资</w:t>
      </w:r>
    </w:p>
    <w:sdt>
      <w:sdtPr>
        <w:rPr>
          <w:color w:val="000000" w:themeColor="text1"/>
          <w14:textFill>
            <w14:solidFill>
              <w14:schemeClr w14:val="tx1"/>
            </w14:solidFill>
          </w14:textFill>
        </w:rPr>
        <w:alias w:val="是否适用：母公司长期股权投资[双击切换]"/>
        <w:tag w:val="_GBC_61071b9a58624e83bfc4232808751b95"/>
        <w:id w:val="-119233796"/>
        <w:lock w:val="contentLocked"/>
        <w:placeholder>
          <w:docPart w:val="GBC22222222222222222222222222222"/>
        </w:placeholder>
      </w:sdtPr>
      <w:sdtEndPr>
        <w:rPr>
          <w:color w:val="000000" w:themeColor="text1"/>
          <w14:textFill>
            <w14:solidFill>
              <w14:schemeClr w14:val="tx1"/>
            </w14:solidFill>
          </w14:textFill>
        </w:rPr>
      </w:sdtEndPr>
      <w:sdtContent>
        <w:p w14:paraId="3865E21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79F1AE4">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母公司财务附注：长期股权投资"/>
          <w:tag w:val="_GBC_ee2c3454a2494dfca9c0a07bba82ed3d"/>
          <w:id w:val="-23702158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母公司财务附注：长期股权投资"/>
          <w:tag w:val="_GBC_4b4d1a2b986f475e8058a041d2f5a6f9"/>
          <w:id w:val="-10963230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1" w:type="dxa"/>
          <w:bottom w:w="0" w:type="dxa"/>
          <w:right w:w="31" w:type="dxa"/>
        </w:tblCellMar>
      </w:tblPr>
      <w:tblGrid>
        <w:gridCol w:w="3546"/>
        <w:gridCol w:w="1741"/>
        <w:gridCol w:w="1702"/>
        <w:gridCol w:w="1702"/>
        <w:gridCol w:w="1744"/>
        <w:gridCol w:w="1722"/>
        <w:gridCol w:w="1706"/>
      </w:tblGrid>
      <w:tr w14:paraId="3567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sdt>
          <w:sdtPr>
            <w:tag w:val="_PLD_69c4a2f49545484e8b3a149f64c9d21f"/>
            <w:id w:val="-381322561"/>
          </w:sdtPr>
          <w:sdtContent>
            <w:tc>
              <w:tcPr>
                <w:tcW w:w="1279" w:type="pct"/>
                <w:vMerge w:val="restart"/>
                <w:vAlign w:val="center"/>
              </w:tcPr>
              <w:p w14:paraId="6DD77FC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f7d0566caa554c4c823029a05c5319eb"/>
            <w:id w:val="1335503419"/>
          </w:sdtPr>
          <w:sdtContent>
            <w:tc>
              <w:tcPr>
                <w:tcW w:w="1856" w:type="pct"/>
                <w:gridSpan w:val="3"/>
                <w:vAlign w:val="center"/>
              </w:tcPr>
              <w:p w14:paraId="7F4F000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期末余额</w:t>
                </w:r>
              </w:p>
            </w:tc>
          </w:sdtContent>
        </w:sdt>
        <w:sdt>
          <w:sdtPr>
            <w:tag w:val="_PLD_9d2cfae2492a49c2b441d1371a5e4673"/>
            <w:id w:val="1943797440"/>
          </w:sdtPr>
          <w:sdtContent>
            <w:tc>
              <w:tcPr>
                <w:tcW w:w="1865" w:type="pct"/>
                <w:gridSpan w:val="3"/>
                <w:vAlign w:val="center"/>
              </w:tcPr>
              <w:p w14:paraId="14C06EC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期初余额</w:t>
                </w:r>
              </w:p>
            </w:tc>
          </w:sdtContent>
        </w:sdt>
      </w:tr>
      <w:tr w14:paraId="64DD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279" w:type="pct"/>
            <w:vMerge w:val="continue"/>
            <w:vAlign w:val="center"/>
          </w:tcPr>
          <w:p w14:paraId="59848031">
            <w:pPr>
              <w:jc w:val="center"/>
              <w:rPr>
                <w:color w:val="000000" w:themeColor="text1"/>
                <w14:textFill>
                  <w14:solidFill>
                    <w14:schemeClr w14:val="tx1"/>
                  </w14:solidFill>
                </w14:textFill>
              </w:rPr>
            </w:pPr>
          </w:p>
        </w:tc>
        <w:sdt>
          <w:sdtPr>
            <w:tag w:val="_PLD_9f664b17996c45f08a57544a9ec7e340"/>
            <w:id w:val="1914125253"/>
          </w:sdtPr>
          <w:sdtContent>
            <w:tc>
              <w:tcPr>
                <w:tcW w:w="628" w:type="pct"/>
                <w:vAlign w:val="center"/>
              </w:tcPr>
              <w:p w14:paraId="4B36B1C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tc>
          </w:sdtContent>
        </w:sdt>
        <w:sdt>
          <w:sdtPr>
            <w:tag w:val="_PLD_5c150a7367994fc29e7f8b50d7ff2eab"/>
            <w:id w:val="1392470021"/>
          </w:sdtPr>
          <w:sdtContent>
            <w:tc>
              <w:tcPr>
                <w:tcW w:w="614" w:type="pct"/>
                <w:vAlign w:val="center"/>
              </w:tcPr>
              <w:p w14:paraId="0C4F71F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减值准备</w:t>
                </w:r>
              </w:p>
            </w:tc>
          </w:sdtContent>
        </w:sdt>
        <w:sdt>
          <w:sdtPr>
            <w:tag w:val="_PLD_3db48da0eacd49568929884577dae51b"/>
            <w:id w:val="-411853288"/>
          </w:sdtPr>
          <w:sdtContent>
            <w:tc>
              <w:tcPr>
                <w:tcW w:w="614" w:type="pct"/>
                <w:vAlign w:val="center"/>
              </w:tcPr>
              <w:p w14:paraId="5ED4EE6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账面价值</w:t>
                </w:r>
              </w:p>
            </w:tc>
          </w:sdtContent>
        </w:sdt>
        <w:sdt>
          <w:sdtPr>
            <w:tag w:val="_PLD_00d8a1d3b6754b52929b2c46a2e716c9"/>
            <w:id w:val="1696722587"/>
          </w:sdtPr>
          <w:sdtContent>
            <w:tc>
              <w:tcPr>
                <w:tcW w:w="629" w:type="pct"/>
                <w:vAlign w:val="center"/>
              </w:tcPr>
              <w:p w14:paraId="29CB743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账面余额</w:t>
                </w:r>
              </w:p>
            </w:tc>
          </w:sdtContent>
        </w:sdt>
        <w:sdt>
          <w:sdtPr>
            <w:tag w:val="_PLD_0f2c77fc41ea456bab34653dee178805"/>
            <w:id w:val="776446347"/>
          </w:sdtPr>
          <w:sdtContent>
            <w:tc>
              <w:tcPr>
                <w:tcW w:w="621" w:type="pct"/>
                <w:vAlign w:val="center"/>
              </w:tcPr>
              <w:p w14:paraId="7D36005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减值准备</w:t>
                </w:r>
              </w:p>
            </w:tc>
          </w:sdtContent>
        </w:sdt>
        <w:sdt>
          <w:sdtPr>
            <w:tag w:val="_PLD_9ae07ed9769c419fa280d4c5ad3f03d7"/>
            <w:id w:val="-1331137784"/>
          </w:sdtPr>
          <w:sdtContent>
            <w:tc>
              <w:tcPr>
                <w:tcW w:w="615" w:type="pct"/>
                <w:vAlign w:val="center"/>
              </w:tcPr>
              <w:p w14:paraId="1BB75FA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账面价值</w:t>
                </w:r>
              </w:p>
            </w:tc>
          </w:sdtContent>
        </w:sdt>
      </w:tr>
      <w:tr w14:paraId="4018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279" w:type="pct"/>
          </w:tcPr>
          <w:p w14:paraId="125DB5B5">
            <w:pPr>
              <w:rPr>
                <w:color w:val="000000" w:themeColor="text1"/>
                <w14:textFill>
                  <w14:solidFill>
                    <w14:schemeClr w14:val="tx1"/>
                  </w14:solidFill>
                </w14:textFill>
              </w:rPr>
            </w:pPr>
            <w:r>
              <w:rPr>
                <w:rFonts w:hint="eastAsia"/>
                <w:color w:val="000000" w:themeColor="text1"/>
                <w14:textFill>
                  <w14:solidFill>
                    <w14:schemeClr w14:val="tx1"/>
                  </w14:solidFill>
                </w14:textFill>
              </w:rPr>
              <w:t>对子公司投资</w:t>
            </w:r>
          </w:p>
        </w:tc>
        <w:tc>
          <w:tcPr>
            <w:tcW w:w="628" w:type="pct"/>
          </w:tcPr>
          <w:p w14:paraId="3010A829">
            <w:pPr>
              <w:jc w:val="right"/>
            </w:pPr>
            <w:r>
              <w:t>726,954,471.96</w:t>
            </w:r>
          </w:p>
        </w:tc>
        <w:tc>
          <w:tcPr>
            <w:tcW w:w="614" w:type="pct"/>
          </w:tcPr>
          <w:p w14:paraId="0A100AB5">
            <w:pPr>
              <w:jc w:val="right"/>
            </w:pPr>
          </w:p>
        </w:tc>
        <w:tc>
          <w:tcPr>
            <w:tcW w:w="614" w:type="pct"/>
          </w:tcPr>
          <w:p w14:paraId="2477851E">
            <w:pPr>
              <w:jc w:val="right"/>
            </w:pPr>
            <w:r>
              <w:t>726,954,471.96</w:t>
            </w:r>
          </w:p>
        </w:tc>
        <w:tc>
          <w:tcPr>
            <w:tcW w:w="629" w:type="pct"/>
          </w:tcPr>
          <w:p w14:paraId="183A8EB1">
            <w:pPr>
              <w:jc w:val="right"/>
            </w:pPr>
            <w:r>
              <w:t>711,954,471.96</w:t>
            </w:r>
          </w:p>
        </w:tc>
        <w:tc>
          <w:tcPr>
            <w:tcW w:w="621" w:type="pct"/>
          </w:tcPr>
          <w:p w14:paraId="1980D805">
            <w:pPr>
              <w:jc w:val="right"/>
            </w:pPr>
          </w:p>
        </w:tc>
        <w:tc>
          <w:tcPr>
            <w:tcW w:w="615" w:type="pct"/>
          </w:tcPr>
          <w:p w14:paraId="7EEC08BC">
            <w:pPr>
              <w:jc w:val="right"/>
            </w:pPr>
            <w:r>
              <w:t>711,954,471.96</w:t>
            </w:r>
          </w:p>
        </w:tc>
      </w:tr>
      <w:tr w14:paraId="6AC6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279" w:type="pct"/>
          </w:tcPr>
          <w:p w14:paraId="77D438DD">
            <w:pPr>
              <w:rPr>
                <w:color w:val="000000" w:themeColor="text1"/>
                <w14:textFill>
                  <w14:solidFill>
                    <w14:schemeClr w14:val="tx1"/>
                  </w14:solidFill>
                </w14:textFill>
              </w:rPr>
            </w:pPr>
            <w:r>
              <w:rPr>
                <w:rFonts w:hint="eastAsia"/>
                <w:color w:val="000000" w:themeColor="text1"/>
                <w14:textFill>
                  <w14:solidFill>
                    <w14:schemeClr w14:val="tx1"/>
                  </w14:solidFill>
                </w14:textFill>
              </w:rPr>
              <w:t>对联营、合营企业投资</w:t>
            </w:r>
          </w:p>
        </w:tc>
        <w:tc>
          <w:tcPr>
            <w:tcW w:w="628" w:type="pct"/>
          </w:tcPr>
          <w:p w14:paraId="23966BA0">
            <w:pPr>
              <w:jc w:val="right"/>
            </w:pPr>
          </w:p>
        </w:tc>
        <w:tc>
          <w:tcPr>
            <w:tcW w:w="614" w:type="pct"/>
          </w:tcPr>
          <w:p w14:paraId="5CAB9DFC">
            <w:pPr>
              <w:jc w:val="right"/>
            </w:pPr>
          </w:p>
        </w:tc>
        <w:tc>
          <w:tcPr>
            <w:tcW w:w="614" w:type="pct"/>
          </w:tcPr>
          <w:p w14:paraId="3ED8A39D">
            <w:pPr>
              <w:jc w:val="right"/>
            </w:pPr>
          </w:p>
        </w:tc>
        <w:tc>
          <w:tcPr>
            <w:tcW w:w="629" w:type="pct"/>
          </w:tcPr>
          <w:p w14:paraId="18099A6D">
            <w:pPr>
              <w:jc w:val="right"/>
            </w:pPr>
          </w:p>
        </w:tc>
        <w:tc>
          <w:tcPr>
            <w:tcW w:w="621" w:type="pct"/>
          </w:tcPr>
          <w:p w14:paraId="4375F9A6">
            <w:pPr>
              <w:jc w:val="right"/>
            </w:pPr>
          </w:p>
        </w:tc>
        <w:tc>
          <w:tcPr>
            <w:tcW w:w="615" w:type="pct"/>
          </w:tcPr>
          <w:p w14:paraId="1FF73C09">
            <w:pPr>
              <w:jc w:val="right"/>
            </w:pPr>
          </w:p>
        </w:tc>
      </w:tr>
      <w:tr w14:paraId="1C74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1279" w:type="pct"/>
            <w:vAlign w:val="center"/>
          </w:tcPr>
          <w:p w14:paraId="69A1071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628" w:type="pct"/>
          </w:tcPr>
          <w:p w14:paraId="619AF246">
            <w:pPr>
              <w:jc w:val="right"/>
            </w:pPr>
            <w:r>
              <w:t>726,954,471.96</w:t>
            </w:r>
          </w:p>
        </w:tc>
        <w:tc>
          <w:tcPr>
            <w:tcW w:w="614" w:type="pct"/>
          </w:tcPr>
          <w:p w14:paraId="104D423F">
            <w:pPr>
              <w:jc w:val="right"/>
            </w:pPr>
          </w:p>
        </w:tc>
        <w:tc>
          <w:tcPr>
            <w:tcW w:w="614" w:type="pct"/>
          </w:tcPr>
          <w:p w14:paraId="7EF3240E">
            <w:pPr>
              <w:jc w:val="right"/>
            </w:pPr>
            <w:r>
              <w:t>726,954,471.96</w:t>
            </w:r>
          </w:p>
        </w:tc>
        <w:tc>
          <w:tcPr>
            <w:tcW w:w="629" w:type="pct"/>
          </w:tcPr>
          <w:p w14:paraId="50BB1DA1">
            <w:pPr>
              <w:jc w:val="right"/>
            </w:pPr>
            <w:r>
              <w:t>711,954,471.96</w:t>
            </w:r>
          </w:p>
        </w:tc>
        <w:tc>
          <w:tcPr>
            <w:tcW w:w="621" w:type="pct"/>
          </w:tcPr>
          <w:p w14:paraId="356C7CBC">
            <w:pPr>
              <w:jc w:val="right"/>
            </w:pPr>
          </w:p>
        </w:tc>
        <w:tc>
          <w:tcPr>
            <w:tcW w:w="615" w:type="pct"/>
          </w:tcPr>
          <w:p w14:paraId="1DFA0A92">
            <w:pPr>
              <w:jc w:val="right"/>
            </w:pPr>
            <w:r>
              <w:t>711,954,471.96</w:t>
            </w:r>
          </w:p>
        </w:tc>
      </w:tr>
    </w:tbl>
    <w:p w14:paraId="33E5DA66">
      <w:pPr>
        <w:rPr>
          <w:color w:val="000000" w:themeColor="text1"/>
          <w14:textFill>
            <w14:solidFill>
              <w14:schemeClr w14:val="tx1"/>
            </w14:solidFill>
          </w14:textFill>
        </w:rPr>
      </w:pPr>
    </w:p>
    <w:p w14:paraId="13F849CF">
      <w:pPr>
        <w:pStyle w:val="5"/>
        <w:numPr>
          <w:ilvl w:val="0"/>
          <w:numId w:val="119"/>
        </w:numPr>
        <w:rPr>
          <w:rFonts w:hint="eastAsia" w:ascii="宋体" w:hAnsi="宋体"/>
          <w:color w:val="000000" w:themeColor="text1"/>
          <w14:textFill>
            <w14:solidFill>
              <w14:schemeClr w14:val="tx1"/>
            </w14:solidFill>
          </w14:textFill>
        </w:rPr>
      </w:pPr>
      <w:bookmarkStart w:id="493" w:name="_Hlk199854867"/>
      <w:r>
        <w:rPr>
          <w:rFonts w:hint="eastAsia" w:ascii="宋体" w:hAnsi="宋体"/>
          <w:color w:val="000000" w:themeColor="text1"/>
          <w14:textFill>
            <w14:solidFill>
              <w14:schemeClr w14:val="tx1"/>
            </w14:solidFill>
          </w14:textFill>
        </w:rPr>
        <w:t>对子公司投资</w:t>
      </w:r>
    </w:p>
    <w:sdt>
      <w:sdtPr>
        <w:rPr>
          <w:color w:val="000000" w:themeColor="text1"/>
          <w14:textFill>
            <w14:solidFill>
              <w14:schemeClr w14:val="tx1"/>
            </w14:solidFill>
          </w14:textFill>
        </w:rPr>
        <w:alias w:val="是否适用：母公司对子公司投资[双击切换]"/>
        <w:tag w:val="_GBC_c52cee49247d42a9a79deabbd4c8635c"/>
        <w:id w:val="1194036685"/>
        <w:placeholder>
          <w:docPart w:val="GBC22222222222222222222222222222"/>
        </w:placeholder>
      </w:sdtPr>
      <w:sdtEndPr>
        <w:rPr>
          <w:color w:val="000000" w:themeColor="text1"/>
          <w14:textFill>
            <w14:solidFill>
              <w14:schemeClr w14:val="tx1"/>
            </w14:solidFill>
          </w14:textFill>
        </w:rPr>
      </w:sdtEndPr>
      <w:sdtContent>
        <w:p w14:paraId="37343A01">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9A20DDB">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母公司财务附注：对子公司投资"/>
          <w:tag w:val="_GBC_84c410d0b81f42e3adfddc3699487310"/>
          <w:id w:val="11988920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母公司财务附注：对子公司投资"/>
          <w:tag w:val="_GBC_97fad72310ba4b849377b0e1cebf7303"/>
          <w:id w:val="9254674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308" w:type="pct"/>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9"/>
        <w:gridCol w:w="1516"/>
        <w:gridCol w:w="1519"/>
        <w:gridCol w:w="1522"/>
        <w:gridCol w:w="1513"/>
        <w:gridCol w:w="1478"/>
        <w:gridCol w:w="1545"/>
        <w:gridCol w:w="1557"/>
        <w:gridCol w:w="1528"/>
      </w:tblGrid>
      <w:tr w14:paraId="744C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sdt>
          <w:sdtPr>
            <w:tag w:val="_PLD_5e30a804ceaa4024b238d79c66b2f2dd"/>
            <w:id w:val="2042156189"/>
          </w:sdtPr>
          <w:sdtContent>
            <w:tc>
              <w:tcPr>
                <w:tcW w:w="863" w:type="pct"/>
                <w:vMerge w:val="restart"/>
                <w:tcBorders>
                  <w:top w:val="single" w:color="auto" w:sz="4" w:space="0"/>
                  <w:left w:val="single" w:color="auto" w:sz="4" w:space="0"/>
                  <w:right w:val="single" w:color="auto" w:sz="4" w:space="0"/>
                </w:tcBorders>
                <w:vAlign w:val="center"/>
              </w:tcPr>
              <w:p w14:paraId="08FA6E11">
                <w:pPr>
                  <w:jc w:val="center"/>
                </w:pPr>
                <w:r>
                  <w:rPr>
                    <w:rFonts w:hint="eastAsia"/>
                  </w:rPr>
                  <w:t>被投资单位</w:t>
                </w:r>
              </w:p>
            </w:tc>
          </w:sdtContent>
        </w:sdt>
        <w:sdt>
          <w:sdtPr>
            <w:tag w:val="_PLD_414e7de75190451298fb101077dd4f51"/>
            <w:id w:val="-454639218"/>
          </w:sdtPr>
          <w:sdtContent>
            <w:tc>
              <w:tcPr>
                <w:tcW w:w="515" w:type="pct"/>
                <w:vMerge w:val="restart"/>
                <w:tcBorders>
                  <w:top w:val="single" w:color="auto" w:sz="4" w:space="0"/>
                  <w:left w:val="single" w:color="auto" w:sz="4" w:space="0"/>
                  <w:right w:val="single" w:color="auto" w:sz="4" w:space="0"/>
                </w:tcBorders>
                <w:vAlign w:val="center"/>
              </w:tcPr>
              <w:p w14:paraId="0A5D3E0C">
                <w:pPr>
                  <w:jc w:val="center"/>
                </w:pPr>
                <w:r>
                  <w:rPr>
                    <w:rFonts w:hint="eastAsia"/>
                  </w:rPr>
                  <w:t>期初余额（账面价值）</w:t>
                </w:r>
              </w:p>
            </w:tc>
          </w:sdtContent>
        </w:sdt>
        <w:sdt>
          <w:sdtPr>
            <w:tag w:val="_PLD_13c296ca5c774a46b83afc3a9c08fdab"/>
            <w:id w:val="-983006668"/>
          </w:sdtPr>
          <w:sdtContent>
            <w:tc>
              <w:tcPr>
                <w:tcW w:w="516" w:type="pct"/>
                <w:vMerge w:val="restart"/>
                <w:tcBorders>
                  <w:top w:val="single" w:color="auto" w:sz="4" w:space="0"/>
                  <w:left w:val="single" w:color="auto" w:sz="4" w:space="0"/>
                  <w:right w:val="single" w:color="auto" w:sz="4" w:space="0"/>
                </w:tcBorders>
                <w:vAlign w:val="center"/>
              </w:tcPr>
              <w:p w14:paraId="36220ADB">
                <w:pPr>
                  <w:jc w:val="center"/>
                </w:pPr>
                <w:r>
                  <w:rPr>
                    <w:rFonts w:hint="eastAsia"/>
                  </w:rPr>
                  <w:t>减值准备期初余额</w:t>
                </w:r>
              </w:p>
            </w:tc>
          </w:sdtContent>
        </w:sdt>
        <w:sdt>
          <w:sdtPr>
            <w:tag w:val="_PLD_38d284e511fe4000a53245d837ffe0fb"/>
            <w:id w:val="1351301909"/>
          </w:sdtPr>
          <w:sdtContent>
            <w:tc>
              <w:tcPr>
                <w:tcW w:w="2057" w:type="pct"/>
                <w:gridSpan w:val="4"/>
                <w:tcBorders>
                  <w:top w:val="single" w:color="auto" w:sz="4" w:space="0"/>
                  <w:left w:val="single" w:color="auto" w:sz="4" w:space="0"/>
                  <w:bottom w:val="single" w:color="auto" w:sz="4" w:space="0"/>
                  <w:right w:val="single" w:color="auto" w:sz="4" w:space="0"/>
                </w:tcBorders>
                <w:vAlign w:val="center"/>
              </w:tcPr>
              <w:p w14:paraId="53074BC0">
                <w:pPr>
                  <w:jc w:val="center"/>
                </w:pPr>
                <w:r>
                  <w:rPr>
                    <w:rFonts w:hint="eastAsia"/>
                  </w:rPr>
                  <w:t>本期增减变动</w:t>
                </w:r>
              </w:p>
            </w:tc>
          </w:sdtContent>
        </w:sdt>
        <w:sdt>
          <w:sdtPr>
            <w:tag w:val="_PLD_f92255f6ae8b4ccdb039b28bf9204156"/>
            <w:id w:val="-605419276"/>
          </w:sdtPr>
          <w:sdtContent>
            <w:tc>
              <w:tcPr>
                <w:tcW w:w="529" w:type="pct"/>
                <w:vMerge w:val="restart"/>
                <w:tcBorders>
                  <w:top w:val="single" w:color="auto" w:sz="4" w:space="0"/>
                  <w:left w:val="single" w:color="auto" w:sz="4" w:space="0"/>
                  <w:right w:val="single" w:color="auto" w:sz="4" w:space="0"/>
                </w:tcBorders>
                <w:vAlign w:val="center"/>
              </w:tcPr>
              <w:p w14:paraId="59F1D692">
                <w:pPr>
                  <w:jc w:val="center"/>
                </w:pPr>
                <w:r>
                  <w:rPr>
                    <w:rFonts w:hint="eastAsia"/>
                  </w:rPr>
                  <w:t>期末余额（账面价值）</w:t>
                </w:r>
              </w:p>
            </w:tc>
          </w:sdtContent>
        </w:sdt>
        <w:sdt>
          <w:sdtPr>
            <w:tag w:val="_PLD_2f11e6808a6f4c8b9936f3229bb0c312"/>
            <w:id w:val="-858203783"/>
          </w:sdtPr>
          <w:sdtContent>
            <w:tc>
              <w:tcPr>
                <w:tcW w:w="519" w:type="pct"/>
                <w:vMerge w:val="restart"/>
                <w:tcBorders>
                  <w:top w:val="single" w:color="auto" w:sz="4" w:space="0"/>
                  <w:left w:val="single" w:color="auto" w:sz="4" w:space="0"/>
                  <w:right w:val="single" w:color="auto" w:sz="4" w:space="0"/>
                </w:tcBorders>
                <w:vAlign w:val="center"/>
              </w:tcPr>
              <w:p w14:paraId="2DC1865E">
                <w:pPr>
                  <w:jc w:val="center"/>
                </w:pPr>
                <w:r>
                  <w:rPr>
                    <w:rFonts w:hint="eastAsia"/>
                  </w:rPr>
                  <w:t>减值准备期末余额</w:t>
                </w:r>
              </w:p>
            </w:tc>
          </w:sdtContent>
        </w:sdt>
      </w:tr>
      <w:tr w14:paraId="0803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63" w:type="pct"/>
            <w:vMerge w:val="continue"/>
            <w:tcBorders>
              <w:left w:val="single" w:color="auto" w:sz="4" w:space="0"/>
              <w:bottom w:val="single" w:color="auto" w:sz="4" w:space="0"/>
              <w:right w:val="single" w:color="auto" w:sz="4" w:space="0"/>
            </w:tcBorders>
            <w:vAlign w:val="center"/>
          </w:tcPr>
          <w:p w14:paraId="375C06DB">
            <w:pPr>
              <w:jc w:val="center"/>
            </w:pPr>
          </w:p>
        </w:tc>
        <w:tc>
          <w:tcPr>
            <w:tcW w:w="515" w:type="pct"/>
            <w:vMerge w:val="continue"/>
            <w:tcBorders>
              <w:left w:val="single" w:color="auto" w:sz="4" w:space="0"/>
              <w:bottom w:val="single" w:color="auto" w:sz="4" w:space="0"/>
              <w:right w:val="single" w:color="auto" w:sz="4" w:space="0"/>
            </w:tcBorders>
            <w:vAlign w:val="center"/>
          </w:tcPr>
          <w:p w14:paraId="607FC491">
            <w:pPr>
              <w:jc w:val="center"/>
            </w:pPr>
          </w:p>
        </w:tc>
        <w:tc>
          <w:tcPr>
            <w:tcW w:w="516" w:type="pct"/>
            <w:vMerge w:val="continue"/>
            <w:tcBorders>
              <w:left w:val="single" w:color="auto" w:sz="4" w:space="0"/>
              <w:bottom w:val="single" w:color="auto" w:sz="4" w:space="0"/>
              <w:right w:val="single" w:color="auto" w:sz="4" w:space="0"/>
            </w:tcBorders>
            <w:vAlign w:val="center"/>
          </w:tcPr>
          <w:p w14:paraId="20A4D3AE">
            <w:pPr>
              <w:jc w:val="center"/>
            </w:pPr>
          </w:p>
        </w:tc>
        <w:sdt>
          <w:sdtPr>
            <w:tag w:val="_PLD_f5b021383bb548b49923eb6da9f9508b"/>
            <w:id w:val="1312987571"/>
          </w:sdtPr>
          <w:sdtContent>
            <w:tc>
              <w:tcPr>
                <w:tcW w:w="517" w:type="pct"/>
                <w:tcBorders>
                  <w:top w:val="single" w:color="auto" w:sz="4" w:space="0"/>
                  <w:left w:val="single" w:color="auto" w:sz="4" w:space="0"/>
                  <w:bottom w:val="single" w:color="auto" w:sz="4" w:space="0"/>
                  <w:right w:val="single" w:color="auto" w:sz="4" w:space="0"/>
                </w:tcBorders>
                <w:vAlign w:val="center"/>
              </w:tcPr>
              <w:p w14:paraId="6E598E5A">
                <w:pPr>
                  <w:jc w:val="center"/>
                </w:pPr>
                <w:r>
                  <w:rPr>
                    <w:rFonts w:hint="eastAsia"/>
                  </w:rPr>
                  <w:t>追加投资</w:t>
                </w:r>
              </w:p>
            </w:tc>
          </w:sdtContent>
        </w:sdt>
        <w:sdt>
          <w:sdtPr>
            <w:tag w:val="_PLD_b8d09cf97c8b48a3aaf395198d3c74de"/>
            <w:id w:val="-1243328753"/>
          </w:sdtPr>
          <w:sdtContent>
            <w:tc>
              <w:tcPr>
                <w:tcW w:w="514" w:type="pct"/>
                <w:tcBorders>
                  <w:left w:val="single" w:color="auto" w:sz="4" w:space="0"/>
                  <w:bottom w:val="single" w:color="auto" w:sz="4" w:space="0"/>
                  <w:right w:val="single" w:color="auto" w:sz="4" w:space="0"/>
                </w:tcBorders>
                <w:vAlign w:val="center"/>
              </w:tcPr>
              <w:p w14:paraId="7CB71238">
                <w:pPr>
                  <w:jc w:val="center"/>
                </w:pPr>
                <w:r>
                  <w:rPr>
                    <w:rFonts w:hint="eastAsia"/>
                  </w:rPr>
                  <w:t>减少投资</w:t>
                </w:r>
              </w:p>
            </w:tc>
          </w:sdtContent>
        </w:sdt>
        <w:sdt>
          <w:sdtPr>
            <w:tag w:val="_PLD_65083c46ec1c4666ad2656e7657e9fd1"/>
            <w:id w:val="1141001359"/>
          </w:sdtPr>
          <w:sdtContent>
            <w:tc>
              <w:tcPr>
                <w:tcW w:w="502" w:type="pct"/>
                <w:tcBorders>
                  <w:left w:val="single" w:color="auto" w:sz="4" w:space="0"/>
                  <w:bottom w:val="single" w:color="auto" w:sz="4" w:space="0"/>
                  <w:right w:val="single" w:color="auto" w:sz="4" w:space="0"/>
                </w:tcBorders>
                <w:vAlign w:val="center"/>
              </w:tcPr>
              <w:p w14:paraId="1642F48B">
                <w:pPr>
                  <w:jc w:val="center"/>
                </w:pPr>
                <w:r>
                  <w:rPr>
                    <w:rFonts w:hint="eastAsia"/>
                  </w:rPr>
                  <w:t>计提减值准备</w:t>
                </w:r>
              </w:p>
            </w:tc>
          </w:sdtContent>
        </w:sdt>
        <w:sdt>
          <w:sdtPr>
            <w:tag w:val="_PLD_2fd0b6df5fee4d3a8b432fa87f15d3c6"/>
            <w:id w:val="1381522878"/>
          </w:sdtPr>
          <w:sdtContent>
            <w:tc>
              <w:tcPr>
                <w:tcW w:w="525" w:type="pct"/>
                <w:tcBorders>
                  <w:left w:val="single" w:color="auto" w:sz="4" w:space="0"/>
                  <w:bottom w:val="single" w:color="auto" w:sz="4" w:space="0"/>
                  <w:right w:val="single" w:color="auto" w:sz="4" w:space="0"/>
                </w:tcBorders>
                <w:vAlign w:val="center"/>
              </w:tcPr>
              <w:p w14:paraId="21AC3843">
                <w:pPr>
                  <w:jc w:val="center"/>
                </w:pPr>
                <w:r>
                  <w:rPr>
                    <w:rFonts w:hint="eastAsia"/>
                  </w:rPr>
                  <w:t>其他</w:t>
                </w:r>
              </w:p>
            </w:tc>
          </w:sdtContent>
        </w:sdt>
        <w:tc>
          <w:tcPr>
            <w:tcW w:w="529" w:type="pct"/>
            <w:vMerge w:val="continue"/>
            <w:tcBorders>
              <w:left w:val="single" w:color="auto" w:sz="4" w:space="0"/>
              <w:bottom w:val="single" w:color="auto" w:sz="4" w:space="0"/>
              <w:right w:val="single" w:color="auto" w:sz="4" w:space="0"/>
            </w:tcBorders>
            <w:vAlign w:val="center"/>
          </w:tcPr>
          <w:p w14:paraId="66F72BEB">
            <w:pPr>
              <w:jc w:val="center"/>
            </w:pPr>
          </w:p>
        </w:tc>
        <w:tc>
          <w:tcPr>
            <w:tcW w:w="519" w:type="pct"/>
            <w:vMerge w:val="continue"/>
            <w:tcBorders>
              <w:left w:val="single" w:color="auto" w:sz="4" w:space="0"/>
              <w:bottom w:val="single" w:color="auto" w:sz="4" w:space="0"/>
              <w:right w:val="single" w:color="auto" w:sz="4" w:space="0"/>
            </w:tcBorders>
            <w:vAlign w:val="center"/>
          </w:tcPr>
          <w:p w14:paraId="335CBE73">
            <w:pPr>
              <w:jc w:val="center"/>
            </w:pPr>
          </w:p>
        </w:tc>
      </w:tr>
      <w:tr w14:paraId="5189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763F5C7F">
            <w:r>
              <w:rPr>
                <w:rFonts w:hint="eastAsia" w:ascii="宋体" w:hAnsi="宋体"/>
                <w:sz w:val="15"/>
                <w:szCs w:val="15"/>
              </w:rPr>
              <w:t>荣成荣山食品有限公司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77CC632D">
            <w:pPr>
              <w:jc w:val="right"/>
            </w:pPr>
            <w:r>
              <w:rPr>
                <w:rFonts w:hint="eastAsia" w:ascii="宋体" w:hAnsi="宋体"/>
                <w:sz w:val="18"/>
                <w:szCs w:val="18"/>
              </w:rPr>
              <w:t xml:space="preserve">11,954,190.00 </w:t>
            </w:r>
          </w:p>
        </w:tc>
        <w:tc>
          <w:tcPr>
            <w:tcW w:w="516" w:type="pct"/>
            <w:tcBorders>
              <w:top w:val="single" w:color="auto" w:sz="4" w:space="0"/>
              <w:left w:val="single" w:color="auto" w:sz="4" w:space="0"/>
              <w:bottom w:val="single" w:color="auto" w:sz="4" w:space="0"/>
              <w:right w:val="single" w:color="auto" w:sz="4" w:space="0"/>
            </w:tcBorders>
          </w:tcPr>
          <w:p w14:paraId="7705BD0A">
            <w:pPr>
              <w:jc w:val="right"/>
            </w:pPr>
          </w:p>
        </w:tc>
        <w:tc>
          <w:tcPr>
            <w:tcW w:w="517" w:type="pct"/>
            <w:tcBorders>
              <w:top w:val="single" w:color="auto" w:sz="4" w:space="0"/>
              <w:left w:val="single" w:color="auto" w:sz="4" w:space="0"/>
              <w:bottom w:val="single" w:color="auto" w:sz="4" w:space="0"/>
              <w:right w:val="single" w:color="auto" w:sz="4" w:space="0"/>
            </w:tcBorders>
          </w:tcPr>
          <w:p w14:paraId="3232270A">
            <w:pPr>
              <w:jc w:val="right"/>
            </w:pPr>
          </w:p>
        </w:tc>
        <w:tc>
          <w:tcPr>
            <w:tcW w:w="514" w:type="pct"/>
            <w:tcBorders>
              <w:top w:val="single" w:color="auto" w:sz="4" w:space="0"/>
              <w:left w:val="single" w:color="auto" w:sz="4" w:space="0"/>
              <w:bottom w:val="single" w:color="auto" w:sz="4" w:space="0"/>
              <w:right w:val="single" w:color="auto" w:sz="4" w:space="0"/>
            </w:tcBorders>
          </w:tcPr>
          <w:p w14:paraId="49106E98">
            <w:pPr>
              <w:jc w:val="right"/>
            </w:pPr>
          </w:p>
        </w:tc>
        <w:tc>
          <w:tcPr>
            <w:tcW w:w="502" w:type="pct"/>
            <w:tcBorders>
              <w:top w:val="single" w:color="auto" w:sz="4" w:space="0"/>
              <w:left w:val="single" w:color="auto" w:sz="4" w:space="0"/>
              <w:bottom w:val="single" w:color="auto" w:sz="4" w:space="0"/>
              <w:right w:val="single" w:color="auto" w:sz="4" w:space="0"/>
            </w:tcBorders>
          </w:tcPr>
          <w:p w14:paraId="166F8D65">
            <w:pPr>
              <w:jc w:val="right"/>
            </w:pPr>
          </w:p>
        </w:tc>
        <w:tc>
          <w:tcPr>
            <w:tcW w:w="525" w:type="pct"/>
            <w:tcBorders>
              <w:top w:val="single" w:color="auto" w:sz="4" w:space="0"/>
              <w:left w:val="single" w:color="auto" w:sz="4" w:space="0"/>
              <w:bottom w:val="single" w:color="auto" w:sz="4" w:space="0"/>
              <w:right w:val="single" w:color="auto" w:sz="4" w:space="0"/>
            </w:tcBorders>
          </w:tcPr>
          <w:p w14:paraId="50901CCE">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43ADDEC1">
            <w:pPr>
              <w:jc w:val="right"/>
            </w:pPr>
            <w:r>
              <w:rPr>
                <w:rFonts w:hint="eastAsia" w:ascii="宋体" w:hAnsi="宋体"/>
                <w:sz w:val="18"/>
                <w:szCs w:val="18"/>
              </w:rPr>
              <w:t xml:space="preserve">11,954,190.00 </w:t>
            </w:r>
          </w:p>
        </w:tc>
        <w:tc>
          <w:tcPr>
            <w:tcW w:w="519" w:type="pct"/>
            <w:tcBorders>
              <w:top w:val="single" w:color="auto" w:sz="4" w:space="0"/>
              <w:left w:val="single" w:color="auto" w:sz="4" w:space="0"/>
              <w:bottom w:val="single" w:color="auto" w:sz="4" w:space="0"/>
              <w:right w:val="single" w:color="auto" w:sz="4" w:space="0"/>
            </w:tcBorders>
            <w:vAlign w:val="center"/>
          </w:tcPr>
          <w:p w14:paraId="00477CBE">
            <w:pPr>
              <w:jc w:val="right"/>
            </w:pPr>
          </w:p>
        </w:tc>
      </w:tr>
      <w:tr w14:paraId="3AE7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15441AF7">
            <w:r>
              <w:rPr>
                <w:rFonts w:hint="eastAsia" w:ascii="宋体" w:hAnsi="宋体"/>
                <w:sz w:val="15"/>
                <w:szCs w:val="15"/>
              </w:rPr>
              <w:t>荣成荣东食品有限公司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70CB332B">
            <w:pPr>
              <w:jc w:val="right"/>
            </w:pPr>
            <w:r>
              <w:rPr>
                <w:rFonts w:hint="eastAsia" w:ascii="宋体" w:hAnsi="宋体"/>
                <w:sz w:val="18"/>
                <w:szCs w:val="18"/>
              </w:rPr>
              <w:t xml:space="preserve">9,210,845.97 </w:t>
            </w:r>
          </w:p>
        </w:tc>
        <w:tc>
          <w:tcPr>
            <w:tcW w:w="516" w:type="pct"/>
            <w:tcBorders>
              <w:top w:val="single" w:color="auto" w:sz="4" w:space="0"/>
              <w:left w:val="single" w:color="auto" w:sz="4" w:space="0"/>
              <w:bottom w:val="single" w:color="auto" w:sz="4" w:space="0"/>
              <w:right w:val="single" w:color="auto" w:sz="4" w:space="0"/>
            </w:tcBorders>
          </w:tcPr>
          <w:p w14:paraId="3E76F6BA">
            <w:pPr>
              <w:jc w:val="right"/>
            </w:pPr>
          </w:p>
        </w:tc>
        <w:tc>
          <w:tcPr>
            <w:tcW w:w="517" w:type="pct"/>
            <w:tcBorders>
              <w:top w:val="single" w:color="auto" w:sz="4" w:space="0"/>
              <w:left w:val="single" w:color="auto" w:sz="4" w:space="0"/>
              <w:bottom w:val="single" w:color="auto" w:sz="4" w:space="0"/>
              <w:right w:val="single" w:color="auto" w:sz="4" w:space="0"/>
            </w:tcBorders>
          </w:tcPr>
          <w:p w14:paraId="74E40C04">
            <w:pPr>
              <w:jc w:val="right"/>
            </w:pPr>
          </w:p>
        </w:tc>
        <w:tc>
          <w:tcPr>
            <w:tcW w:w="514" w:type="pct"/>
            <w:tcBorders>
              <w:top w:val="single" w:color="auto" w:sz="4" w:space="0"/>
              <w:left w:val="single" w:color="auto" w:sz="4" w:space="0"/>
              <w:bottom w:val="single" w:color="auto" w:sz="4" w:space="0"/>
              <w:right w:val="single" w:color="auto" w:sz="4" w:space="0"/>
            </w:tcBorders>
          </w:tcPr>
          <w:p w14:paraId="6BADFC79">
            <w:pPr>
              <w:jc w:val="right"/>
            </w:pPr>
          </w:p>
        </w:tc>
        <w:tc>
          <w:tcPr>
            <w:tcW w:w="502" w:type="pct"/>
            <w:tcBorders>
              <w:top w:val="single" w:color="auto" w:sz="4" w:space="0"/>
              <w:left w:val="single" w:color="auto" w:sz="4" w:space="0"/>
              <w:bottom w:val="single" w:color="auto" w:sz="4" w:space="0"/>
              <w:right w:val="single" w:color="auto" w:sz="4" w:space="0"/>
            </w:tcBorders>
          </w:tcPr>
          <w:p w14:paraId="0CBB9416">
            <w:pPr>
              <w:jc w:val="right"/>
            </w:pPr>
          </w:p>
        </w:tc>
        <w:tc>
          <w:tcPr>
            <w:tcW w:w="525" w:type="pct"/>
            <w:tcBorders>
              <w:top w:val="single" w:color="auto" w:sz="4" w:space="0"/>
              <w:left w:val="single" w:color="auto" w:sz="4" w:space="0"/>
              <w:bottom w:val="single" w:color="auto" w:sz="4" w:space="0"/>
              <w:right w:val="single" w:color="auto" w:sz="4" w:space="0"/>
            </w:tcBorders>
          </w:tcPr>
          <w:p w14:paraId="132CD9A6">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3AA67DFC">
            <w:pPr>
              <w:jc w:val="right"/>
            </w:pPr>
            <w:r>
              <w:rPr>
                <w:rFonts w:hint="eastAsia" w:ascii="宋体" w:hAnsi="宋体"/>
                <w:sz w:val="18"/>
                <w:szCs w:val="18"/>
              </w:rPr>
              <w:t xml:space="preserve">9,210,845.97 </w:t>
            </w:r>
          </w:p>
        </w:tc>
        <w:tc>
          <w:tcPr>
            <w:tcW w:w="519" w:type="pct"/>
            <w:tcBorders>
              <w:top w:val="single" w:color="auto" w:sz="4" w:space="0"/>
              <w:left w:val="single" w:color="auto" w:sz="4" w:space="0"/>
              <w:bottom w:val="single" w:color="auto" w:sz="4" w:space="0"/>
              <w:right w:val="single" w:color="auto" w:sz="4" w:space="0"/>
            </w:tcBorders>
            <w:vAlign w:val="center"/>
          </w:tcPr>
          <w:p w14:paraId="203C0DBB">
            <w:pPr>
              <w:jc w:val="right"/>
            </w:pPr>
          </w:p>
        </w:tc>
      </w:tr>
      <w:tr w14:paraId="6F7C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7DF21A7D">
            <w:r>
              <w:rPr>
                <w:rFonts w:hint="eastAsia" w:ascii="宋体" w:hAnsi="宋体"/>
                <w:sz w:val="15"/>
                <w:szCs w:val="15"/>
              </w:rPr>
              <w:t>荣成荣健食品有限公司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4BEF2B71">
            <w:pPr>
              <w:jc w:val="right"/>
            </w:pPr>
            <w:r>
              <w:rPr>
                <w:rFonts w:hint="eastAsia" w:ascii="宋体" w:hAnsi="宋体"/>
                <w:sz w:val="18"/>
                <w:szCs w:val="18"/>
              </w:rPr>
              <w:t xml:space="preserve">4,950,000.00 </w:t>
            </w:r>
          </w:p>
        </w:tc>
        <w:tc>
          <w:tcPr>
            <w:tcW w:w="516" w:type="pct"/>
            <w:tcBorders>
              <w:top w:val="single" w:color="auto" w:sz="4" w:space="0"/>
              <w:left w:val="single" w:color="auto" w:sz="4" w:space="0"/>
              <w:bottom w:val="single" w:color="auto" w:sz="4" w:space="0"/>
              <w:right w:val="single" w:color="auto" w:sz="4" w:space="0"/>
            </w:tcBorders>
          </w:tcPr>
          <w:p w14:paraId="31626C89">
            <w:pPr>
              <w:jc w:val="right"/>
            </w:pPr>
          </w:p>
        </w:tc>
        <w:tc>
          <w:tcPr>
            <w:tcW w:w="517" w:type="pct"/>
            <w:tcBorders>
              <w:top w:val="single" w:color="auto" w:sz="4" w:space="0"/>
              <w:left w:val="single" w:color="auto" w:sz="4" w:space="0"/>
              <w:bottom w:val="single" w:color="auto" w:sz="4" w:space="0"/>
              <w:right w:val="single" w:color="auto" w:sz="4" w:space="0"/>
            </w:tcBorders>
          </w:tcPr>
          <w:p w14:paraId="27EA9F7C">
            <w:pPr>
              <w:jc w:val="right"/>
            </w:pPr>
          </w:p>
        </w:tc>
        <w:tc>
          <w:tcPr>
            <w:tcW w:w="514" w:type="pct"/>
            <w:tcBorders>
              <w:top w:val="single" w:color="auto" w:sz="4" w:space="0"/>
              <w:left w:val="single" w:color="auto" w:sz="4" w:space="0"/>
              <w:bottom w:val="single" w:color="auto" w:sz="4" w:space="0"/>
              <w:right w:val="single" w:color="auto" w:sz="4" w:space="0"/>
            </w:tcBorders>
          </w:tcPr>
          <w:p w14:paraId="6EF5181C">
            <w:pPr>
              <w:jc w:val="right"/>
            </w:pPr>
          </w:p>
        </w:tc>
        <w:tc>
          <w:tcPr>
            <w:tcW w:w="502" w:type="pct"/>
            <w:tcBorders>
              <w:top w:val="single" w:color="auto" w:sz="4" w:space="0"/>
              <w:left w:val="single" w:color="auto" w:sz="4" w:space="0"/>
              <w:bottom w:val="single" w:color="auto" w:sz="4" w:space="0"/>
              <w:right w:val="single" w:color="auto" w:sz="4" w:space="0"/>
            </w:tcBorders>
          </w:tcPr>
          <w:p w14:paraId="4BAACFA0">
            <w:pPr>
              <w:jc w:val="right"/>
            </w:pPr>
          </w:p>
        </w:tc>
        <w:tc>
          <w:tcPr>
            <w:tcW w:w="525" w:type="pct"/>
            <w:tcBorders>
              <w:top w:val="single" w:color="auto" w:sz="4" w:space="0"/>
              <w:left w:val="single" w:color="auto" w:sz="4" w:space="0"/>
              <w:bottom w:val="single" w:color="auto" w:sz="4" w:space="0"/>
              <w:right w:val="single" w:color="auto" w:sz="4" w:space="0"/>
            </w:tcBorders>
          </w:tcPr>
          <w:p w14:paraId="72EC04DD">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63838706">
            <w:pPr>
              <w:jc w:val="right"/>
            </w:pPr>
            <w:r>
              <w:rPr>
                <w:rFonts w:hint="eastAsia" w:ascii="宋体" w:hAnsi="宋体"/>
                <w:sz w:val="18"/>
                <w:szCs w:val="18"/>
              </w:rPr>
              <w:t xml:space="preserve">4,950,000.00 </w:t>
            </w:r>
          </w:p>
        </w:tc>
        <w:tc>
          <w:tcPr>
            <w:tcW w:w="519" w:type="pct"/>
            <w:tcBorders>
              <w:top w:val="single" w:color="auto" w:sz="4" w:space="0"/>
              <w:left w:val="single" w:color="auto" w:sz="4" w:space="0"/>
              <w:bottom w:val="single" w:color="auto" w:sz="4" w:space="0"/>
              <w:right w:val="single" w:color="auto" w:sz="4" w:space="0"/>
            </w:tcBorders>
            <w:vAlign w:val="center"/>
          </w:tcPr>
          <w:p w14:paraId="47DFCB05">
            <w:pPr>
              <w:jc w:val="right"/>
            </w:pPr>
          </w:p>
        </w:tc>
      </w:tr>
      <w:tr w14:paraId="03A9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06F55FFB">
            <w:r>
              <w:rPr>
                <w:rFonts w:hint="eastAsia" w:ascii="宋体" w:hAnsi="宋体"/>
                <w:sz w:val="15"/>
                <w:szCs w:val="15"/>
              </w:rPr>
              <w:t>荣成荣康食品有限公司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0E6FCA12">
            <w:pPr>
              <w:jc w:val="right"/>
            </w:pPr>
            <w:r>
              <w:rPr>
                <w:rFonts w:hint="eastAsia" w:ascii="宋体" w:hAnsi="宋体"/>
                <w:sz w:val="18"/>
                <w:szCs w:val="18"/>
              </w:rPr>
              <w:t xml:space="preserve">76,866,277.00 </w:t>
            </w:r>
          </w:p>
        </w:tc>
        <w:tc>
          <w:tcPr>
            <w:tcW w:w="516" w:type="pct"/>
            <w:tcBorders>
              <w:top w:val="single" w:color="auto" w:sz="4" w:space="0"/>
              <w:left w:val="single" w:color="auto" w:sz="4" w:space="0"/>
              <w:bottom w:val="single" w:color="auto" w:sz="4" w:space="0"/>
              <w:right w:val="single" w:color="auto" w:sz="4" w:space="0"/>
            </w:tcBorders>
          </w:tcPr>
          <w:p w14:paraId="71A7DC9E">
            <w:pPr>
              <w:jc w:val="right"/>
            </w:pPr>
          </w:p>
        </w:tc>
        <w:tc>
          <w:tcPr>
            <w:tcW w:w="517" w:type="pct"/>
            <w:tcBorders>
              <w:top w:val="single" w:color="auto" w:sz="4" w:space="0"/>
              <w:left w:val="single" w:color="auto" w:sz="4" w:space="0"/>
              <w:bottom w:val="single" w:color="auto" w:sz="4" w:space="0"/>
              <w:right w:val="single" w:color="auto" w:sz="4" w:space="0"/>
            </w:tcBorders>
          </w:tcPr>
          <w:p w14:paraId="4FC78F8F">
            <w:pPr>
              <w:jc w:val="right"/>
            </w:pPr>
          </w:p>
        </w:tc>
        <w:tc>
          <w:tcPr>
            <w:tcW w:w="514" w:type="pct"/>
            <w:tcBorders>
              <w:top w:val="single" w:color="auto" w:sz="4" w:space="0"/>
              <w:left w:val="single" w:color="auto" w:sz="4" w:space="0"/>
              <w:bottom w:val="single" w:color="auto" w:sz="4" w:space="0"/>
              <w:right w:val="single" w:color="auto" w:sz="4" w:space="0"/>
            </w:tcBorders>
          </w:tcPr>
          <w:p w14:paraId="35DB4C06">
            <w:pPr>
              <w:jc w:val="right"/>
            </w:pPr>
          </w:p>
        </w:tc>
        <w:tc>
          <w:tcPr>
            <w:tcW w:w="502" w:type="pct"/>
            <w:tcBorders>
              <w:top w:val="single" w:color="auto" w:sz="4" w:space="0"/>
              <w:left w:val="single" w:color="auto" w:sz="4" w:space="0"/>
              <w:bottom w:val="single" w:color="auto" w:sz="4" w:space="0"/>
              <w:right w:val="single" w:color="auto" w:sz="4" w:space="0"/>
            </w:tcBorders>
          </w:tcPr>
          <w:p w14:paraId="39004B4F">
            <w:pPr>
              <w:jc w:val="right"/>
            </w:pPr>
          </w:p>
        </w:tc>
        <w:tc>
          <w:tcPr>
            <w:tcW w:w="525" w:type="pct"/>
            <w:tcBorders>
              <w:top w:val="single" w:color="auto" w:sz="4" w:space="0"/>
              <w:left w:val="single" w:color="auto" w:sz="4" w:space="0"/>
              <w:bottom w:val="single" w:color="auto" w:sz="4" w:space="0"/>
              <w:right w:val="single" w:color="auto" w:sz="4" w:space="0"/>
            </w:tcBorders>
          </w:tcPr>
          <w:p w14:paraId="5B55FA54">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0C71402F">
            <w:pPr>
              <w:jc w:val="right"/>
            </w:pPr>
            <w:r>
              <w:rPr>
                <w:rFonts w:hint="eastAsia" w:ascii="宋体" w:hAnsi="宋体"/>
                <w:sz w:val="18"/>
                <w:szCs w:val="18"/>
              </w:rPr>
              <w:t xml:space="preserve">76,866,277.00 </w:t>
            </w:r>
          </w:p>
        </w:tc>
        <w:tc>
          <w:tcPr>
            <w:tcW w:w="519" w:type="pct"/>
            <w:tcBorders>
              <w:top w:val="single" w:color="auto" w:sz="4" w:space="0"/>
              <w:left w:val="single" w:color="auto" w:sz="4" w:space="0"/>
              <w:bottom w:val="single" w:color="auto" w:sz="4" w:space="0"/>
              <w:right w:val="single" w:color="auto" w:sz="4" w:space="0"/>
            </w:tcBorders>
            <w:vAlign w:val="center"/>
          </w:tcPr>
          <w:p w14:paraId="6FB8127A">
            <w:pPr>
              <w:jc w:val="right"/>
            </w:pPr>
          </w:p>
        </w:tc>
      </w:tr>
      <w:tr w14:paraId="3899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6126E88B">
            <w:r>
              <w:rPr>
                <w:rFonts w:hint="eastAsia" w:ascii="宋体" w:hAnsi="宋体"/>
                <w:sz w:val="15"/>
                <w:szCs w:val="15"/>
              </w:rPr>
              <w:t>山东好当家海洋食品销售有限公司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2CB3FECE">
            <w:pPr>
              <w:jc w:val="right"/>
            </w:pPr>
            <w:r>
              <w:rPr>
                <w:rFonts w:hint="eastAsia" w:ascii="宋体" w:hAnsi="宋体"/>
                <w:sz w:val="18"/>
                <w:szCs w:val="18"/>
              </w:rPr>
              <w:t xml:space="preserve">8,211,974.60 </w:t>
            </w:r>
          </w:p>
        </w:tc>
        <w:tc>
          <w:tcPr>
            <w:tcW w:w="516" w:type="pct"/>
            <w:tcBorders>
              <w:top w:val="single" w:color="auto" w:sz="4" w:space="0"/>
              <w:left w:val="single" w:color="auto" w:sz="4" w:space="0"/>
              <w:bottom w:val="single" w:color="auto" w:sz="4" w:space="0"/>
              <w:right w:val="single" w:color="auto" w:sz="4" w:space="0"/>
            </w:tcBorders>
          </w:tcPr>
          <w:p w14:paraId="1042E44E">
            <w:pPr>
              <w:jc w:val="right"/>
            </w:pPr>
          </w:p>
        </w:tc>
        <w:tc>
          <w:tcPr>
            <w:tcW w:w="517" w:type="pct"/>
            <w:tcBorders>
              <w:top w:val="single" w:color="auto" w:sz="4" w:space="0"/>
              <w:left w:val="single" w:color="auto" w:sz="4" w:space="0"/>
              <w:bottom w:val="single" w:color="auto" w:sz="4" w:space="0"/>
              <w:right w:val="single" w:color="auto" w:sz="4" w:space="0"/>
            </w:tcBorders>
          </w:tcPr>
          <w:p w14:paraId="713D320A">
            <w:pPr>
              <w:jc w:val="right"/>
            </w:pPr>
          </w:p>
        </w:tc>
        <w:tc>
          <w:tcPr>
            <w:tcW w:w="514" w:type="pct"/>
            <w:tcBorders>
              <w:top w:val="single" w:color="auto" w:sz="4" w:space="0"/>
              <w:left w:val="single" w:color="auto" w:sz="4" w:space="0"/>
              <w:bottom w:val="single" w:color="auto" w:sz="4" w:space="0"/>
              <w:right w:val="single" w:color="auto" w:sz="4" w:space="0"/>
            </w:tcBorders>
          </w:tcPr>
          <w:p w14:paraId="53B5A231">
            <w:pPr>
              <w:jc w:val="right"/>
            </w:pPr>
          </w:p>
        </w:tc>
        <w:tc>
          <w:tcPr>
            <w:tcW w:w="502" w:type="pct"/>
            <w:tcBorders>
              <w:top w:val="single" w:color="auto" w:sz="4" w:space="0"/>
              <w:left w:val="single" w:color="auto" w:sz="4" w:space="0"/>
              <w:bottom w:val="single" w:color="auto" w:sz="4" w:space="0"/>
              <w:right w:val="single" w:color="auto" w:sz="4" w:space="0"/>
            </w:tcBorders>
          </w:tcPr>
          <w:p w14:paraId="7A1C15AD">
            <w:pPr>
              <w:jc w:val="right"/>
            </w:pPr>
          </w:p>
        </w:tc>
        <w:tc>
          <w:tcPr>
            <w:tcW w:w="525" w:type="pct"/>
            <w:tcBorders>
              <w:top w:val="single" w:color="auto" w:sz="4" w:space="0"/>
              <w:left w:val="single" w:color="auto" w:sz="4" w:space="0"/>
              <w:bottom w:val="single" w:color="auto" w:sz="4" w:space="0"/>
              <w:right w:val="single" w:color="auto" w:sz="4" w:space="0"/>
            </w:tcBorders>
          </w:tcPr>
          <w:p w14:paraId="227892EC">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06A931FE">
            <w:pPr>
              <w:jc w:val="right"/>
            </w:pPr>
            <w:r>
              <w:rPr>
                <w:rFonts w:hint="eastAsia" w:ascii="宋体" w:hAnsi="宋体"/>
                <w:sz w:val="18"/>
                <w:szCs w:val="18"/>
              </w:rPr>
              <w:t xml:space="preserve">8,211,974.60 </w:t>
            </w:r>
          </w:p>
        </w:tc>
        <w:tc>
          <w:tcPr>
            <w:tcW w:w="519" w:type="pct"/>
            <w:tcBorders>
              <w:top w:val="single" w:color="auto" w:sz="4" w:space="0"/>
              <w:left w:val="single" w:color="auto" w:sz="4" w:space="0"/>
              <w:bottom w:val="single" w:color="auto" w:sz="4" w:space="0"/>
              <w:right w:val="single" w:color="auto" w:sz="4" w:space="0"/>
            </w:tcBorders>
            <w:vAlign w:val="center"/>
          </w:tcPr>
          <w:p w14:paraId="23EF90FA">
            <w:pPr>
              <w:jc w:val="right"/>
            </w:pPr>
          </w:p>
        </w:tc>
      </w:tr>
      <w:tr w14:paraId="30B8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1A8F850C">
            <w:r>
              <w:rPr>
                <w:rFonts w:hint="eastAsia" w:ascii="宋体" w:hAnsi="宋体"/>
                <w:sz w:val="15"/>
                <w:szCs w:val="15"/>
              </w:rPr>
              <w:t>山东好当家海洋捕捞有限公司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0EEFE4EB">
            <w:pPr>
              <w:jc w:val="right"/>
            </w:pPr>
            <w:r>
              <w:rPr>
                <w:rFonts w:hint="eastAsia" w:ascii="宋体" w:hAnsi="宋体"/>
                <w:sz w:val="18"/>
                <w:szCs w:val="18"/>
              </w:rPr>
              <w:t xml:space="preserve">211,782,934.39 </w:t>
            </w:r>
          </w:p>
        </w:tc>
        <w:tc>
          <w:tcPr>
            <w:tcW w:w="516" w:type="pct"/>
            <w:tcBorders>
              <w:top w:val="single" w:color="auto" w:sz="4" w:space="0"/>
              <w:left w:val="single" w:color="auto" w:sz="4" w:space="0"/>
              <w:bottom w:val="single" w:color="auto" w:sz="4" w:space="0"/>
              <w:right w:val="single" w:color="auto" w:sz="4" w:space="0"/>
            </w:tcBorders>
          </w:tcPr>
          <w:p w14:paraId="242DD0C2">
            <w:pPr>
              <w:jc w:val="right"/>
            </w:pPr>
          </w:p>
        </w:tc>
        <w:tc>
          <w:tcPr>
            <w:tcW w:w="517" w:type="pct"/>
            <w:tcBorders>
              <w:top w:val="single" w:color="auto" w:sz="4" w:space="0"/>
              <w:left w:val="single" w:color="auto" w:sz="4" w:space="0"/>
              <w:bottom w:val="single" w:color="auto" w:sz="4" w:space="0"/>
              <w:right w:val="single" w:color="auto" w:sz="4" w:space="0"/>
            </w:tcBorders>
          </w:tcPr>
          <w:p w14:paraId="0CAE5D99">
            <w:pPr>
              <w:jc w:val="right"/>
            </w:pPr>
          </w:p>
        </w:tc>
        <w:tc>
          <w:tcPr>
            <w:tcW w:w="514" w:type="pct"/>
            <w:tcBorders>
              <w:top w:val="single" w:color="auto" w:sz="4" w:space="0"/>
              <w:left w:val="single" w:color="auto" w:sz="4" w:space="0"/>
              <w:bottom w:val="single" w:color="auto" w:sz="4" w:space="0"/>
              <w:right w:val="single" w:color="auto" w:sz="4" w:space="0"/>
            </w:tcBorders>
          </w:tcPr>
          <w:p w14:paraId="18497620">
            <w:pPr>
              <w:jc w:val="right"/>
            </w:pPr>
          </w:p>
        </w:tc>
        <w:tc>
          <w:tcPr>
            <w:tcW w:w="502" w:type="pct"/>
            <w:tcBorders>
              <w:top w:val="single" w:color="auto" w:sz="4" w:space="0"/>
              <w:left w:val="single" w:color="auto" w:sz="4" w:space="0"/>
              <w:bottom w:val="single" w:color="auto" w:sz="4" w:space="0"/>
              <w:right w:val="single" w:color="auto" w:sz="4" w:space="0"/>
            </w:tcBorders>
          </w:tcPr>
          <w:p w14:paraId="55455E4C">
            <w:pPr>
              <w:jc w:val="right"/>
            </w:pPr>
          </w:p>
        </w:tc>
        <w:tc>
          <w:tcPr>
            <w:tcW w:w="525" w:type="pct"/>
            <w:tcBorders>
              <w:top w:val="single" w:color="auto" w:sz="4" w:space="0"/>
              <w:left w:val="single" w:color="auto" w:sz="4" w:space="0"/>
              <w:bottom w:val="single" w:color="auto" w:sz="4" w:space="0"/>
              <w:right w:val="single" w:color="auto" w:sz="4" w:space="0"/>
            </w:tcBorders>
          </w:tcPr>
          <w:p w14:paraId="613F7E0C">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5BD3768A">
            <w:pPr>
              <w:jc w:val="right"/>
            </w:pPr>
            <w:r>
              <w:rPr>
                <w:rFonts w:hint="eastAsia" w:ascii="宋体" w:hAnsi="宋体"/>
                <w:sz w:val="18"/>
                <w:szCs w:val="18"/>
              </w:rPr>
              <w:t xml:space="preserve">211,782,934.39 </w:t>
            </w:r>
          </w:p>
        </w:tc>
        <w:tc>
          <w:tcPr>
            <w:tcW w:w="519" w:type="pct"/>
            <w:tcBorders>
              <w:top w:val="single" w:color="auto" w:sz="4" w:space="0"/>
              <w:left w:val="single" w:color="auto" w:sz="4" w:space="0"/>
              <w:bottom w:val="single" w:color="auto" w:sz="4" w:space="0"/>
              <w:right w:val="single" w:color="auto" w:sz="4" w:space="0"/>
            </w:tcBorders>
            <w:vAlign w:val="center"/>
          </w:tcPr>
          <w:p w14:paraId="5A77605A">
            <w:pPr>
              <w:jc w:val="right"/>
            </w:pPr>
          </w:p>
        </w:tc>
      </w:tr>
      <w:tr w14:paraId="08CB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156C0650">
            <w:r>
              <w:rPr>
                <w:rFonts w:hint="eastAsia" w:ascii="宋体" w:hAnsi="宋体"/>
                <w:sz w:val="15"/>
                <w:szCs w:val="15"/>
              </w:rPr>
              <w:t>威海海翔食品检测服务有限公司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6C3ADFF6">
            <w:pPr>
              <w:jc w:val="right"/>
            </w:pPr>
            <w:r>
              <w:rPr>
                <w:rFonts w:hint="eastAsia" w:ascii="宋体" w:hAnsi="宋体"/>
                <w:sz w:val="18"/>
                <w:szCs w:val="18"/>
              </w:rPr>
              <w:t xml:space="preserve">19,900,000.00 </w:t>
            </w:r>
          </w:p>
        </w:tc>
        <w:tc>
          <w:tcPr>
            <w:tcW w:w="516" w:type="pct"/>
            <w:tcBorders>
              <w:top w:val="single" w:color="auto" w:sz="4" w:space="0"/>
              <w:left w:val="single" w:color="auto" w:sz="4" w:space="0"/>
              <w:bottom w:val="single" w:color="auto" w:sz="4" w:space="0"/>
              <w:right w:val="single" w:color="auto" w:sz="4" w:space="0"/>
            </w:tcBorders>
          </w:tcPr>
          <w:p w14:paraId="29AEC359">
            <w:pPr>
              <w:jc w:val="right"/>
            </w:pPr>
          </w:p>
        </w:tc>
        <w:tc>
          <w:tcPr>
            <w:tcW w:w="517" w:type="pct"/>
            <w:tcBorders>
              <w:top w:val="single" w:color="auto" w:sz="4" w:space="0"/>
              <w:left w:val="single" w:color="auto" w:sz="4" w:space="0"/>
              <w:bottom w:val="single" w:color="auto" w:sz="4" w:space="0"/>
              <w:right w:val="single" w:color="auto" w:sz="4" w:space="0"/>
            </w:tcBorders>
          </w:tcPr>
          <w:p w14:paraId="30890539">
            <w:pPr>
              <w:jc w:val="right"/>
            </w:pPr>
          </w:p>
        </w:tc>
        <w:tc>
          <w:tcPr>
            <w:tcW w:w="514" w:type="pct"/>
            <w:tcBorders>
              <w:top w:val="single" w:color="auto" w:sz="4" w:space="0"/>
              <w:left w:val="single" w:color="auto" w:sz="4" w:space="0"/>
              <w:bottom w:val="single" w:color="auto" w:sz="4" w:space="0"/>
              <w:right w:val="single" w:color="auto" w:sz="4" w:space="0"/>
            </w:tcBorders>
          </w:tcPr>
          <w:p w14:paraId="139A3806">
            <w:pPr>
              <w:jc w:val="right"/>
            </w:pPr>
          </w:p>
        </w:tc>
        <w:tc>
          <w:tcPr>
            <w:tcW w:w="502" w:type="pct"/>
            <w:tcBorders>
              <w:top w:val="single" w:color="auto" w:sz="4" w:space="0"/>
              <w:left w:val="single" w:color="auto" w:sz="4" w:space="0"/>
              <w:bottom w:val="single" w:color="auto" w:sz="4" w:space="0"/>
              <w:right w:val="single" w:color="auto" w:sz="4" w:space="0"/>
            </w:tcBorders>
          </w:tcPr>
          <w:p w14:paraId="1E63E944">
            <w:pPr>
              <w:jc w:val="right"/>
            </w:pPr>
          </w:p>
        </w:tc>
        <w:tc>
          <w:tcPr>
            <w:tcW w:w="525" w:type="pct"/>
            <w:tcBorders>
              <w:top w:val="single" w:color="auto" w:sz="4" w:space="0"/>
              <w:left w:val="single" w:color="auto" w:sz="4" w:space="0"/>
              <w:bottom w:val="single" w:color="auto" w:sz="4" w:space="0"/>
              <w:right w:val="single" w:color="auto" w:sz="4" w:space="0"/>
            </w:tcBorders>
          </w:tcPr>
          <w:p w14:paraId="79F89A2F">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513FFE06">
            <w:pPr>
              <w:jc w:val="right"/>
            </w:pPr>
            <w:r>
              <w:rPr>
                <w:rFonts w:hint="eastAsia" w:ascii="宋体" w:hAnsi="宋体"/>
                <w:sz w:val="18"/>
                <w:szCs w:val="18"/>
              </w:rPr>
              <w:t xml:space="preserve">19,900,000.00 </w:t>
            </w:r>
          </w:p>
        </w:tc>
        <w:tc>
          <w:tcPr>
            <w:tcW w:w="519" w:type="pct"/>
            <w:tcBorders>
              <w:top w:val="single" w:color="auto" w:sz="4" w:space="0"/>
              <w:left w:val="single" w:color="auto" w:sz="4" w:space="0"/>
              <w:bottom w:val="single" w:color="auto" w:sz="4" w:space="0"/>
              <w:right w:val="single" w:color="auto" w:sz="4" w:space="0"/>
            </w:tcBorders>
            <w:vAlign w:val="center"/>
          </w:tcPr>
          <w:p w14:paraId="1F011D40">
            <w:pPr>
              <w:jc w:val="right"/>
            </w:pPr>
          </w:p>
        </w:tc>
      </w:tr>
      <w:tr w14:paraId="2DD8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54EA53F7">
            <w:r>
              <w:rPr>
                <w:rFonts w:hint="eastAsia" w:ascii="宋体" w:hAnsi="宋体"/>
                <w:sz w:val="15"/>
                <w:szCs w:val="15"/>
              </w:rPr>
              <w:t>好当家乳山荣佳食品有限公司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3CA405B2">
            <w:pPr>
              <w:jc w:val="right"/>
            </w:pPr>
            <w:r>
              <w:rPr>
                <w:rFonts w:hint="eastAsia" w:ascii="宋体" w:hAnsi="宋体"/>
                <w:sz w:val="18"/>
                <w:szCs w:val="18"/>
              </w:rPr>
              <w:t xml:space="preserve">50,000,000.00 </w:t>
            </w:r>
          </w:p>
        </w:tc>
        <w:tc>
          <w:tcPr>
            <w:tcW w:w="516" w:type="pct"/>
            <w:tcBorders>
              <w:top w:val="single" w:color="auto" w:sz="4" w:space="0"/>
              <w:left w:val="single" w:color="auto" w:sz="4" w:space="0"/>
              <w:bottom w:val="single" w:color="auto" w:sz="4" w:space="0"/>
              <w:right w:val="single" w:color="auto" w:sz="4" w:space="0"/>
            </w:tcBorders>
          </w:tcPr>
          <w:p w14:paraId="7B7B44C5">
            <w:pPr>
              <w:jc w:val="right"/>
            </w:pPr>
          </w:p>
        </w:tc>
        <w:tc>
          <w:tcPr>
            <w:tcW w:w="517" w:type="pct"/>
            <w:tcBorders>
              <w:top w:val="single" w:color="auto" w:sz="4" w:space="0"/>
              <w:left w:val="single" w:color="auto" w:sz="4" w:space="0"/>
              <w:bottom w:val="single" w:color="auto" w:sz="4" w:space="0"/>
              <w:right w:val="single" w:color="auto" w:sz="4" w:space="0"/>
            </w:tcBorders>
          </w:tcPr>
          <w:p w14:paraId="430A21DE">
            <w:pPr>
              <w:jc w:val="right"/>
            </w:pPr>
          </w:p>
        </w:tc>
        <w:tc>
          <w:tcPr>
            <w:tcW w:w="514" w:type="pct"/>
            <w:tcBorders>
              <w:top w:val="single" w:color="auto" w:sz="4" w:space="0"/>
              <w:left w:val="single" w:color="auto" w:sz="4" w:space="0"/>
              <w:bottom w:val="single" w:color="auto" w:sz="4" w:space="0"/>
              <w:right w:val="single" w:color="auto" w:sz="4" w:space="0"/>
            </w:tcBorders>
          </w:tcPr>
          <w:p w14:paraId="76C2157D">
            <w:pPr>
              <w:jc w:val="right"/>
            </w:pPr>
          </w:p>
        </w:tc>
        <w:tc>
          <w:tcPr>
            <w:tcW w:w="502" w:type="pct"/>
            <w:tcBorders>
              <w:top w:val="single" w:color="auto" w:sz="4" w:space="0"/>
              <w:left w:val="single" w:color="auto" w:sz="4" w:space="0"/>
              <w:bottom w:val="single" w:color="auto" w:sz="4" w:space="0"/>
              <w:right w:val="single" w:color="auto" w:sz="4" w:space="0"/>
            </w:tcBorders>
          </w:tcPr>
          <w:p w14:paraId="0EBF666E">
            <w:pPr>
              <w:jc w:val="right"/>
            </w:pPr>
          </w:p>
        </w:tc>
        <w:tc>
          <w:tcPr>
            <w:tcW w:w="525" w:type="pct"/>
            <w:tcBorders>
              <w:top w:val="single" w:color="auto" w:sz="4" w:space="0"/>
              <w:left w:val="single" w:color="auto" w:sz="4" w:space="0"/>
              <w:bottom w:val="single" w:color="auto" w:sz="4" w:space="0"/>
              <w:right w:val="single" w:color="auto" w:sz="4" w:space="0"/>
            </w:tcBorders>
          </w:tcPr>
          <w:p w14:paraId="5FC953EA">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49A51C90">
            <w:pPr>
              <w:jc w:val="right"/>
            </w:pPr>
            <w:r>
              <w:rPr>
                <w:rFonts w:hint="eastAsia" w:ascii="宋体" w:hAnsi="宋体"/>
                <w:sz w:val="18"/>
                <w:szCs w:val="18"/>
              </w:rPr>
              <w:t xml:space="preserve">50,000,000.00 </w:t>
            </w:r>
          </w:p>
        </w:tc>
        <w:tc>
          <w:tcPr>
            <w:tcW w:w="519" w:type="pct"/>
            <w:tcBorders>
              <w:top w:val="single" w:color="auto" w:sz="4" w:space="0"/>
              <w:left w:val="single" w:color="auto" w:sz="4" w:space="0"/>
              <w:bottom w:val="single" w:color="auto" w:sz="4" w:space="0"/>
              <w:right w:val="single" w:color="auto" w:sz="4" w:space="0"/>
            </w:tcBorders>
            <w:vAlign w:val="center"/>
          </w:tcPr>
          <w:p w14:paraId="5E459102">
            <w:pPr>
              <w:jc w:val="right"/>
            </w:pPr>
          </w:p>
        </w:tc>
      </w:tr>
      <w:tr w14:paraId="2F2C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5DB1F156">
            <w:r>
              <w:rPr>
                <w:rFonts w:hint="eastAsia" w:ascii="宋体" w:hAnsi="宋体"/>
                <w:sz w:val="15"/>
                <w:szCs w:val="15"/>
              </w:rPr>
              <w:t>山东海普盾生物科技有限公司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0E846A87">
            <w:pPr>
              <w:jc w:val="right"/>
            </w:pPr>
            <w:r>
              <w:rPr>
                <w:rFonts w:hint="eastAsia" w:ascii="宋体" w:hAnsi="宋体"/>
                <w:sz w:val="18"/>
                <w:szCs w:val="18"/>
              </w:rPr>
              <w:t xml:space="preserve">120,000,000.00 </w:t>
            </w:r>
          </w:p>
        </w:tc>
        <w:tc>
          <w:tcPr>
            <w:tcW w:w="516" w:type="pct"/>
            <w:tcBorders>
              <w:top w:val="single" w:color="auto" w:sz="4" w:space="0"/>
              <w:left w:val="single" w:color="auto" w:sz="4" w:space="0"/>
              <w:bottom w:val="single" w:color="auto" w:sz="4" w:space="0"/>
              <w:right w:val="single" w:color="auto" w:sz="4" w:space="0"/>
            </w:tcBorders>
          </w:tcPr>
          <w:p w14:paraId="08F7814E">
            <w:pPr>
              <w:jc w:val="right"/>
            </w:pPr>
          </w:p>
        </w:tc>
        <w:tc>
          <w:tcPr>
            <w:tcW w:w="517" w:type="pct"/>
            <w:tcBorders>
              <w:top w:val="single" w:color="auto" w:sz="4" w:space="0"/>
              <w:left w:val="single" w:color="auto" w:sz="4" w:space="0"/>
              <w:bottom w:val="single" w:color="auto" w:sz="4" w:space="0"/>
              <w:right w:val="single" w:color="auto" w:sz="4" w:space="0"/>
            </w:tcBorders>
          </w:tcPr>
          <w:p w14:paraId="1A285306">
            <w:pPr>
              <w:jc w:val="right"/>
            </w:pPr>
          </w:p>
        </w:tc>
        <w:tc>
          <w:tcPr>
            <w:tcW w:w="514" w:type="pct"/>
            <w:tcBorders>
              <w:top w:val="single" w:color="auto" w:sz="4" w:space="0"/>
              <w:left w:val="single" w:color="auto" w:sz="4" w:space="0"/>
              <w:bottom w:val="single" w:color="auto" w:sz="4" w:space="0"/>
              <w:right w:val="single" w:color="auto" w:sz="4" w:space="0"/>
            </w:tcBorders>
          </w:tcPr>
          <w:p w14:paraId="1805BDD0">
            <w:pPr>
              <w:jc w:val="right"/>
            </w:pPr>
          </w:p>
        </w:tc>
        <w:tc>
          <w:tcPr>
            <w:tcW w:w="502" w:type="pct"/>
            <w:tcBorders>
              <w:top w:val="single" w:color="auto" w:sz="4" w:space="0"/>
              <w:left w:val="single" w:color="auto" w:sz="4" w:space="0"/>
              <w:bottom w:val="single" w:color="auto" w:sz="4" w:space="0"/>
              <w:right w:val="single" w:color="auto" w:sz="4" w:space="0"/>
            </w:tcBorders>
          </w:tcPr>
          <w:p w14:paraId="2F4F839E">
            <w:pPr>
              <w:jc w:val="right"/>
            </w:pPr>
          </w:p>
        </w:tc>
        <w:tc>
          <w:tcPr>
            <w:tcW w:w="525" w:type="pct"/>
            <w:tcBorders>
              <w:top w:val="single" w:color="auto" w:sz="4" w:space="0"/>
              <w:left w:val="single" w:color="auto" w:sz="4" w:space="0"/>
              <w:bottom w:val="single" w:color="auto" w:sz="4" w:space="0"/>
              <w:right w:val="single" w:color="auto" w:sz="4" w:space="0"/>
            </w:tcBorders>
          </w:tcPr>
          <w:p w14:paraId="187920F0">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79F1572C">
            <w:pPr>
              <w:jc w:val="right"/>
            </w:pPr>
            <w:r>
              <w:rPr>
                <w:rFonts w:hint="eastAsia" w:ascii="宋体" w:hAnsi="宋体"/>
                <w:sz w:val="18"/>
                <w:szCs w:val="18"/>
              </w:rPr>
              <w:t xml:space="preserve">120,000,000.00 </w:t>
            </w:r>
          </w:p>
        </w:tc>
        <w:tc>
          <w:tcPr>
            <w:tcW w:w="519" w:type="pct"/>
            <w:tcBorders>
              <w:top w:val="single" w:color="auto" w:sz="4" w:space="0"/>
              <w:left w:val="single" w:color="auto" w:sz="4" w:space="0"/>
              <w:bottom w:val="single" w:color="auto" w:sz="4" w:space="0"/>
              <w:right w:val="single" w:color="auto" w:sz="4" w:space="0"/>
            </w:tcBorders>
            <w:vAlign w:val="center"/>
          </w:tcPr>
          <w:p w14:paraId="3AAA37D5">
            <w:pPr>
              <w:jc w:val="right"/>
            </w:pPr>
          </w:p>
        </w:tc>
      </w:tr>
      <w:tr w14:paraId="67E6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5D93163A">
            <w:r>
              <w:rPr>
                <w:rFonts w:hint="eastAsia" w:ascii="宋体" w:hAnsi="宋体"/>
                <w:sz w:val="15"/>
                <w:szCs w:val="15"/>
              </w:rPr>
              <w:t>山东好当家海森药业有限公司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6EC8A77A">
            <w:pPr>
              <w:jc w:val="right"/>
            </w:pPr>
            <w:r>
              <w:rPr>
                <w:rFonts w:hint="eastAsia" w:ascii="宋体" w:hAnsi="宋体"/>
                <w:sz w:val="18"/>
                <w:szCs w:val="18"/>
              </w:rPr>
              <w:t xml:space="preserve">51,900,000.00 </w:t>
            </w:r>
          </w:p>
        </w:tc>
        <w:tc>
          <w:tcPr>
            <w:tcW w:w="516" w:type="pct"/>
            <w:tcBorders>
              <w:top w:val="single" w:color="auto" w:sz="4" w:space="0"/>
              <w:left w:val="single" w:color="auto" w:sz="4" w:space="0"/>
              <w:bottom w:val="single" w:color="auto" w:sz="4" w:space="0"/>
              <w:right w:val="single" w:color="auto" w:sz="4" w:space="0"/>
            </w:tcBorders>
          </w:tcPr>
          <w:p w14:paraId="22CDEF8E">
            <w:pPr>
              <w:jc w:val="right"/>
            </w:pPr>
          </w:p>
        </w:tc>
        <w:tc>
          <w:tcPr>
            <w:tcW w:w="517" w:type="pct"/>
            <w:tcBorders>
              <w:top w:val="single" w:color="auto" w:sz="4" w:space="0"/>
              <w:left w:val="single" w:color="auto" w:sz="4" w:space="0"/>
              <w:bottom w:val="single" w:color="auto" w:sz="4" w:space="0"/>
              <w:right w:val="single" w:color="auto" w:sz="4" w:space="0"/>
            </w:tcBorders>
          </w:tcPr>
          <w:p w14:paraId="516BD45B">
            <w:pPr>
              <w:jc w:val="right"/>
            </w:pPr>
          </w:p>
        </w:tc>
        <w:tc>
          <w:tcPr>
            <w:tcW w:w="514" w:type="pct"/>
            <w:tcBorders>
              <w:top w:val="single" w:color="auto" w:sz="4" w:space="0"/>
              <w:left w:val="single" w:color="auto" w:sz="4" w:space="0"/>
              <w:bottom w:val="single" w:color="auto" w:sz="4" w:space="0"/>
              <w:right w:val="single" w:color="auto" w:sz="4" w:space="0"/>
            </w:tcBorders>
          </w:tcPr>
          <w:p w14:paraId="30BE829F">
            <w:pPr>
              <w:jc w:val="right"/>
            </w:pPr>
          </w:p>
        </w:tc>
        <w:tc>
          <w:tcPr>
            <w:tcW w:w="502" w:type="pct"/>
            <w:tcBorders>
              <w:top w:val="single" w:color="auto" w:sz="4" w:space="0"/>
              <w:left w:val="single" w:color="auto" w:sz="4" w:space="0"/>
              <w:bottom w:val="single" w:color="auto" w:sz="4" w:space="0"/>
              <w:right w:val="single" w:color="auto" w:sz="4" w:space="0"/>
            </w:tcBorders>
          </w:tcPr>
          <w:p w14:paraId="17A5E641">
            <w:pPr>
              <w:jc w:val="right"/>
            </w:pPr>
          </w:p>
        </w:tc>
        <w:tc>
          <w:tcPr>
            <w:tcW w:w="525" w:type="pct"/>
            <w:tcBorders>
              <w:top w:val="single" w:color="auto" w:sz="4" w:space="0"/>
              <w:left w:val="single" w:color="auto" w:sz="4" w:space="0"/>
              <w:bottom w:val="single" w:color="auto" w:sz="4" w:space="0"/>
              <w:right w:val="single" w:color="auto" w:sz="4" w:space="0"/>
            </w:tcBorders>
          </w:tcPr>
          <w:p w14:paraId="527F12F2">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7006A4C1">
            <w:pPr>
              <w:jc w:val="right"/>
            </w:pPr>
            <w:r>
              <w:rPr>
                <w:rFonts w:hint="eastAsia" w:ascii="宋体" w:hAnsi="宋体"/>
                <w:sz w:val="18"/>
                <w:szCs w:val="18"/>
              </w:rPr>
              <w:t xml:space="preserve">51,900,000.00 </w:t>
            </w:r>
          </w:p>
        </w:tc>
        <w:tc>
          <w:tcPr>
            <w:tcW w:w="519" w:type="pct"/>
            <w:tcBorders>
              <w:top w:val="single" w:color="auto" w:sz="4" w:space="0"/>
              <w:left w:val="single" w:color="auto" w:sz="4" w:space="0"/>
              <w:bottom w:val="single" w:color="auto" w:sz="4" w:space="0"/>
              <w:right w:val="single" w:color="auto" w:sz="4" w:space="0"/>
            </w:tcBorders>
            <w:vAlign w:val="center"/>
          </w:tcPr>
          <w:p w14:paraId="49EB6DF5">
            <w:pPr>
              <w:jc w:val="right"/>
            </w:pPr>
          </w:p>
        </w:tc>
      </w:tr>
      <w:tr w14:paraId="19DB0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18E2E09B">
            <w:r>
              <w:rPr>
                <w:rFonts w:hint="eastAsia" w:ascii="宋体" w:hAnsi="宋体"/>
                <w:sz w:val="15"/>
                <w:szCs w:val="15"/>
              </w:rPr>
              <w:t>荣成市荣顺塑料管业有限公司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52CF586C">
            <w:pPr>
              <w:jc w:val="right"/>
            </w:pPr>
            <w:r>
              <w:rPr>
                <w:rFonts w:hint="eastAsia" w:ascii="宋体" w:hAnsi="宋体"/>
                <w:sz w:val="18"/>
                <w:szCs w:val="18"/>
              </w:rPr>
              <w:t xml:space="preserve">5,000,000.00 </w:t>
            </w:r>
          </w:p>
        </w:tc>
        <w:tc>
          <w:tcPr>
            <w:tcW w:w="516" w:type="pct"/>
            <w:tcBorders>
              <w:top w:val="single" w:color="auto" w:sz="4" w:space="0"/>
              <w:left w:val="single" w:color="auto" w:sz="4" w:space="0"/>
              <w:bottom w:val="single" w:color="auto" w:sz="4" w:space="0"/>
              <w:right w:val="single" w:color="auto" w:sz="4" w:space="0"/>
            </w:tcBorders>
          </w:tcPr>
          <w:p w14:paraId="77801753">
            <w:pPr>
              <w:jc w:val="right"/>
            </w:pPr>
          </w:p>
        </w:tc>
        <w:tc>
          <w:tcPr>
            <w:tcW w:w="517" w:type="pct"/>
            <w:tcBorders>
              <w:top w:val="single" w:color="auto" w:sz="4" w:space="0"/>
              <w:left w:val="single" w:color="auto" w:sz="4" w:space="0"/>
              <w:bottom w:val="single" w:color="auto" w:sz="4" w:space="0"/>
              <w:right w:val="single" w:color="auto" w:sz="4" w:space="0"/>
            </w:tcBorders>
          </w:tcPr>
          <w:p w14:paraId="080BC12B">
            <w:pPr>
              <w:jc w:val="right"/>
            </w:pPr>
          </w:p>
        </w:tc>
        <w:tc>
          <w:tcPr>
            <w:tcW w:w="514" w:type="pct"/>
            <w:tcBorders>
              <w:top w:val="single" w:color="auto" w:sz="4" w:space="0"/>
              <w:left w:val="single" w:color="auto" w:sz="4" w:space="0"/>
              <w:bottom w:val="single" w:color="auto" w:sz="4" w:space="0"/>
              <w:right w:val="single" w:color="auto" w:sz="4" w:space="0"/>
            </w:tcBorders>
          </w:tcPr>
          <w:p w14:paraId="45FE4565">
            <w:pPr>
              <w:jc w:val="right"/>
            </w:pPr>
          </w:p>
        </w:tc>
        <w:tc>
          <w:tcPr>
            <w:tcW w:w="502" w:type="pct"/>
            <w:tcBorders>
              <w:top w:val="single" w:color="auto" w:sz="4" w:space="0"/>
              <w:left w:val="single" w:color="auto" w:sz="4" w:space="0"/>
              <w:bottom w:val="single" w:color="auto" w:sz="4" w:space="0"/>
              <w:right w:val="single" w:color="auto" w:sz="4" w:space="0"/>
            </w:tcBorders>
          </w:tcPr>
          <w:p w14:paraId="46B90510">
            <w:pPr>
              <w:jc w:val="right"/>
            </w:pPr>
          </w:p>
        </w:tc>
        <w:tc>
          <w:tcPr>
            <w:tcW w:w="525" w:type="pct"/>
            <w:tcBorders>
              <w:top w:val="single" w:color="auto" w:sz="4" w:space="0"/>
              <w:left w:val="single" w:color="auto" w:sz="4" w:space="0"/>
              <w:bottom w:val="single" w:color="auto" w:sz="4" w:space="0"/>
              <w:right w:val="single" w:color="auto" w:sz="4" w:space="0"/>
            </w:tcBorders>
          </w:tcPr>
          <w:p w14:paraId="43041AB1">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0F80D703">
            <w:pPr>
              <w:jc w:val="right"/>
            </w:pPr>
            <w:r>
              <w:rPr>
                <w:rFonts w:hint="eastAsia" w:ascii="宋体" w:hAnsi="宋体"/>
                <w:sz w:val="18"/>
                <w:szCs w:val="18"/>
              </w:rPr>
              <w:t xml:space="preserve">5,000,000.00 </w:t>
            </w:r>
          </w:p>
        </w:tc>
        <w:tc>
          <w:tcPr>
            <w:tcW w:w="519" w:type="pct"/>
            <w:tcBorders>
              <w:top w:val="single" w:color="auto" w:sz="4" w:space="0"/>
              <w:left w:val="single" w:color="auto" w:sz="4" w:space="0"/>
              <w:bottom w:val="single" w:color="auto" w:sz="4" w:space="0"/>
              <w:right w:val="single" w:color="auto" w:sz="4" w:space="0"/>
            </w:tcBorders>
            <w:vAlign w:val="center"/>
          </w:tcPr>
          <w:p w14:paraId="5CC55858">
            <w:pPr>
              <w:jc w:val="right"/>
            </w:pPr>
          </w:p>
        </w:tc>
      </w:tr>
      <w:tr w14:paraId="34B8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3FA51FBE">
            <w:r>
              <w:rPr>
                <w:rFonts w:hint="eastAsia" w:ascii="宋体" w:hAnsi="宋体"/>
                <w:sz w:val="15"/>
                <w:szCs w:val="15"/>
              </w:rPr>
              <w:t>山东好当家调理食品销售有限公司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3CBF9843">
            <w:pPr>
              <w:jc w:val="right"/>
            </w:pPr>
            <w:r>
              <w:rPr>
                <w:rFonts w:hint="eastAsia" w:ascii="宋体" w:hAnsi="宋体"/>
                <w:sz w:val="18"/>
                <w:szCs w:val="18"/>
              </w:rPr>
              <w:t xml:space="preserve">10,000,000.00 </w:t>
            </w:r>
          </w:p>
        </w:tc>
        <w:tc>
          <w:tcPr>
            <w:tcW w:w="516" w:type="pct"/>
            <w:tcBorders>
              <w:top w:val="single" w:color="auto" w:sz="4" w:space="0"/>
              <w:left w:val="single" w:color="auto" w:sz="4" w:space="0"/>
              <w:bottom w:val="single" w:color="auto" w:sz="4" w:space="0"/>
              <w:right w:val="single" w:color="auto" w:sz="4" w:space="0"/>
            </w:tcBorders>
          </w:tcPr>
          <w:p w14:paraId="1D410CD2">
            <w:pPr>
              <w:jc w:val="right"/>
            </w:pPr>
          </w:p>
        </w:tc>
        <w:tc>
          <w:tcPr>
            <w:tcW w:w="517" w:type="pct"/>
            <w:tcBorders>
              <w:top w:val="single" w:color="auto" w:sz="4" w:space="0"/>
              <w:left w:val="single" w:color="auto" w:sz="4" w:space="0"/>
              <w:bottom w:val="single" w:color="auto" w:sz="4" w:space="0"/>
              <w:right w:val="single" w:color="auto" w:sz="4" w:space="0"/>
            </w:tcBorders>
          </w:tcPr>
          <w:p w14:paraId="63959CE5">
            <w:pPr>
              <w:jc w:val="right"/>
            </w:pPr>
          </w:p>
        </w:tc>
        <w:tc>
          <w:tcPr>
            <w:tcW w:w="514" w:type="pct"/>
            <w:tcBorders>
              <w:top w:val="single" w:color="auto" w:sz="4" w:space="0"/>
              <w:left w:val="single" w:color="auto" w:sz="4" w:space="0"/>
              <w:bottom w:val="single" w:color="auto" w:sz="4" w:space="0"/>
              <w:right w:val="single" w:color="auto" w:sz="4" w:space="0"/>
            </w:tcBorders>
          </w:tcPr>
          <w:p w14:paraId="7DB0D767">
            <w:pPr>
              <w:jc w:val="right"/>
            </w:pPr>
          </w:p>
        </w:tc>
        <w:tc>
          <w:tcPr>
            <w:tcW w:w="502" w:type="pct"/>
            <w:tcBorders>
              <w:top w:val="single" w:color="auto" w:sz="4" w:space="0"/>
              <w:left w:val="single" w:color="auto" w:sz="4" w:space="0"/>
              <w:bottom w:val="single" w:color="auto" w:sz="4" w:space="0"/>
              <w:right w:val="single" w:color="auto" w:sz="4" w:space="0"/>
            </w:tcBorders>
          </w:tcPr>
          <w:p w14:paraId="04447EEF">
            <w:pPr>
              <w:jc w:val="right"/>
            </w:pPr>
          </w:p>
        </w:tc>
        <w:tc>
          <w:tcPr>
            <w:tcW w:w="525" w:type="pct"/>
            <w:tcBorders>
              <w:top w:val="single" w:color="auto" w:sz="4" w:space="0"/>
              <w:left w:val="single" w:color="auto" w:sz="4" w:space="0"/>
              <w:bottom w:val="single" w:color="auto" w:sz="4" w:space="0"/>
              <w:right w:val="single" w:color="auto" w:sz="4" w:space="0"/>
            </w:tcBorders>
          </w:tcPr>
          <w:p w14:paraId="52C65BAF">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1EB81FA5">
            <w:pPr>
              <w:jc w:val="right"/>
            </w:pPr>
            <w:r>
              <w:rPr>
                <w:rFonts w:hint="eastAsia" w:ascii="宋体" w:hAnsi="宋体"/>
                <w:sz w:val="18"/>
                <w:szCs w:val="18"/>
              </w:rPr>
              <w:t xml:space="preserve">10,000,000.00 </w:t>
            </w:r>
          </w:p>
        </w:tc>
        <w:tc>
          <w:tcPr>
            <w:tcW w:w="519" w:type="pct"/>
            <w:tcBorders>
              <w:top w:val="single" w:color="auto" w:sz="4" w:space="0"/>
              <w:left w:val="single" w:color="auto" w:sz="4" w:space="0"/>
              <w:bottom w:val="single" w:color="auto" w:sz="4" w:space="0"/>
              <w:right w:val="single" w:color="auto" w:sz="4" w:space="0"/>
            </w:tcBorders>
            <w:vAlign w:val="center"/>
          </w:tcPr>
          <w:p w14:paraId="18A2B2F8">
            <w:pPr>
              <w:jc w:val="right"/>
            </w:pPr>
          </w:p>
        </w:tc>
      </w:tr>
      <w:tr w14:paraId="3494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516A7440">
            <w:r>
              <w:rPr>
                <w:rFonts w:hint="eastAsia" w:ascii="宋体" w:hAnsi="宋体"/>
                <w:sz w:val="15"/>
                <w:szCs w:val="15"/>
              </w:rPr>
              <w:t>日照好当家荣海水产有限公司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7BFA98D5">
            <w:pPr>
              <w:jc w:val="right"/>
            </w:pPr>
            <w:r>
              <w:rPr>
                <w:rFonts w:hint="eastAsia" w:ascii="宋体" w:hAnsi="宋体"/>
                <w:sz w:val="18"/>
                <w:szCs w:val="18"/>
              </w:rPr>
              <w:t xml:space="preserve">5,100,000.00 </w:t>
            </w:r>
          </w:p>
        </w:tc>
        <w:tc>
          <w:tcPr>
            <w:tcW w:w="516" w:type="pct"/>
            <w:tcBorders>
              <w:top w:val="single" w:color="auto" w:sz="4" w:space="0"/>
              <w:left w:val="single" w:color="auto" w:sz="4" w:space="0"/>
              <w:bottom w:val="single" w:color="auto" w:sz="4" w:space="0"/>
              <w:right w:val="single" w:color="auto" w:sz="4" w:space="0"/>
            </w:tcBorders>
          </w:tcPr>
          <w:p w14:paraId="57C61E8F">
            <w:pPr>
              <w:jc w:val="right"/>
            </w:pPr>
          </w:p>
        </w:tc>
        <w:tc>
          <w:tcPr>
            <w:tcW w:w="517" w:type="pct"/>
            <w:tcBorders>
              <w:top w:val="single" w:color="auto" w:sz="4" w:space="0"/>
              <w:left w:val="single" w:color="auto" w:sz="4" w:space="0"/>
              <w:bottom w:val="single" w:color="auto" w:sz="4" w:space="0"/>
              <w:right w:val="single" w:color="auto" w:sz="4" w:space="0"/>
            </w:tcBorders>
          </w:tcPr>
          <w:p w14:paraId="668F4577">
            <w:pPr>
              <w:jc w:val="right"/>
            </w:pPr>
          </w:p>
        </w:tc>
        <w:tc>
          <w:tcPr>
            <w:tcW w:w="514" w:type="pct"/>
            <w:tcBorders>
              <w:top w:val="single" w:color="auto" w:sz="4" w:space="0"/>
              <w:left w:val="single" w:color="auto" w:sz="4" w:space="0"/>
              <w:bottom w:val="single" w:color="auto" w:sz="4" w:space="0"/>
              <w:right w:val="single" w:color="auto" w:sz="4" w:space="0"/>
            </w:tcBorders>
          </w:tcPr>
          <w:p w14:paraId="2168C731">
            <w:pPr>
              <w:jc w:val="right"/>
            </w:pPr>
          </w:p>
        </w:tc>
        <w:tc>
          <w:tcPr>
            <w:tcW w:w="502" w:type="pct"/>
            <w:tcBorders>
              <w:top w:val="single" w:color="auto" w:sz="4" w:space="0"/>
              <w:left w:val="single" w:color="auto" w:sz="4" w:space="0"/>
              <w:bottom w:val="single" w:color="auto" w:sz="4" w:space="0"/>
              <w:right w:val="single" w:color="auto" w:sz="4" w:space="0"/>
            </w:tcBorders>
          </w:tcPr>
          <w:p w14:paraId="4BAE57ED">
            <w:pPr>
              <w:jc w:val="right"/>
            </w:pPr>
          </w:p>
        </w:tc>
        <w:tc>
          <w:tcPr>
            <w:tcW w:w="525" w:type="pct"/>
            <w:tcBorders>
              <w:top w:val="single" w:color="auto" w:sz="4" w:space="0"/>
              <w:left w:val="single" w:color="auto" w:sz="4" w:space="0"/>
              <w:bottom w:val="single" w:color="auto" w:sz="4" w:space="0"/>
              <w:right w:val="single" w:color="auto" w:sz="4" w:space="0"/>
            </w:tcBorders>
          </w:tcPr>
          <w:p w14:paraId="7A6FF09E">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336ECF37">
            <w:pPr>
              <w:jc w:val="right"/>
            </w:pPr>
            <w:r>
              <w:rPr>
                <w:rFonts w:hint="eastAsia" w:ascii="宋体" w:hAnsi="宋体"/>
                <w:sz w:val="18"/>
                <w:szCs w:val="18"/>
              </w:rPr>
              <w:t xml:space="preserve">5,100,000.00 </w:t>
            </w:r>
          </w:p>
        </w:tc>
        <w:tc>
          <w:tcPr>
            <w:tcW w:w="519" w:type="pct"/>
            <w:tcBorders>
              <w:top w:val="single" w:color="auto" w:sz="4" w:space="0"/>
              <w:left w:val="single" w:color="auto" w:sz="4" w:space="0"/>
              <w:bottom w:val="single" w:color="auto" w:sz="4" w:space="0"/>
              <w:right w:val="single" w:color="auto" w:sz="4" w:space="0"/>
            </w:tcBorders>
            <w:vAlign w:val="center"/>
          </w:tcPr>
          <w:p w14:paraId="3D104786">
            <w:pPr>
              <w:jc w:val="right"/>
            </w:pPr>
          </w:p>
        </w:tc>
      </w:tr>
      <w:tr w14:paraId="0DAC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36841158">
            <w:r>
              <w:rPr>
                <w:rFonts w:hint="eastAsia" w:ascii="宋体" w:hAnsi="宋体"/>
                <w:sz w:val="15"/>
                <w:szCs w:val="15"/>
              </w:rPr>
              <w:t>荣成荣进食品有限公司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039A1DB6">
            <w:pPr>
              <w:jc w:val="right"/>
            </w:pPr>
            <w:r>
              <w:rPr>
                <w:rFonts w:hint="eastAsia" w:ascii="宋体" w:hAnsi="宋体"/>
                <w:sz w:val="18"/>
                <w:szCs w:val="18"/>
              </w:rPr>
              <w:t xml:space="preserve">2,078,250.00 </w:t>
            </w:r>
          </w:p>
        </w:tc>
        <w:tc>
          <w:tcPr>
            <w:tcW w:w="516" w:type="pct"/>
            <w:tcBorders>
              <w:top w:val="single" w:color="auto" w:sz="4" w:space="0"/>
              <w:left w:val="single" w:color="auto" w:sz="4" w:space="0"/>
              <w:bottom w:val="single" w:color="auto" w:sz="4" w:space="0"/>
              <w:right w:val="single" w:color="auto" w:sz="4" w:space="0"/>
            </w:tcBorders>
          </w:tcPr>
          <w:p w14:paraId="4A728032">
            <w:pPr>
              <w:jc w:val="right"/>
            </w:pPr>
          </w:p>
        </w:tc>
        <w:tc>
          <w:tcPr>
            <w:tcW w:w="517" w:type="pct"/>
            <w:tcBorders>
              <w:top w:val="single" w:color="auto" w:sz="4" w:space="0"/>
              <w:left w:val="single" w:color="auto" w:sz="4" w:space="0"/>
              <w:bottom w:val="single" w:color="auto" w:sz="4" w:space="0"/>
              <w:right w:val="single" w:color="auto" w:sz="4" w:space="0"/>
            </w:tcBorders>
          </w:tcPr>
          <w:p w14:paraId="25ACD708">
            <w:pPr>
              <w:jc w:val="right"/>
            </w:pPr>
          </w:p>
        </w:tc>
        <w:tc>
          <w:tcPr>
            <w:tcW w:w="514" w:type="pct"/>
            <w:tcBorders>
              <w:top w:val="single" w:color="auto" w:sz="4" w:space="0"/>
              <w:left w:val="single" w:color="auto" w:sz="4" w:space="0"/>
              <w:bottom w:val="single" w:color="auto" w:sz="4" w:space="0"/>
              <w:right w:val="single" w:color="auto" w:sz="4" w:space="0"/>
            </w:tcBorders>
          </w:tcPr>
          <w:p w14:paraId="72C211B7">
            <w:pPr>
              <w:jc w:val="right"/>
            </w:pPr>
          </w:p>
        </w:tc>
        <w:tc>
          <w:tcPr>
            <w:tcW w:w="502" w:type="pct"/>
            <w:tcBorders>
              <w:top w:val="single" w:color="auto" w:sz="4" w:space="0"/>
              <w:left w:val="single" w:color="auto" w:sz="4" w:space="0"/>
              <w:bottom w:val="single" w:color="auto" w:sz="4" w:space="0"/>
              <w:right w:val="single" w:color="auto" w:sz="4" w:space="0"/>
            </w:tcBorders>
          </w:tcPr>
          <w:p w14:paraId="1A2E8215">
            <w:pPr>
              <w:jc w:val="right"/>
            </w:pPr>
          </w:p>
        </w:tc>
        <w:tc>
          <w:tcPr>
            <w:tcW w:w="525" w:type="pct"/>
            <w:tcBorders>
              <w:top w:val="single" w:color="auto" w:sz="4" w:space="0"/>
              <w:left w:val="single" w:color="auto" w:sz="4" w:space="0"/>
              <w:bottom w:val="single" w:color="auto" w:sz="4" w:space="0"/>
              <w:right w:val="single" w:color="auto" w:sz="4" w:space="0"/>
            </w:tcBorders>
          </w:tcPr>
          <w:p w14:paraId="054128FD">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2FCE1EB8">
            <w:pPr>
              <w:jc w:val="right"/>
            </w:pPr>
            <w:r>
              <w:rPr>
                <w:rFonts w:hint="eastAsia" w:ascii="宋体" w:hAnsi="宋体"/>
                <w:sz w:val="18"/>
                <w:szCs w:val="18"/>
              </w:rPr>
              <w:t xml:space="preserve">2,078,250.00 </w:t>
            </w:r>
          </w:p>
        </w:tc>
        <w:tc>
          <w:tcPr>
            <w:tcW w:w="519" w:type="pct"/>
            <w:tcBorders>
              <w:top w:val="single" w:color="auto" w:sz="4" w:space="0"/>
              <w:left w:val="single" w:color="auto" w:sz="4" w:space="0"/>
              <w:bottom w:val="single" w:color="auto" w:sz="4" w:space="0"/>
              <w:right w:val="single" w:color="auto" w:sz="4" w:space="0"/>
            </w:tcBorders>
            <w:vAlign w:val="center"/>
          </w:tcPr>
          <w:p w14:paraId="117D4426">
            <w:pPr>
              <w:jc w:val="right"/>
            </w:pPr>
          </w:p>
        </w:tc>
      </w:tr>
      <w:tr w14:paraId="1B341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50093CAA">
            <w:r>
              <w:rPr>
                <w:rFonts w:hint="eastAsia" w:ascii="宋体" w:hAnsi="宋体"/>
                <w:sz w:val="15"/>
                <w:szCs w:val="15"/>
              </w:rPr>
              <w:t>山东参源育苗有限公司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0D693029">
            <w:pPr>
              <w:jc w:val="right"/>
            </w:pPr>
            <w:r>
              <w:rPr>
                <w:rFonts w:hint="eastAsia" w:ascii="宋体" w:hAnsi="宋体"/>
                <w:sz w:val="18"/>
                <w:szCs w:val="18"/>
              </w:rPr>
              <w:t>120,000,000.00</w:t>
            </w:r>
          </w:p>
        </w:tc>
        <w:tc>
          <w:tcPr>
            <w:tcW w:w="516" w:type="pct"/>
            <w:tcBorders>
              <w:top w:val="single" w:color="auto" w:sz="4" w:space="0"/>
              <w:left w:val="single" w:color="auto" w:sz="4" w:space="0"/>
              <w:bottom w:val="single" w:color="auto" w:sz="4" w:space="0"/>
              <w:right w:val="single" w:color="auto" w:sz="4" w:space="0"/>
            </w:tcBorders>
          </w:tcPr>
          <w:p w14:paraId="176945AD">
            <w:pPr>
              <w:jc w:val="right"/>
            </w:pPr>
          </w:p>
        </w:tc>
        <w:tc>
          <w:tcPr>
            <w:tcW w:w="517" w:type="pct"/>
            <w:tcBorders>
              <w:top w:val="single" w:color="auto" w:sz="4" w:space="0"/>
              <w:left w:val="single" w:color="auto" w:sz="4" w:space="0"/>
              <w:bottom w:val="single" w:color="auto" w:sz="4" w:space="0"/>
              <w:right w:val="single" w:color="auto" w:sz="4" w:space="0"/>
            </w:tcBorders>
          </w:tcPr>
          <w:p w14:paraId="3CA2BAD7">
            <w:pPr>
              <w:jc w:val="right"/>
            </w:pPr>
          </w:p>
        </w:tc>
        <w:tc>
          <w:tcPr>
            <w:tcW w:w="514" w:type="pct"/>
            <w:tcBorders>
              <w:top w:val="single" w:color="auto" w:sz="4" w:space="0"/>
              <w:left w:val="single" w:color="auto" w:sz="4" w:space="0"/>
              <w:bottom w:val="single" w:color="auto" w:sz="4" w:space="0"/>
              <w:right w:val="single" w:color="auto" w:sz="4" w:space="0"/>
            </w:tcBorders>
          </w:tcPr>
          <w:p w14:paraId="49E69E66">
            <w:pPr>
              <w:jc w:val="right"/>
            </w:pPr>
          </w:p>
        </w:tc>
        <w:tc>
          <w:tcPr>
            <w:tcW w:w="502" w:type="pct"/>
            <w:tcBorders>
              <w:top w:val="single" w:color="auto" w:sz="4" w:space="0"/>
              <w:left w:val="single" w:color="auto" w:sz="4" w:space="0"/>
              <w:bottom w:val="single" w:color="auto" w:sz="4" w:space="0"/>
              <w:right w:val="single" w:color="auto" w:sz="4" w:space="0"/>
            </w:tcBorders>
          </w:tcPr>
          <w:p w14:paraId="2F579628">
            <w:pPr>
              <w:jc w:val="right"/>
            </w:pPr>
          </w:p>
        </w:tc>
        <w:tc>
          <w:tcPr>
            <w:tcW w:w="525" w:type="pct"/>
            <w:tcBorders>
              <w:top w:val="single" w:color="auto" w:sz="4" w:space="0"/>
              <w:left w:val="single" w:color="auto" w:sz="4" w:space="0"/>
              <w:bottom w:val="single" w:color="auto" w:sz="4" w:space="0"/>
              <w:right w:val="single" w:color="auto" w:sz="4" w:space="0"/>
            </w:tcBorders>
          </w:tcPr>
          <w:p w14:paraId="4E2853F9">
            <w:pPr>
              <w:jc w:val="right"/>
            </w:pPr>
          </w:p>
        </w:tc>
        <w:tc>
          <w:tcPr>
            <w:tcW w:w="529" w:type="pct"/>
            <w:tcBorders>
              <w:top w:val="single" w:color="auto" w:sz="4" w:space="0"/>
              <w:left w:val="single" w:color="auto" w:sz="4" w:space="0"/>
              <w:bottom w:val="single" w:color="auto" w:sz="4" w:space="0"/>
              <w:right w:val="single" w:color="auto" w:sz="4" w:space="0"/>
            </w:tcBorders>
            <w:vAlign w:val="center"/>
          </w:tcPr>
          <w:p w14:paraId="7C2A5052">
            <w:pPr>
              <w:jc w:val="right"/>
            </w:pPr>
            <w:r>
              <w:rPr>
                <w:rFonts w:hint="eastAsia" w:ascii="宋体" w:hAnsi="宋体"/>
                <w:sz w:val="18"/>
                <w:szCs w:val="18"/>
              </w:rPr>
              <w:t>120,000,000.00</w:t>
            </w:r>
          </w:p>
        </w:tc>
        <w:tc>
          <w:tcPr>
            <w:tcW w:w="519" w:type="pct"/>
            <w:tcBorders>
              <w:top w:val="single" w:color="auto" w:sz="4" w:space="0"/>
              <w:left w:val="single" w:color="auto" w:sz="4" w:space="0"/>
              <w:bottom w:val="single" w:color="auto" w:sz="4" w:space="0"/>
              <w:right w:val="single" w:color="auto" w:sz="4" w:space="0"/>
            </w:tcBorders>
            <w:vAlign w:val="center"/>
          </w:tcPr>
          <w:p w14:paraId="7E5843F5">
            <w:pPr>
              <w:jc w:val="right"/>
            </w:pPr>
          </w:p>
        </w:tc>
      </w:tr>
      <w:tr w14:paraId="0982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27A240A5">
            <w:r>
              <w:rPr>
                <w:rFonts w:hint="eastAsia" w:ascii="宋体" w:hAnsi="宋体"/>
                <w:sz w:val="15"/>
                <w:szCs w:val="15"/>
              </w:rPr>
              <w:t>青岛家盛水产有限公司</w:t>
            </w:r>
          </w:p>
        </w:tc>
        <w:tc>
          <w:tcPr>
            <w:tcW w:w="515" w:type="pct"/>
            <w:tcBorders>
              <w:top w:val="single" w:color="auto" w:sz="4" w:space="0"/>
              <w:left w:val="single" w:color="auto" w:sz="4" w:space="0"/>
              <w:bottom w:val="single" w:color="auto" w:sz="4" w:space="0"/>
              <w:right w:val="single" w:color="auto" w:sz="4" w:space="0"/>
            </w:tcBorders>
            <w:vAlign w:val="center"/>
          </w:tcPr>
          <w:p w14:paraId="1696CA91">
            <w:pPr>
              <w:jc w:val="right"/>
            </w:pPr>
            <w:r>
              <w:rPr>
                <w:rFonts w:hint="eastAsia" w:ascii="宋体" w:hAnsi="宋体"/>
                <w:bCs w:val="0"/>
                <w:sz w:val="18"/>
                <w:szCs w:val="18"/>
              </w:rPr>
              <w:t>5,000,000.00</w:t>
            </w:r>
          </w:p>
        </w:tc>
        <w:tc>
          <w:tcPr>
            <w:tcW w:w="516" w:type="pct"/>
            <w:tcBorders>
              <w:top w:val="single" w:color="auto" w:sz="4" w:space="0"/>
              <w:left w:val="single" w:color="auto" w:sz="4" w:space="0"/>
              <w:bottom w:val="single" w:color="auto" w:sz="4" w:space="0"/>
              <w:right w:val="single" w:color="auto" w:sz="4" w:space="0"/>
            </w:tcBorders>
          </w:tcPr>
          <w:p w14:paraId="31E5E13D">
            <w:pPr>
              <w:jc w:val="right"/>
            </w:pPr>
          </w:p>
        </w:tc>
        <w:tc>
          <w:tcPr>
            <w:tcW w:w="517" w:type="pct"/>
            <w:tcBorders>
              <w:top w:val="single" w:color="auto" w:sz="4" w:space="0"/>
              <w:left w:val="single" w:color="auto" w:sz="4" w:space="0"/>
              <w:bottom w:val="single" w:color="auto" w:sz="4" w:space="0"/>
              <w:right w:val="single" w:color="auto" w:sz="4" w:space="0"/>
            </w:tcBorders>
          </w:tcPr>
          <w:p w14:paraId="5AFE9C5A">
            <w:pPr>
              <w:jc w:val="right"/>
            </w:pPr>
            <w:r>
              <w:t>15,000,000.00</w:t>
            </w:r>
          </w:p>
        </w:tc>
        <w:tc>
          <w:tcPr>
            <w:tcW w:w="514" w:type="pct"/>
            <w:tcBorders>
              <w:top w:val="single" w:color="auto" w:sz="4" w:space="0"/>
              <w:left w:val="single" w:color="auto" w:sz="4" w:space="0"/>
              <w:bottom w:val="single" w:color="auto" w:sz="4" w:space="0"/>
              <w:right w:val="single" w:color="auto" w:sz="4" w:space="0"/>
            </w:tcBorders>
          </w:tcPr>
          <w:p w14:paraId="74C11590">
            <w:pPr>
              <w:jc w:val="right"/>
            </w:pPr>
          </w:p>
        </w:tc>
        <w:tc>
          <w:tcPr>
            <w:tcW w:w="502" w:type="pct"/>
            <w:tcBorders>
              <w:top w:val="single" w:color="auto" w:sz="4" w:space="0"/>
              <w:left w:val="single" w:color="auto" w:sz="4" w:space="0"/>
              <w:bottom w:val="single" w:color="auto" w:sz="4" w:space="0"/>
              <w:right w:val="single" w:color="auto" w:sz="4" w:space="0"/>
            </w:tcBorders>
          </w:tcPr>
          <w:p w14:paraId="2E653298">
            <w:pPr>
              <w:jc w:val="right"/>
            </w:pPr>
          </w:p>
        </w:tc>
        <w:tc>
          <w:tcPr>
            <w:tcW w:w="525" w:type="pct"/>
            <w:tcBorders>
              <w:top w:val="single" w:color="auto" w:sz="4" w:space="0"/>
              <w:left w:val="single" w:color="auto" w:sz="4" w:space="0"/>
              <w:bottom w:val="single" w:color="auto" w:sz="4" w:space="0"/>
              <w:right w:val="single" w:color="auto" w:sz="4" w:space="0"/>
            </w:tcBorders>
          </w:tcPr>
          <w:p w14:paraId="7B52BFAA">
            <w:pPr>
              <w:jc w:val="right"/>
            </w:pPr>
          </w:p>
        </w:tc>
        <w:tc>
          <w:tcPr>
            <w:tcW w:w="529" w:type="pct"/>
            <w:tcBorders>
              <w:top w:val="single" w:color="auto" w:sz="4" w:space="0"/>
              <w:left w:val="single" w:color="auto" w:sz="4" w:space="0"/>
              <w:bottom w:val="single" w:color="auto" w:sz="4" w:space="0"/>
              <w:right w:val="single" w:color="auto" w:sz="4" w:space="0"/>
            </w:tcBorders>
          </w:tcPr>
          <w:p w14:paraId="308FE3C8">
            <w:pPr>
              <w:jc w:val="right"/>
            </w:pPr>
            <w:r>
              <w:t>20,000,000.00</w:t>
            </w:r>
          </w:p>
        </w:tc>
        <w:tc>
          <w:tcPr>
            <w:tcW w:w="519" w:type="pct"/>
            <w:tcBorders>
              <w:top w:val="single" w:color="auto" w:sz="4" w:space="0"/>
              <w:left w:val="single" w:color="auto" w:sz="4" w:space="0"/>
              <w:bottom w:val="single" w:color="auto" w:sz="4" w:space="0"/>
              <w:right w:val="single" w:color="auto" w:sz="4" w:space="0"/>
            </w:tcBorders>
          </w:tcPr>
          <w:p w14:paraId="1B222F6C">
            <w:pPr>
              <w:jc w:val="right"/>
            </w:pPr>
          </w:p>
        </w:tc>
      </w:tr>
      <w:tr w14:paraId="5283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tcBorders>
              <w:top w:val="single" w:color="auto" w:sz="4" w:space="0"/>
              <w:left w:val="single" w:color="auto" w:sz="4" w:space="0"/>
              <w:bottom w:val="single" w:color="auto" w:sz="4" w:space="0"/>
              <w:right w:val="single" w:color="auto" w:sz="4" w:space="0"/>
            </w:tcBorders>
            <w:vAlign w:val="center"/>
          </w:tcPr>
          <w:p w14:paraId="5F7E30E3">
            <w:pPr>
              <w:jc w:val="center"/>
            </w:pPr>
            <w:r>
              <w:rPr>
                <w:rFonts w:hint="eastAsia"/>
              </w:rPr>
              <w:t>合计</w:t>
            </w:r>
          </w:p>
        </w:tc>
        <w:tc>
          <w:tcPr>
            <w:tcW w:w="515" w:type="pct"/>
            <w:tcBorders>
              <w:top w:val="single" w:color="auto" w:sz="4" w:space="0"/>
              <w:left w:val="single" w:color="auto" w:sz="4" w:space="0"/>
              <w:bottom w:val="single" w:color="auto" w:sz="4" w:space="0"/>
              <w:right w:val="single" w:color="auto" w:sz="4" w:space="0"/>
            </w:tcBorders>
            <w:vAlign w:val="center"/>
          </w:tcPr>
          <w:p w14:paraId="07266769">
            <w:pPr>
              <w:jc w:val="right"/>
            </w:pPr>
            <w:r>
              <w:rPr>
                <w:rFonts w:hint="eastAsia" w:ascii="宋体" w:hAnsi="宋体"/>
                <w:sz w:val="18"/>
                <w:szCs w:val="18"/>
              </w:rPr>
              <w:t>711,954,471.96</w:t>
            </w:r>
          </w:p>
        </w:tc>
        <w:tc>
          <w:tcPr>
            <w:tcW w:w="516" w:type="pct"/>
            <w:tcBorders>
              <w:top w:val="single" w:color="auto" w:sz="4" w:space="0"/>
              <w:left w:val="single" w:color="auto" w:sz="4" w:space="0"/>
              <w:bottom w:val="single" w:color="auto" w:sz="4" w:space="0"/>
              <w:right w:val="single" w:color="auto" w:sz="4" w:space="0"/>
            </w:tcBorders>
          </w:tcPr>
          <w:p w14:paraId="6759CCAE">
            <w:pPr>
              <w:jc w:val="right"/>
            </w:pPr>
          </w:p>
        </w:tc>
        <w:tc>
          <w:tcPr>
            <w:tcW w:w="517" w:type="pct"/>
            <w:tcBorders>
              <w:top w:val="single" w:color="auto" w:sz="4" w:space="0"/>
              <w:left w:val="single" w:color="auto" w:sz="4" w:space="0"/>
              <w:bottom w:val="single" w:color="auto" w:sz="4" w:space="0"/>
              <w:right w:val="single" w:color="auto" w:sz="4" w:space="0"/>
            </w:tcBorders>
          </w:tcPr>
          <w:p w14:paraId="7B0E2F7C">
            <w:pPr>
              <w:jc w:val="right"/>
            </w:pPr>
            <w:r>
              <w:t>15,000,000.00</w:t>
            </w:r>
          </w:p>
        </w:tc>
        <w:tc>
          <w:tcPr>
            <w:tcW w:w="514" w:type="pct"/>
            <w:tcBorders>
              <w:top w:val="single" w:color="auto" w:sz="4" w:space="0"/>
              <w:left w:val="single" w:color="auto" w:sz="4" w:space="0"/>
              <w:bottom w:val="single" w:color="auto" w:sz="4" w:space="0"/>
              <w:right w:val="single" w:color="auto" w:sz="4" w:space="0"/>
            </w:tcBorders>
          </w:tcPr>
          <w:p w14:paraId="6A40A70C">
            <w:pPr>
              <w:jc w:val="right"/>
            </w:pPr>
          </w:p>
        </w:tc>
        <w:tc>
          <w:tcPr>
            <w:tcW w:w="502" w:type="pct"/>
            <w:tcBorders>
              <w:top w:val="single" w:color="auto" w:sz="4" w:space="0"/>
              <w:left w:val="single" w:color="auto" w:sz="4" w:space="0"/>
              <w:bottom w:val="single" w:color="auto" w:sz="4" w:space="0"/>
              <w:right w:val="single" w:color="auto" w:sz="4" w:space="0"/>
            </w:tcBorders>
          </w:tcPr>
          <w:p w14:paraId="4D557311">
            <w:pPr>
              <w:jc w:val="right"/>
            </w:pPr>
          </w:p>
        </w:tc>
        <w:tc>
          <w:tcPr>
            <w:tcW w:w="525" w:type="pct"/>
            <w:tcBorders>
              <w:top w:val="single" w:color="auto" w:sz="4" w:space="0"/>
              <w:left w:val="single" w:color="auto" w:sz="4" w:space="0"/>
              <w:bottom w:val="single" w:color="auto" w:sz="4" w:space="0"/>
              <w:right w:val="single" w:color="auto" w:sz="4" w:space="0"/>
            </w:tcBorders>
          </w:tcPr>
          <w:p w14:paraId="622C28BE">
            <w:pPr>
              <w:jc w:val="right"/>
            </w:pPr>
          </w:p>
        </w:tc>
        <w:tc>
          <w:tcPr>
            <w:tcW w:w="529" w:type="pct"/>
            <w:tcBorders>
              <w:top w:val="single" w:color="auto" w:sz="4" w:space="0"/>
              <w:left w:val="single" w:color="auto" w:sz="4" w:space="0"/>
              <w:bottom w:val="single" w:color="auto" w:sz="4" w:space="0"/>
              <w:right w:val="single" w:color="auto" w:sz="4" w:space="0"/>
            </w:tcBorders>
          </w:tcPr>
          <w:p w14:paraId="5323EB7F">
            <w:pPr>
              <w:jc w:val="right"/>
            </w:pPr>
            <w:r>
              <w:t>726,954,471.96</w:t>
            </w:r>
          </w:p>
        </w:tc>
        <w:tc>
          <w:tcPr>
            <w:tcW w:w="519" w:type="pct"/>
            <w:tcBorders>
              <w:top w:val="single" w:color="auto" w:sz="4" w:space="0"/>
              <w:left w:val="single" w:color="auto" w:sz="4" w:space="0"/>
              <w:bottom w:val="single" w:color="auto" w:sz="4" w:space="0"/>
              <w:right w:val="single" w:color="auto" w:sz="4" w:space="0"/>
            </w:tcBorders>
          </w:tcPr>
          <w:p w14:paraId="240E4540">
            <w:pPr>
              <w:jc w:val="right"/>
            </w:pPr>
          </w:p>
        </w:tc>
      </w:tr>
    </w:tbl>
    <w:p w14:paraId="1531B6EF">
      <w:pPr>
        <w:rPr>
          <w:color w:val="000000" w:themeColor="text1"/>
          <w14:textFill>
            <w14:solidFill>
              <w14:schemeClr w14:val="tx1"/>
            </w14:solidFill>
          </w14:textFill>
        </w:rPr>
      </w:pPr>
    </w:p>
    <w:bookmarkEnd w:id="493"/>
    <w:p w14:paraId="2F43AC0B">
      <w:pPr>
        <w:pStyle w:val="5"/>
        <w:numPr>
          <w:ilvl w:val="0"/>
          <w:numId w:val="119"/>
        </w:numPr>
        <w:rPr>
          <w:rFonts w:hint="eastAsia" w:ascii="宋体" w:hAnsi="宋体"/>
          <w:color w:val="000000" w:themeColor="text1"/>
          <w:szCs w:val="21"/>
          <w14:textFill>
            <w14:solidFill>
              <w14:schemeClr w14:val="tx1"/>
            </w14:solidFill>
          </w14:textFill>
        </w:rPr>
      </w:pPr>
      <w:bookmarkStart w:id="494" w:name="_Hlk199855034"/>
      <w:bookmarkStart w:id="495" w:name="_Hlk106375342"/>
      <w:r>
        <w:rPr>
          <w:rFonts w:hint="eastAsia" w:ascii="宋体" w:hAnsi="宋体"/>
          <w:color w:val="000000" w:themeColor="text1"/>
          <w:szCs w:val="21"/>
          <w14:textFill>
            <w14:solidFill>
              <w14:schemeClr w14:val="tx1"/>
            </w14:solidFill>
          </w14:textFill>
        </w:rPr>
        <w:t>对联营、</w:t>
      </w:r>
      <w:r>
        <w:rPr>
          <w:rFonts w:hint="eastAsia" w:ascii="宋体" w:hAnsi="宋体"/>
          <w:color w:val="000000" w:themeColor="text1"/>
          <w14:textFill>
            <w14:solidFill>
              <w14:schemeClr w14:val="tx1"/>
            </w14:solidFill>
          </w14:textFill>
        </w:rPr>
        <w:t>合营</w:t>
      </w:r>
      <w:r>
        <w:rPr>
          <w:rFonts w:hint="eastAsia" w:ascii="宋体" w:hAnsi="宋体"/>
          <w:color w:val="000000" w:themeColor="text1"/>
          <w:szCs w:val="21"/>
          <w14:textFill>
            <w14:solidFill>
              <w14:schemeClr w14:val="tx1"/>
            </w14:solidFill>
          </w14:textFill>
        </w:rPr>
        <w:t>企业投资</w:t>
      </w:r>
    </w:p>
    <w:sdt>
      <w:sdtPr>
        <w:rPr>
          <w:color w:val="000000" w:themeColor="text1"/>
          <w14:textFill>
            <w14:solidFill>
              <w14:schemeClr w14:val="tx1"/>
            </w14:solidFill>
          </w14:textFill>
        </w:rPr>
        <w:alias w:val="是否适用：母公司对联营、合营企业投资[双击切换]"/>
        <w:tag w:val="_GBC_0837f60a15fc4684b64085618adca8d2"/>
        <w:id w:val="-1581513117"/>
        <w:placeholder>
          <w:docPart w:val="GBC22222222222222222222222222222"/>
        </w:placeholder>
      </w:sdtPr>
      <w:sdtEndPr>
        <w:rPr>
          <w:color w:val="000000" w:themeColor="text1"/>
          <w14:textFill>
            <w14:solidFill>
              <w14:schemeClr w14:val="tx1"/>
            </w14:solidFill>
          </w14:textFill>
        </w:rPr>
      </w:sdtEndPr>
      <w:sdtContent>
        <w:p w14:paraId="1852EEB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301C18C">
      <w:pPr>
        <w:rPr>
          <w:color w:val="000000" w:themeColor="text1"/>
          <w14:textFill>
            <w14:solidFill>
              <w14:schemeClr w14:val="tx1"/>
            </w14:solidFill>
          </w14:textFill>
        </w:rPr>
      </w:pPr>
    </w:p>
    <w:bookmarkEnd w:id="494"/>
    <w:bookmarkEnd w:id="495"/>
    <w:p w14:paraId="409CD07A">
      <w:pPr>
        <w:pStyle w:val="5"/>
        <w:numPr>
          <w:ilvl w:val="0"/>
          <w:numId w:val="66"/>
        </w:numPr>
        <w:ind w:left="425" w:hanging="425"/>
        <w:rPr>
          <w:color w:val="000000" w:themeColor="text1"/>
          <w14:textFill>
            <w14:solidFill>
              <w14:schemeClr w14:val="tx1"/>
            </w14:solidFill>
          </w14:textFill>
        </w:rPr>
      </w:pPr>
      <w:bookmarkStart w:id="496" w:name="_Hlk155165896"/>
      <w:bookmarkStart w:id="497" w:name="_Hlk168057377"/>
      <w:r>
        <w:rPr>
          <w:rFonts w:hint="eastAsia"/>
          <w:color w:val="000000" w:themeColor="text1"/>
          <w14:textFill>
            <w14:solidFill>
              <w14:schemeClr w14:val="tx1"/>
            </w14:solidFill>
          </w14:textFill>
        </w:rPr>
        <w:t>长期股权投资的减值测试情况</w:t>
      </w:r>
    </w:p>
    <w:sdt>
      <w:sdtPr>
        <w:rPr>
          <w:color w:val="000000" w:themeColor="text1"/>
          <w14:textFill>
            <w14:solidFill>
              <w14:schemeClr w14:val="tx1"/>
            </w14:solidFill>
          </w14:textFill>
        </w:rPr>
        <w:alias w:val="是否适用：减值测试情况[双击切换]"/>
        <w:tag w:val="_GBC_c0857dc1a8eb4f79b18a90f9b4b26d58"/>
        <w:id w:val="-118306168"/>
        <w:placeholder>
          <w:docPart w:val="GBC22222222222222222222222222222"/>
        </w:placeholder>
      </w:sdtPr>
      <w:sdtEndPr>
        <w:rPr>
          <w:color w:val="000000" w:themeColor="text1"/>
          <w14:textFill>
            <w14:solidFill>
              <w14:schemeClr w14:val="tx1"/>
            </w14:solidFill>
          </w14:textFill>
        </w:rPr>
      </w:sdtEndPr>
      <w:sdtContent>
        <w:p w14:paraId="5AF6A4A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9324EC4">
      <w:pPr>
        <w:rPr>
          <w:color w:val="000000" w:themeColor="text1"/>
          <w14:textFill>
            <w14:solidFill>
              <w14:schemeClr w14:val="tx1"/>
            </w14:solidFill>
          </w14:textFill>
        </w:rPr>
      </w:pPr>
    </w:p>
    <w:bookmarkEnd w:id="496"/>
    <w:bookmarkEnd w:id="497"/>
    <w:p w14:paraId="0A048FA5">
      <w:pPr>
        <w:rPr>
          <w:color w:val="000000" w:themeColor="text1"/>
          <w14:textFill>
            <w14:solidFill>
              <w14:schemeClr w14:val="tx1"/>
            </w14:solidFill>
          </w14:textFill>
        </w:rPr>
      </w:pPr>
    </w:p>
    <w:p w14:paraId="6C0769A2">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母公司长期股权投资其他说明[双击切换]"/>
        <w:tag w:val="_GBC_8b70582854684459adc77f46cbf4aac7"/>
        <w:id w:val="-1294594034"/>
        <w:placeholder>
          <w:docPart w:val="GBC22222222222222222222222222222"/>
        </w:placeholder>
      </w:sdtPr>
      <w:sdtEndPr>
        <w:rPr>
          <w:color w:val="000000" w:themeColor="text1"/>
          <w14:textFill>
            <w14:solidFill>
              <w14:schemeClr w14:val="tx1"/>
            </w14:solidFill>
          </w14:textFill>
        </w:rPr>
      </w:sdtEndPr>
      <w:sdtContent>
        <w:p w14:paraId="1C782084">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47841E93">
      <w:pPr>
        <w:rPr>
          <w:color w:val="000000" w:themeColor="text1"/>
          <w14:textFill>
            <w14:solidFill>
              <w14:schemeClr w14:val="tx1"/>
            </w14:solidFill>
          </w14:textFill>
        </w:rPr>
      </w:pPr>
    </w:p>
    <w:p w14:paraId="3295D734">
      <w:pPr>
        <w:rPr>
          <w:color w:val="000000" w:themeColor="text1"/>
          <w14:textFill>
            <w14:solidFill>
              <w14:schemeClr w14:val="tx1"/>
            </w14:solidFill>
          </w14:textFill>
        </w:rPr>
        <w:sectPr>
          <w:pgSz w:w="16838" w:h="11906" w:orient="landscape"/>
          <w:pgMar w:top="1797" w:right="1525" w:bottom="1276" w:left="1440" w:header="856" w:footer="992" w:gutter="0"/>
          <w:cols w:space="425" w:num="1"/>
          <w:docGrid w:linePitch="312" w:charSpace="0"/>
        </w:sectPr>
      </w:pPr>
    </w:p>
    <w:p w14:paraId="396DABA6">
      <w:pPr>
        <w:rPr>
          <w:color w:val="000000" w:themeColor="text1"/>
          <w14:textFill>
            <w14:solidFill>
              <w14:schemeClr w14:val="tx1"/>
            </w14:solidFill>
          </w14:textFill>
        </w:rPr>
      </w:pPr>
    </w:p>
    <w:p w14:paraId="3F5EDD44">
      <w:pPr>
        <w:pStyle w:val="4"/>
        <w:numPr>
          <w:ilvl w:val="0"/>
          <w:numId w:val="114"/>
        </w:num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营业收入和营业成本</w:t>
      </w:r>
    </w:p>
    <w:p w14:paraId="355B4B00">
      <w:pPr>
        <w:pStyle w:val="5"/>
        <w:numPr>
          <w:ilvl w:val="0"/>
          <w:numId w:val="120"/>
        </w:numPr>
        <w:rPr>
          <w:rFonts w:hint="eastAsia" w:ascii="宋体" w:hAnsi="宋体"/>
          <w:color w:val="000000" w:themeColor="text1"/>
          <w14:textFill>
            <w14:solidFill>
              <w14:schemeClr w14:val="tx1"/>
            </w14:solidFill>
          </w14:textFill>
        </w:rPr>
      </w:pPr>
      <w:bookmarkStart w:id="498" w:name="_Hlk10548568"/>
      <w:r>
        <w:rPr>
          <w:rFonts w:hint="eastAsia" w:ascii="宋体" w:hAnsi="宋体"/>
          <w:color w:val="000000" w:themeColor="text1"/>
          <w14:textFill>
            <w14:solidFill>
              <w14:schemeClr w14:val="tx1"/>
            </w14:solidFill>
          </w14:textFill>
        </w:rPr>
        <w:t>营业收入和营业成本情况</w:t>
      </w:r>
    </w:p>
    <w:sdt>
      <w:sdtPr>
        <w:rPr>
          <w:color w:val="000000" w:themeColor="text1"/>
          <w14:textFill>
            <w14:solidFill>
              <w14:schemeClr w14:val="tx1"/>
            </w14:solidFill>
          </w14:textFill>
        </w:rPr>
        <w:alias w:val="是否适用：母公司营业收入和营业成本[双击切换]"/>
        <w:tag w:val="_GBC_f62d83b1068f4bfaae3a590b0ac9f4d7"/>
        <w:id w:val="1886139090"/>
        <w:placeholder>
          <w:docPart w:val="GBC22222222222222222222222222222"/>
        </w:placeholder>
      </w:sdtPr>
      <w:sdtEndPr>
        <w:rPr>
          <w:color w:val="000000" w:themeColor="text1"/>
          <w14:textFill>
            <w14:solidFill>
              <w14:schemeClr w14:val="tx1"/>
            </w14:solidFill>
          </w14:textFill>
        </w:rPr>
      </w:sdtEndPr>
      <w:sdtContent>
        <w:p w14:paraId="0A591BE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17909C7A">
      <w:pPr>
        <w:pStyle w:val="55"/>
        <w:ind w:firstLine="0" w:firstLineChars="0"/>
        <w:jc w:val="righ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w:t>
      </w:r>
      <w:sdt>
        <w:sdtPr>
          <w:rPr>
            <w:rFonts w:hint="eastAsia" w:ascii="宋体" w:hAnsi="宋体"/>
            <w:bCs w:val="0"/>
            <w:color w:val="000000" w:themeColor="text1"/>
            <w:szCs w:val="21"/>
            <w14:textFill>
              <w14:solidFill>
                <w14:schemeClr w14:val="tx1"/>
              </w14:solidFill>
            </w14:textFill>
          </w:rPr>
          <w:alias w:val="单位：母公司财务附注：营业收入"/>
          <w:tag w:val="_GBC_40a730bb869a41578a25e9cb66f4e28e"/>
          <w:id w:val="-1051211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bCs w:val="0"/>
            <w:color w:val="000000" w:themeColor="text1"/>
            <w:szCs w:val="21"/>
            <w14:textFill>
              <w14:solidFill>
                <w14:schemeClr w14:val="tx1"/>
              </w14:solidFill>
            </w14:textFill>
          </w:rPr>
        </w:sdtEndPr>
        <w:sdtContent>
          <w:r>
            <w:rPr>
              <w:rFonts w:hint="eastAsia" w:ascii="宋体" w:hAnsi="宋体"/>
              <w:bCs w:val="0"/>
              <w:color w:val="000000" w:themeColor="text1"/>
              <w:szCs w:val="21"/>
              <w14:textFill>
                <w14:solidFill>
                  <w14:schemeClr w14:val="tx1"/>
                </w14:solidFill>
              </w14:textFill>
            </w:rPr>
            <w:t>元</w:t>
          </w:r>
        </w:sdtContent>
      </w:sdt>
      <w:r>
        <w:rPr>
          <w:rFonts w:hint="eastAsia" w:ascii="宋体" w:hAnsi="宋体"/>
          <w:color w:val="000000" w:themeColor="text1"/>
          <w:szCs w:val="21"/>
          <w14:textFill>
            <w14:solidFill>
              <w14:schemeClr w14:val="tx1"/>
            </w14:solidFill>
          </w14:textFill>
        </w:rPr>
        <w:t xml:space="preserve">  币种：</w:t>
      </w:r>
      <w:sdt>
        <w:sdtPr>
          <w:rPr>
            <w:rFonts w:hint="eastAsia" w:ascii="宋体" w:hAnsi="宋体"/>
            <w:bCs w:val="0"/>
            <w:color w:val="000000" w:themeColor="text1"/>
            <w:szCs w:val="21"/>
            <w14:textFill>
              <w14:solidFill>
                <w14:schemeClr w14:val="tx1"/>
              </w14:solidFill>
            </w14:textFill>
          </w:rPr>
          <w:alias w:val="币种：母公司财务附注：营业收入"/>
          <w:tag w:val="_GBC_1b6056b90b2c445a9b1bcdc97aa104ec"/>
          <w:id w:val="15874400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宋体" w:hAnsi="宋体"/>
            <w:bCs w:val="0"/>
            <w:color w:val="000000" w:themeColor="text1"/>
            <w:szCs w:val="21"/>
            <w14:textFill>
              <w14:solidFill>
                <w14:schemeClr w14:val="tx1"/>
              </w14:solidFill>
            </w14:textFill>
          </w:rPr>
        </w:sdtEndPr>
        <w:sdtContent>
          <w:r>
            <w:rPr>
              <w:rFonts w:hint="eastAsia" w:ascii="宋体" w:hAnsi="宋体"/>
              <w:bCs w:val="0"/>
              <w:color w:val="000000" w:themeColor="text1"/>
              <w:szCs w:val="2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6"/>
        <w:gridCol w:w="1539"/>
        <w:gridCol w:w="1539"/>
        <w:gridCol w:w="1529"/>
        <w:gridCol w:w="1530"/>
      </w:tblGrid>
      <w:tr w14:paraId="7198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3dc9ae0da47e49d097992a176784945a"/>
            <w:id w:val="136385125"/>
          </w:sdtPr>
          <w:sdtContent>
            <w:tc>
              <w:tcPr>
                <w:tcW w:w="1570" w:type="pct"/>
                <w:vMerge w:val="restart"/>
                <w:tcBorders>
                  <w:top w:val="single" w:color="auto" w:sz="4" w:space="0"/>
                  <w:left w:val="single" w:color="auto" w:sz="4" w:space="0"/>
                  <w:right w:val="single" w:color="auto" w:sz="4" w:space="0"/>
                </w:tcBorders>
                <w:vAlign w:val="center"/>
              </w:tcPr>
              <w:p w14:paraId="21CFBE3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b47efcaea8ca428781485b2625b4c252"/>
            <w:id w:val="-305627845"/>
          </w:sdtPr>
          <w:sdtContent>
            <w:tc>
              <w:tcPr>
                <w:tcW w:w="1840" w:type="pct"/>
                <w:gridSpan w:val="2"/>
                <w:tcBorders>
                  <w:top w:val="single" w:color="auto" w:sz="4" w:space="0"/>
                  <w:left w:val="single" w:color="auto" w:sz="4" w:space="0"/>
                  <w:bottom w:val="single" w:color="auto" w:sz="4" w:space="0"/>
                  <w:right w:val="single" w:color="auto" w:sz="4" w:space="0"/>
                </w:tcBorders>
                <w:vAlign w:val="center"/>
              </w:tcPr>
              <w:p w14:paraId="39C0881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44320683f4394adcaf1711775bb320ef"/>
            <w:id w:val="-1762440892"/>
          </w:sdtPr>
          <w:sdtContent>
            <w:tc>
              <w:tcPr>
                <w:tcW w:w="1590" w:type="pct"/>
                <w:gridSpan w:val="2"/>
                <w:tcBorders>
                  <w:top w:val="single" w:color="auto" w:sz="4" w:space="0"/>
                  <w:left w:val="single" w:color="auto" w:sz="4" w:space="0"/>
                  <w:bottom w:val="single" w:color="auto" w:sz="4" w:space="0"/>
                  <w:right w:val="single" w:color="auto" w:sz="4" w:space="0"/>
                </w:tcBorders>
                <w:vAlign w:val="center"/>
              </w:tcPr>
              <w:p w14:paraId="2A32955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65E1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pct"/>
            <w:vMerge w:val="continue"/>
            <w:tcBorders>
              <w:left w:val="single" w:color="auto" w:sz="4" w:space="0"/>
              <w:bottom w:val="single" w:color="auto" w:sz="4" w:space="0"/>
              <w:right w:val="single" w:color="auto" w:sz="4" w:space="0"/>
            </w:tcBorders>
            <w:vAlign w:val="center"/>
          </w:tcPr>
          <w:p w14:paraId="04BAEB94">
            <w:pPr>
              <w:jc w:val="center"/>
              <w:rPr>
                <w:color w:val="000000" w:themeColor="text1"/>
                <w14:textFill>
                  <w14:solidFill>
                    <w14:schemeClr w14:val="tx1"/>
                  </w14:solidFill>
                </w14:textFill>
              </w:rPr>
            </w:pPr>
          </w:p>
        </w:tc>
        <w:sdt>
          <w:sdtPr>
            <w:tag w:val="_PLD_efb75dfbe3924c3a9f286eefd26b357f"/>
            <w:id w:val="-25409510"/>
          </w:sdtPr>
          <w:sdtContent>
            <w:tc>
              <w:tcPr>
                <w:tcW w:w="920" w:type="pct"/>
                <w:tcBorders>
                  <w:top w:val="single" w:color="auto" w:sz="4" w:space="0"/>
                  <w:left w:val="single" w:color="auto" w:sz="4" w:space="0"/>
                  <w:bottom w:val="single" w:color="auto" w:sz="4" w:space="0"/>
                  <w:right w:val="single" w:color="auto" w:sz="4" w:space="0"/>
                </w:tcBorders>
                <w:vAlign w:val="center"/>
              </w:tcPr>
              <w:p w14:paraId="11EC420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收入</w:t>
                </w:r>
              </w:p>
            </w:tc>
          </w:sdtContent>
        </w:sdt>
        <w:sdt>
          <w:sdtPr>
            <w:tag w:val="_PLD_9ecc7b9050c24dcebd801ee01e950a91"/>
            <w:id w:val="1804892047"/>
          </w:sdtPr>
          <w:sdtContent>
            <w:tc>
              <w:tcPr>
                <w:tcW w:w="920" w:type="pct"/>
                <w:tcBorders>
                  <w:top w:val="single" w:color="auto" w:sz="4" w:space="0"/>
                  <w:left w:val="single" w:color="auto" w:sz="4" w:space="0"/>
                  <w:bottom w:val="single" w:color="auto" w:sz="4" w:space="0"/>
                  <w:right w:val="single" w:color="auto" w:sz="4" w:space="0"/>
                </w:tcBorders>
                <w:vAlign w:val="center"/>
              </w:tcPr>
              <w:p w14:paraId="2FAE591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成本</w:t>
                </w:r>
              </w:p>
            </w:tc>
          </w:sdtContent>
        </w:sdt>
        <w:sdt>
          <w:sdtPr>
            <w:tag w:val="_PLD_b2940b2f59f24f969eea718c85f99dda"/>
            <w:id w:val="-2521554"/>
          </w:sdtPr>
          <w:sdtContent>
            <w:tc>
              <w:tcPr>
                <w:tcW w:w="837" w:type="pct"/>
                <w:tcBorders>
                  <w:top w:val="single" w:color="auto" w:sz="4" w:space="0"/>
                  <w:left w:val="single" w:color="auto" w:sz="4" w:space="0"/>
                  <w:bottom w:val="single" w:color="auto" w:sz="4" w:space="0"/>
                  <w:right w:val="single" w:color="auto" w:sz="4" w:space="0"/>
                </w:tcBorders>
                <w:vAlign w:val="center"/>
              </w:tcPr>
              <w:p w14:paraId="4E9CB0E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收入</w:t>
                </w:r>
              </w:p>
            </w:tc>
          </w:sdtContent>
        </w:sdt>
        <w:sdt>
          <w:sdtPr>
            <w:tag w:val="_PLD_971c170c70c24975ba7524e53623bf00"/>
            <w:id w:val="12587047"/>
          </w:sdtPr>
          <w:sdtContent>
            <w:tc>
              <w:tcPr>
                <w:tcW w:w="753" w:type="pct"/>
                <w:tcBorders>
                  <w:top w:val="single" w:color="auto" w:sz="4" w:space="0"/>
                  <w:left w:val="single" w:color="auto" w:sz="4" w:space="0"/>
                  <w:bottom w:val="single" w:color="auto" w:sz="4" w:space="0"/>
                  <w:right w:val="single" w:color="auto" w:sz="4" w:space="0"/>
                </w:tcBorders>
                <w:vAlign w:val="center"/>
              </w:tcPr>
              <w:p w14:paraId="6C3C71A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成本</w:t>
                </w:r>
              </w:p>
            </w:tc>
          </w:sdtContent>
        </w:sdt>
      </w:tr>
      <w:tr w14:paraId="638B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pct"/>
            <w:tcBorders>
              <w:top w:val="single" w:color="auto" w:sz="4" w:space="0"/>
              <w:left w:val="single" w:color="auto" w:sz="4" w:space="0"/>
              <w:bottom w:val="single" w:color="auto" w:sz="4" w:space="0"/>
              <w:right w:val="single" w:color="auto" w:sz="4" w:space="0"/>
            </w:tcBorders>
          </w:tcPr>
          <w:p w14:paraId="25FB3C3C">
            <w:pPr>
              <w:rPr>
                <w:color w:val="000000" w:themeColor="text1"/>
                <w14:textFill>
                  <w14:solidFill>
                    <w14:schemeClr w14:val="tx1"/>
                  </w14:solidFill>
                </w14:textFill>
              </w:rPr>
            </w:pPr>
            <w:r>
              <w:rPr>
                <w:rFonts w:hint="eastAsia"/>
                <w:color w:val="000000" w:themeColor="text1"/>
                <w14:textFill>
                  <w14:solidFill>
                    <w14:schemeClr w14:val="tx1"/>
                  </w14:solidFill>
                </w14:textFill>
              </w:rPr>
              <w:t>主营业务</w:t>
            </w:r>
          </w:p>
        </w:tc>
        <w:tc>
          <w:tcPr>
            <w:tcW w:w="920" w:type="pct"/>
            <w:tcBorders>
              <w:top w:val="single" w:color="auto" w:sz="4" w:space="0"/>
              <w:left w:val="single" w:color="auto" w:sz="4" w:space="0"/>
              <w:bottom w:val="single" w:color="auto" w:sz="4" w:space="0"/>
              <w:right w:val="single" w:color="auto" w:sz="4" w:space="0"/>
            </w:tcBorders>
          </w:tcPr>
          <w:p w14:paraId="324291E1">
            <w:pPr>
              <w:jc w:val="right"/>
            </w:pPr>
            <w:r>
              <w:t>565,576,438.89</w:t>
            </w:r>
          </w:p>
        </w:tc>
        <w:tc>
          <w:tcPr>
            <w:tcW w:w="920" w:type="pct"/>
            <w:tcBorders>
              <w:top w:val="single" w:color="auto" w:sz="4" w:space="0"/>
              <w:left w:val="single" w:color="auto" w:sz="4" w:space="0"/>
              <w:bottom w:val="single" w:color="auto" w:sz="4" w:space="0"/>
              <w:right w:val="single" w:color="auto" w:sz="4" w:space="0"/>
            </w:tcBorders>
          </w:tcPr>
          <w:p w14:paraId="3EE3348A">
            <w:pPr>
              <w:jc w:val="right"/>
            </w:pPr>
            <w:r>
              <w:t>465,676,437.26</w:t>
            </w:r>
          </w:p>
        </w:tc>
        <w:tc>
          <w:tcPr>
            <w:tcW w:w="837" w:type="pct"/>
            <w:tcBorders>
              <w:top w:val="single" w:color="auto" w:sz="4" w:space="0"/>
              <w:left w:val="single" w:color="auto" w:sz="4" w:space="0"/>
              <w:bottom w:val="single" w:color="auto" w:sz="4" w:space="0"/>
              <w:right w:val="single" w:color="auto" w:sz="4" w:space="0"/>
            </w:tcBorders>
          </w:tcPr>
          <w:p w14:paraId="2D6356C5">
            <w:pPr>
              <w:jc w:val="right"/>
            </w:pPr>
            <w:r>
              <w:t>518,691,070.67</w:t>
            </w:r>
          </w:p>
        </w:tc>
        <w:tc>
          <w:tcPr>
            <w:tcW w:w="753" w:type="pct"/>
            <w:tcBorders>
              <w:top w:val="single" w:color="auto" w:sz="4" w:space="0"/>
              <w:left w:val="single" w:color="auto" w:sz="4" w:space="0"/>
              <w:bottom w:val="single" w:color="auto" w:sz="4" w:space="0"/>
              <w:right w:val="single" w:color="auto" w:sz="4" w:space="0"/>
            </w:tcBorders>
          </w:tcPr>
          <w:p w14:paraId="570485BA">
            <w:pPr>
              <w:jc w:val="right"/>
            </w:pPr>
            <w:r>
              <w:t>393,569,191.20</w:t>
            </w:r>
          </w:p>
        </w:tc>
      </w:tr>
      <w:tr w14:paraId="1E90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pct"/>
            <w:tcBorders>
              <w:top w:val="single" w:color="auto" w:sz="4" w:space="0"/>
              <w:left w:val="single" w:color="auto" w:sz="4" w:space="0"/>
              <w:bottom w:val="single" w:color="auto" w:sz="4" w:space="0"/>
              <w:right w:val="single" w:color="auto" w:sz="4" w:space="0"/>
            </w:tcBorders>
          </w:tcPr>
          <w:p w14:paraId="6A573614">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其他业务</w:t>
            </w:r>
          </w:p>
        </w:tc>
        <w:tc>
          <w:tcPr>
            <w:tcW w:w="920" w:type="pct"/>
            <w:tcBorders>
              <w:top w:val="single" w:color="auto" w:sz="4" w:space="0"/>
              <w:left w:val="single" w:color="auto" w:sz="4" w:space="0"/>
              <w:bottom w:val="single" w:color="auto" w:sz="4" w:space="0"/>
              <w:right w:val="single" w:color="auto" w:sz="4" w:space="0"/>
            </w:tcBorders>
          </w:tcPr>
          <w:p w14:paraId="2EC28E8F">
            <w:pPr>
              <w:jc w:val="right"/>
            </w:pPr>
            <w:r>
              <w:t>1,994,086.42</w:t>
            </w:r>
          </w:p>
        </w:tc>
        <w:tc>
          <w:tcPr>
            <w:tcW w:w="920" w:type="pct"/>
            <w:tcBorders>
              <w:top w:val="single" w:color="auto" w:sz="4" w:space="0"/>
              <w:left w:val="single" w:color="auto" w:sz="4" w:space="0"/>
              <w:bottom w:val="single" w:color="auto" w:sz="4" w:space="0"/>
              <w:right w:val="single" w:color="auto" w:sz="4" w:space="0"/>
            </w:tcBorders>
          </w:tcPr>
          <w:p w14:paraId="78E3D000">
            <w:pPr>
              <w:jc w:val="right"/>
            </w:pPr>
            <w:r>
              <w:t>888,802.64</w:t>
            </w:r>
          </w:p>
        </w:tc>
        <w:tc>
          <w:tcPr>
            <w:tcW w:w="837" w:type="pct"/>
            <w:tcBorders>
              <w:top w:val="single" w:color="auto" w:sz="4" w:space="0"/>
              <w:left w:val="single" w:color="auto" w:sz="4" w:space="0"/>
              <w:bottom w:val="single" w:color="auto" w:sz="4" w:space="0"/>
              <w:right w:val="single" w:color="auto" w:sz="4" w:space="0"/>
            </w:tcBorders>
          </w:tcPr>
          <w:p w14:paraId="56AF77D9">
            <w:pPr>
              <w:jc w:val="right"/>
            </w:pPr>
            <w:r>
              <w:t>1,528,352.95</w:t>
            </w:r>
          </w:p>
        </w:tc>
        <w:tc>
          <w:tcPr>
            <w:tcW w:w="753" w:type="pct"/>
            <w:tcBorders>
              <w:top w:val="single" w:color="auto" w:sz="4" w:space="0"/>
              <w:left w:val="single" w:color="auto" w:sz="4" w:space="0"/>
              <w:bottom w:val="single" w:color="auto" w:sz="4" w:space="0"/>
              <w:right w:val="single" w:color="auto" w:sz="4" w:space="0"/>
            </w:tcBorders>
          </w:tcPr>
          <w:p w14:paraId="2495B6BF">
            <w:pPr>
              <w:jc w:val="right"/>
            </w:pPr>
            <w:r>
              <w:t>245,676.20</w:t>
            </w:r>
          </w:p>
        </w:tc>
      </w:tr>
      <w:tr w14:paraId="2A63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pct"/>
            <w:tcBorders>
              <w:top w:val="single" w:color="auto" w:sz="4" w:space="0"/>
              <w:left w:val="single" w:color="auto" w:sz="4" w:space="0"/>
              <w:bottom w:val="single" w:color="auto" w:sz="4" w:space="0"/>
              <w:right w:val="single" w:color="auto" w:sz="4" w:space="0"/>
            </w:tcBorders>
            <w:vAlign w:val="center"/>
          </w:tcPr>
          <w:p w14:paraId="27CAAE8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920" w:type="pct"/>
            <w:tcBorders>
              <w:top w:val="single" w:color="auto" w:sz="4" w:space="0"/>
              <w:left w:val="single" w:color="auto" w:sz="4" w:space="0"/>
              <w:bottom w:val="single" w:color="auto" w:sz="4" w:space="0"/>
              <w:right w:val="single" w:color="auto" w:sz="4" w:space="0"/>
            </w:tcBorders>
          </w:tcPr>
          <w:p w14:paraId="25952AA3">
            <w:pPr>
              <w:jc w:val="right"/>
            </w:pPr>
            <w:r>
              <w:t>567,570,525.31</w:t>
            </w:r>
          </w:p>
        </w:tc>
        <w:tc>
          <w:tcPr>
            <w:tcW w:w="920" w:type="pct"/>
            <w:tcBorders>
              <w:top w:val="single" w:color="auto" w:sz="4" w:space="0"/>
              <w:left w:val="single" w:color="auto" w:sz="4" w:space="0"/>
              <w:bottom w:val="single" w:color="auto" w:sz="4" w:space="0"/>
              <w:right w:val="single" w:color="auto" w:sz="4" w:space="0"/>
            </w:tcBorders>
          </w:tcPr>
          <w:p w14:paraId="6691634A">
            <w:pPr>
              <w:jc w:val="right"/>
            </w:pPr>
            <w:r>
              <w:t>466,565,239.90</w:t>
            </w:r>
          </w:p>
        </w:tc>
        <w:tc>
          <w:tcPr>
            <w:tcW w:w="837" w:type="pct"/>
            <w:tcBorders>
              <w:top w:val="single" w:color="auto" w:sz="4" w:space="0"/>
              <w:left w:val="single" w:color="auto" w:sz="4" w:space="0"/>
              <w:bottom w:val="single" w:color="auto" w:sz="4" w:space="0"/>
              <w:right w:val="single" w:color="auto" w:sz="4" w:space="0"/>
            </w:tcBorders>
          </w:tcPr>
          <w:p w14:paraId="729AF0EF">
            <w:pPr>
              <w:jc w:val="right"/>
            </w:pPr>
            <w:r>
              <w:t>520,219,423.62</w:t>
            </w:r>
          </w:p>
        </w:tc>
        <w:tc>
          <w:tcPr>
            <w:tcW w:w="753" w:type="pct"/>
            <w:tcBorders>
              <w:top w:val="single" w:color="auto" w:sz="4" w:space="0"/>
              <w:left w:val="single" w:color="auto" w:sz="4" w:space="0"/>
              <w:bottom w:val="single" w:color="auto" w:sz="4" w:space="0"/>
              <w:right w:val="single" w:color="auto" w:sz="4" w:space="0"/>
            </w:tcBorders>
          </w:tcPr>
          <w:p w14:paraId="3D1A05F9">
            <w:pPr>
              <w:jc w:val="right"/>
            </w:pPr>
            <w:r>
              <w:t>393,814,867.40</w:t>
            </w:r>
          </w:p>
        </w:tc>
      </w:tr>
    </w:tbl>
    <w:p w14:paraId="5764B306">
      <w:pPr>
        <w:rPr>
          <w:color w:val="000000" w:themeColor="text1"/>
          <w14:textFill>
            <w14:solidFill>
              <w14:schemeClr w14:val="tx1"/>
            </w14:solidFill>
          </w14:textFill>
        </w:rPr>
      </w:pPr>
    </w:p>
    <w:bookmarkEnd w:id="498"/>
    <w:sdt>
      <w:sdtPr>
        <w:rPr>
          <w:rFonts w:hint="eastAsia" w:ascii="宋体" w:hAnsi="宋体" w:cs="宋体"/>
          <w:b w:val="0"/>
          <w:bCs/>
          <w:color w:val="000000" w:themeColor="text1"/>
          <w:kern w:val="0"/>
          <w:szCs w:val="24"/>
          <w14:textFill>
            <w14:solidFill>
              <w14:schemeClr w14:val="tx1"/>
            </w14:solidFill>
          </w14:textFill>
        </w:rPr>
        <w:alias w:val="模块:合同产生的收入的情况"/>
        <w:tag w:val="_SEC_55b67c614f984b14baf467a8376baa6d"/>
        <w:id w:val="-1722050335"/>
        <w:placeholder>
          <w:docPart w:val="GBC22222222222222222222222222222"/>
        </w:placeholder>
      </w:sdtPr>
      <w:sdtEndPr>
        <w:rPr>
          <w:rFonts w:hint="default" w:ascii="Times New Roman" w:hAnsi="Times New Roman" w:cs="宋体"/>
          <w:b w:val="0"/>
          <w:bCs/>
          <w:color w:val="000000" w:themeColor="text1"/>
          <w:kern w:val="0"/>
          <w:szCs w:val="21"/>
          <w14:textFill>
            <w14:solidFill>
              <w14:schemeClr w14:val="tx1"/>
            </w14:solidFill>
          </w14:textFill>
        </w:rPr>
      </w:sdtEndPr>
      <w:sdtContent>
        <w:p w14:paraId="4D34D002">
          <w:pPr>
            <w:pStyle w:val="5"/>
            <w:numPr>
              <w:ilvl w:val="0"/>
              <w:numId w:val="120"/>
            </w:numPr>
            <w:ind w:left="425" w:hanging="425"/>
            <w:rPr>
              <w:color w:val="000000" w:themeColor="text1"/>
              <w14:textFill>
                <w14:solidFill>
                  <w14:schemeClr w14:val="tx1"/>
                </w14:solidFill>
              </w14:textFill>
            </w:rPr>
          </w:pPr>
          <w:bookmarkStart w:id="499" w:name="_Hlk153798384"/>
          <w:bookmarkStart w:id="500" w:name="_Hlk533798810"/>
          <w:bookmarkStart w:id="501" w:name="_Hlk168057792"/>
          <w:r>
            <w:rPr>
              <w:rFonts w:hint="eastAsia"/>
              <w:color w:val="000000" w:themeColor="text1"/>
              <w14:textFill>
                <w14:solidFill>
                  <w14:schemeClr w14:val="tx1"/>
                </w14:solidFill>
              </w14:textFill>
            </w:rPr>
            <w:t>营业收入、营业成本的分解信息</w:t>
          </w:r>
          <w:r>
            <w:rPr>
              <w:color w:val="000000" w:themeColor="text1"/>
              <w14:textFill>
                <w14:solidFill>
                  <w14:schemeClr w14:val="tx1"/>
                </w14:solidFill>
              </w14:textFill>
            </w:rPr>
            <w:t xml:space="preserve"> </w:t>
          </w:r>
        </w:p>
        <w:sdt>
          <w:sdtPr>
            <w:rPr>
              <w:rFonts w:ascii="宋体" w:hAnsi="宋体"/>
              <w:color w:val="000000" w:themeColor="text1"/>
              <w:szCs w:val="21"/>
              <w14:textFill>
                <w14:solidFill>
                  <w14:schemeClr w14:val="tx1"/>
                </w14:solidFill>
              </w14:textFill>
            </w:rPr>
            <w:alias w:val="是否适用：母公司营业收入、营业成本的分解信息 [双击切换]"/>
            <w:tag w:val="_GBC_f916612422c346448db58faef20dc792"/>
            <w:id w:val="115884366"/>
            <w:placeholder>
              <w:docPart w:val="GBC22222222222222222222222222222"/>
            </w:placeholder>
          </w:sdtPr>
          <w:sdtEndPr>
            <w:rPr>
              <w:rFonts w:ascii="宋体" w:hAnsi="宋体"/>
              <w:color w:val="000000" w:themeColor="text1"/>
              <w:szCs w:val="21"/>
              <w14:textFill>
                <w14:solidFill>
                  <w14:schemeClr w14:val="tx1"/>
                </w14:solidFill>
              </w14:textFill>
            </w:rPr>
          </w:sdtEndPr>
          <w:sdtContent>
            <w:p w14:paraId="1786E841">
              <w:pPr>
                <w:pStyle w:val="55"/>
                <w:ind w:firstLine="0" w:firstLineChars="0"/>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fldChar w:fldCharType="begin"/>
              </w:r>
              <w:r>
                <w:rPr>
                  <w:rFonts w:hint="eastAsia" w:ascii="宋体" w:hAnsi="宋体"/>
                  <w:color w:val="000000" w:themeColor="text1"/>
                  <w:szCs w:val="21"/>
                  <w14:textFill>
                    <w14:solidFill>
                      <w14:schemeClr w14:val="tx1"/>
                    </w14:solidFill>
                  </w14:textFill>
                </w:rPr>
                <w:instrText xml:space="preserve"> MACROBUTTON  SnrToggleCheckbox □适用 </w:instrText>
              </w:r>
              <w:r>
                <w:rPr>
                  <w:rFonts w:ascii="宋体" w:hAnsi="宋体"/>
                  <w:color w:val="000000" w:themeColor="text1"/>
                  <w:szCs w:val="21"/>
                  <w14:textFill>
                    <w14:solidFill>
                      <w14:schemeClr w14:val="tx1"/>
                    </w14:solidFill>
                  </w14:textFill>
                </w:rPr>
                <w:fldChar w:fldCharType="end"/>
              </w:r>
              <w:r>
                <w:rPr>
                  <w:rFonts w:ascii="宋体" w:hAnsi="宋体"/>
                  <w:color w:val="000000" w:themeColor="text1"/>
                  <w:szCs w:val="21"/>
                  <w14:textFill>
                    <w14:solidFill>
                      <w14:schemeClr w14:val="tx1"/>
                    </w14:solidFill>
                  </w14:textFill>
                </w:rPr>
                <w:fldChar w:fldCharType="begin"/>
              </w:r>
              <w:r>
                <w:rPr>
                  <w:rFonts w:hint="eastAsia" w:ascii="宋体" w:hAnsi="宋体"/>
                  <w:color w:val="000000" w:themeColor="text1"/>
                  <w:szCs w:val="21"/>
                  <w14:textFill>
                    <w14:solidFill>
                      <w14:schemeClr w14:val="tx1"/>
                    </w14:solidFill>
                  </w14:textFill>
                </w:rPr>
                <w:instrText xml:space="preserve"> MACROBUTTON  SnrToggleCheckbox √不适用 </w:instrText>
              </w:r>
              <w:r>
                <w:rPr>
                  <w:rFonts w:ascii="宋体" w:hAnsi="宋体"/>
                  <w:color w:val="000000" w:themeColor="text1"/>
                  <w:szCs w:val="21"/>
                  <w14:textFill>
                    <w14:solidFill>
                      <w14:schemeClr w14:val="tx1"/>
                    </w14:solidFill>
                  </w14:textFill>
                </w:rPr>
                <w:fldChar w:fldCharType="end"/>
              </w:r>
            </w:p>
          </w:sdtContent>
        </w:sdt>
        <w:p w14:paraId="3A77F02C">
          <w:pPr>
            <w:pStyle w:val="55"/>
            <w:ind w:firstLine="0" w:firstLineChars="0"/>
            <w:jc w:val="left"/>
            <w:rPr>
              <w:color w:val="000000" w:themeColor="text1"/>
              <w14:textFill>
                <w14:solidFill>
                  <w14:schemeClr w14:val="tx1"/>
                </w14:solidFill>
              </w14:textFill>
            </w:rPr>
          </w:pPr>
        </w:p>
        <w:p w14:paraId="2D88CF1F">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母公司营业收入、营业成本的分解信息说明 [双击切换]"/>
            <w:tag w:val="_GBC_adf50e989b9642a6a5b483866ecd2065"/>
            <w:id w:val="1639844595"/>
            <w:placeholder>
              <w:docPart w:val="GBC22222222222222222222222222222"/>
            </w:placeholder>
          </w:sdtPr>
          <w:sdtEndPr>
            <w:rPr>
              <w:color w:val="000000" w:themeColor="text1"/>
              <w14:textFill>
                <w14:solidFill>
                  <w14:schemeClr w14:val="tx1"/>
                </w14:solidFill>
              </w14:textFill>
            </w:rPr>
          </w:sdtEndPr>
          <w:sdtContent>
            <w:p w14:paraId="36DA76C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760BECBC">
          <w:pPr>
            <w:rPr>
              <w:color w:val="000000" w:themeColor="text1"/>
              <w14:textFill>
                <w14:solidFill>
                  <w14:schemeClr w14:val="tx1"/>
                </w14:solidFill>
              </w14:textFill>
            </w:rPr>
          </w:pPr>
        </w:p>
        <w:p w14:paraId="463DBAB4">
          <w:pPr>
            <w:rPr>
              <w:color w:val="000000" w:themeColor="text1"/>
              <w14:textFill>
                <w14:solidFill>
                  <w14:schemeClr w14:val="tx1"/>
                </w14:solidFill>
              </w14:textFill>
            </w:rPr>
          </w:pPr>
        </w:p>
      </w:sdtContent>
    </w:sdt>
    <w:bookmarkEnd w:id="499"/>
    <w:p w14:paraId="4285E1D5">
      <w:pPr>
        <w:pStyle w:val="5"/>
        <w:numPr>
          <w:ilvl w:val="0"/>
          <w:numId w:val="120"/>
        </w:numPr>
        <w:ind w:left="425" w:hanging="425"/>
        <w:rPr>
          <w:rFonts w:hint="eastAsia" w:ascii="宋体" w:hAnsi="宋体" w:cs="宋体"/>
          <w:color w:val="000000" w:themeColor="text1"/>
          <w:kern w:val="0"/>
          <w:szCs w:val="24"/>
          <w14:textFill>
            <w14:solidFill>
              <w14:schemeClr w14:val="tx1"/>
            </w14:solidFill>
          </w14:textFill>
        </w:rPr>
      </w:pPr>
      <w:bookmarkStart w:id="502" w:name="_Hlk155961563"/>
      <w:r>
        <w:rPr>
          <w:rFonts w:hint="eastAsia" w:ascii="宋体" w:hAnsi="宋体" w:cs="宋体"/>
          <w:color w:val="000000" w:themeColor="text1"/>
          <w:kern w:val="0"/>
          <w:szCs w:val="24"/>
          <w14:textFill>
            <w14:solidFill>
              <w14:schemeClr w14:val="tx1"/>
            </w14:solidFill>
          </w14:textFill>
        </w:rPr>
        <w:t>履约义务的说明</w:t>
      </w:r>
    </w:p>
    <w:sdt>
      <w:sdtPr>
        <w:rPr>
          <w:color w:val="000000" w:themeColor="text1"/>
          <w14:textFill>
            <w14:solidFill>
              <w14:schemeClr w14:val="tx1"/>
            </w14:solidFill>
          </w14:textFill>
        </w:rPr>
        <w:alias w:val="是否适用：履约义务的说明[双击切换]"/>
        <w:tag w:val="_GBC_7eb65f1aefb848c3be4d6abd4048aef7"/>
        <w:id w:val="1568068578"/>
        <w:placeholder>
          <w:docPart w:val="GBC22222222222222222222222222222"/>
        </w:placeholder>
      </w:sdtPr>
      <w:sdtEndPr>
        <w:rPr>
          <w:color w:val="000000" w:themeColor="text1"/>
          <w14:textFill>
            <w14:solidFill>
              <w14:schemeClr w14:val="tx1"/>
            </w14:solidFill>
          </w14:textFill>
        </w:rPr>
      </w:sdtEndPr>
      <w:sdtContent>
        <w:p w14:paraId="392946B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7DF0DC1">
      <w:pPr>
        <w:rPr>
          <w:color w:val="000000" w:themeColor="text1"/>
          <w14:textFill>
            <w14:solidFill>
              <w14:schemeClr w14:val="tx1"/>
            </w14:solidFill>
          </w14:textFill>
        </w:rPr>
      </w:pPr>
    </w:p>
    <w:p w14:paraId="3C43D3C0">
      <w:pPr>
        <w:rPr>
          <w:color w:val="000000" w:themeColor="text1"/>
          <w14:textFill>
            <w14:solidFill>
              <w14:schemeClr w14:val="tx1"/>
            </w14:solidFill>
          </w14:textFill>
        </w:rPr>
      </w:pPr>
    </w:p>
    <w:bookmarkEnd w:id="500"/>
    <w:bookmarkEnd w:id="502"/>
    <w:p w14:paraId="7F8B78C7">
      <w:pPr>
        <w:pStyle w:val="5"/>
        <w:numPr>
          <w:ilvl w:val="0"/>
          <w:numId w:val="120"/>
        </w:numPr>
        <w:ind w:left="425" w:hanging="425"/>
        <w:rPr>
          <w:color w:val="000000" w:themeColor="text1"/>
          <w14:textFill>
            <w14:solidFill>
              <w14:schemeClr w14:val="tx1"/>
            </w14:solidFill>
          </w14:textFill>
        </w:rPr>
      </w:pPr>
      <w:bookmarkStart w:id="503" w:name="_Hlk533798958"/>
      <w:r>
        <w:rPr>
          <w:rFonts w:hint="eastAsia"/>
          <w:color w:val="000000" w:themeColor="text1"/>
          <w14:textFill>
            <w14:solidFill>
              <w14:schemeClr w14:val="tx1"/>
            </w14:solidFill>
          </w14:textFill>
        </w:rPr>
        <w:t>分摊至剩余履约义务的说明</w:t>
      </w:r>
    </w:p>
    <w:sdt>
      <w:sdtPr>
        <w:rPr>
          <w:color w:val="000000" w:themeColor="text1"/>
          <w14:textFill>
            <w14:solidFill>
              <w14:schemeClr w14:val="tx1"/>
            </w14:solidFill>
          </w14:textFill>
        </w:rPr>
        <w:alias w:val="是否适用：母公司分摊至剩余履约义务的说明[双击切换]"/>
        <w:tag w:val="_GBC_3aac73ec336d4015bdb4b42a7b0d24ea"/>
        <w:id w:val="-1172949096"/>
        <w:placeholder>
          <w:docPart w:val="GBC22222222222222222222222222222"/>
        </w:placeholder>
      </w:sdtPr>
      <w:sdtEndPr>
        <w:rPr>
          <w:color w:val="000000" w:themeColor="text1"/>
          <w14:textFill>
            <w14:solidFill>
              <w14:schemeClr w14:val="tx1"/>
            </w14:solidFill>
          </w14:textFill>
        </w:rPr>
      </w:sdtEndPr>
      <w:sdtContent>
        <w:p w14:paraId="24A56C5F">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654216C">
      <w:pPr>
        <w:rPr>
          <w:color w:val="000000" w:themeColor="text1"/>
          <w14:textFill>
            <w14:solidFill>
              <w14:schemeClr w14:val="tx1"/>
            </w14:solidFill>
          </w14:textFill>
        </w:rPr>
      </w:pPr>
    </w:p>
    <w:p w14:paraId="54930CE4">
      <w:pPr>
        <w:rPr>
          <w:rFonts w:ascii="Arial" w:hAnsi="Arial"/>
          <w:color w:val="000000" w:themeColor="text1"/>
          <w14:textFill>
            <w14:solidFill>
              <w14:schemeClr w14:val="tx1"/>
            </w14:solidFill>
          </w14:textFill>
        </w:rPr>
      </w:pPr>
    </w:p>
    <w:p w14:paraId="6A192407">
      <w:pPr>
        <w:rPr>
          <w:rFonts w:ascii="Arial" w:hAnsi="Arial"/>
          <w:color w:val="000000" w:themeColor="text1"/>
          <w14:textFill>
            <w14:solidFill>
              <w14:schemeClr w14:val="tx1"/>
            </w14:solidFill>
          </w14:textFill>
        </w:rPr>
      </w:pPr>
    </w:p>
    <w:bookmarkEnd w:id="503"/>
    <w:p w14:paraId="28626CCF">
      <w:pPr>
        <w:pStyle w:val="5"/>
        <w:numPr>
          <w:ilvl w:val="0"/>
          <w:numId w:val="120"/>
        </w:numPr>
        <w:ind w:left="425" w:hanging="425"/>
        <w:rPr>
          <w:rFonts w:hint="eastAsia" w:ascii="宋体" w:hAnsi="宋体" w:cs="宋体"/>
          <w:color w:val="000000" w:themeColor="text1"/>
          <w:kern w:val="0"/>
          <w:szCs w:val="24"/>
          <w14:textFill>
            <w14:solidFill>
              <w14:schemeClr w14:val="tx1"/>
            </w14:solidFill>
          </w14:textFill>
        </w:rPr>
      </w:pPr>
      <w:bookmarkStart w:id="504" w:name="_Hlk153798573"/>
      <w:r>
        <w:rPr>
          <w:rFonts w:hint="eastAsia" w:ascii="宋体" w:hAnsi="宋体" w:cs="宋体"/>
          <w:color w:val="000000" w:themeColor="text1"/>
          <w:kern w:val="0"/>
          <w:szCs w:val="24"/>
          <w14:textFill>
            <w14:solidFill>
              <w14:schemeClr w14:val="tx1"/>
            </w14:solidFill>
          </w14:textFill>
        </w:rPr>
        <w:t>重大合同变更或重大交易价格调整</w:t>
      </w:r>
    </w:p>
    <w:sdt>
      <w:sdtPr>
        <w:rPr>
          <w:color w:val="000000" w:themeColor="text1"/>
          <w14:textFill>
            <w14:solidFill>
              <w14:schemeClr w14:val="tx1"/>
            </w14:solidFill>
          </w14:textFill>
        </w:rPr>
        <w:alias w:val="是否适用：母公司重大合同变更或重大交易价格调整[双击切换]"/>
        <w:tag w:val="_GBC_37b150e92b5a4605be19135cd46e097e"/>
        <w:id w:val="-870684867"/>
        <w:placeholder>
          <w:docPart w:val="GBC22222222222222222222222222222"/>
        </w:placeholder>
      </w:sdtPr>
      <w:sdtEndPr>
        <w:rPr>
          <w:color w:val="000000" w:themeColor="text1"/>
          <w14:textFill>
            <w14:solidFill>
              <w14:schemeClr w14:val="tx1"/>
            </w14:solidFill>
          </w14:textFill>
        </w:rPr>
      </w:sdtEndPr>
      <w:sdtContent>
        <w:p w14:paraId="3328BD78">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059FEE6">
      <w:pPr>
        <w:rPr>
          <w:rFonts w:ascii="Arial" w:hAnsi="Arial"/>
          <w:color w:val="000000" w:themeColor="text1"/>
          <w14:textFill>
            <w14:solidFill>
              <w14:schemeClr w14:val="tx1"/>
            </w14:solidFill>
          </w14:textFill>
        </w:rPr>
      </w:pPr>
    </w:p>
    <w:bookmarkEnd w:id="504"/>
    <w:p w14:paraId="3CF96E06">
      <w:pPr>
        <w:spacing w:before="60" w:after="60"/>
        <w:rPr>
          <w:color w:val="000000" w:themeColor="text1"/>
          <w14:textFill>
            <w14:solidFill>
              <w14:schemeClr w14:val="tx1"/>
            </w14:solidFill>
          </w14:textFill>
        </w:rPr>
      </w:pPr>
      <w:bookmarkStart w:id="505" w:name="_Hlk533798751"/>
      <w:r>
        <w:rPr>
          <w:rFonts w:hint="eastAsia"/>
          <w:color w:val="000000" w:themeColor="text1"/>
          <w14:textFill>
            <w14:solidFill>
              <w14:schemeClr w14:val="tx1"/>
            </w14:solidFill>
          </w14:textFill>
        </w:rPr>
        <w:t>其他说明：</w:t>
      </w:r>
    </w:p>
    <w:p w14:paraId="47FEB651">
      <w:pPr>
        <w:rPr>
          <w:color w:val="000000" w:themeColor="text1"/>
          <w14:textFill>
            <w14:solidFill>
              <w14:schemeClr w14:val="tx1"/>
            </w14:solidFill>
          </w14:textFill>
        </w:rPr>
      </w:pPr>
      <w:sdt>
        <w:sdtPr>
          <w:rPr>
            <w:color w:val="000000" w:themeColor="text1"/>
            <w14:textFill>
              <w14:solidFill>
                <w14:schemeClr w14:val="tx1"/>
              </w14:solidFill>
            </w14:textFill>
          </w:rPr>
          <w:alias w:val="主营业务说明"/>
          <w:tag w:val="_GBC_1758332f6c7d4ddf94e12be06682add9"/>
          <w:id w:val="1480730139"/>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无</w:t>
          </w:r>
        </w:sdtContent>
      </w:sdt>
    </w:p>
    <w:p w14:paraId="11A52EF9">
      <w:pPr>
        <w:rPr>
          <w:color w:val="000000" w:themeColor="text1"/>
          <w14:textFill>
            <w14:solidFill>
              <w14:schemeClr w14:val="tx1"/>
            </w14:solidFill>
          </w14:textFill>
        </w:rPr>
      </w:pPr>
    </w:p>
    <w:bookmarkEnd w:id="501"/>
    <w:bookmarkEnd w:id="505"/>
    <w:p w14:paraId="0907CF5E">
      <w:pPr>
        <w:pStyle w:val="4"/>
        <w:numPr>
          <w:ilvl w:val="0"/>
          <w:numId w:val="114"/>
        </w:numPr>
        <w:rPr>
          <w:rFonts w:hint="eastAsia" w:ascii="宋体" w:hAnsi="宋体"/>
          <w:color w:val="000000" w:themeColor="text1"/>
          <w:szCs w:val="21"/>
          <w14:textFill>
            <w14:solidFill>
              <w14:schemeClr w14:val="tx1"/>
            </w14:solidFill>
          </w14:textFill>
        </w:rPr>
      </w:pPr>
      <w:bookmarkStart w:id="506" w:name="OLE_LINK6"/>
      <w:bookmarkStart w:id="507" w:name="_Hlk10548739"/>
      <w:r>
        <w:rPr>
          <w:rFonts w:hint="eastAsia" w:ascii="宋体" w:hAnsi="宋体"/>
          <w:color w:val="000000" w:themeColor="text1"/>
          <w:szCs w:val="21"/>
          <w14:textFill>
            <w14:solidFill>
              <w14:schemeClr w14:val="tx1"/>
            </w14:solidFill>
          </w14:textFill>
        </w:rPr>
        <w:t>投资收益</w:t>
      </w:r>
      <w:bookmarkEnd w:id="506"/>
    </w:p>
    <w:sdt>
      <w:sdtPr>
        <w:rPr>
          <w:color w:val="000000" w:themeColor="text1"/>
          <w14:textFill>
            <w14:solidFill>
              <w14:schemeClr w14:val="tx1"/>
            </w14:solidFill>
          </w14:textFill>
        </w:rPr>
        <w:alias w:val="是否适用：母公司投资收益[双击切换]"/>
        <w:tag w:val="_GBC_bdba48f0322747499f6908fbbf78a16f"/>
        <w:id w:val="610786076"/>
        <w:placeholder>
          <w:docPart w:val="GBC22222222222222222222222222222"/>
        </w:placeholder>
      </w:sdtPr>
      <w:sdtEndPr>
        <w:rPr>
          <w:color w:val="000000" w:themeColor="text1"/>
          <w14:textFill>
            <w14:solidFill>
              <w14:schemeClr w14:val="tx1"/>
            </w14:solidFill>
          </w14:textFill>
        </w:rPr>
      </w:sdtEndPr>
      <w:sdtContent>
        <w:p w14:paraId="0BAAF283">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38264942">
      <w:pPr>
        <w:jc w:val="right"/>
        <w:rPr>
          <w:color w:val="000000" w:themeColor="text1"/>
          <w14:textFill>
            <w14:solidFill>
              <w14:schemeClr w14:val="tx1"/>
            </w14:solidFill>
          </w14:textFill>
        </w:rPr>
      </w:pPr>
      <w:r>
        <w:rPr>
          <w:color w:val="000000" w:themeColor="text1"/>
          <w14:textFill>
            <w14:solidFill>
              <w14:schemeClr w14:val="tx1"/>
            </w14:solidFill>
          </w14:textFill>
        </w:rPr>
        <w:t>单位</w:t>
      </w:r>
      <w:r>
        <w:rPr>
          <w:rFonts w:hint="eastAsia"/>
          <w:color w:val="000000" w:themeColor="text1"/>
          <w14:textFill>
            <w14:solidFill>
              <w14:schemeClr w14:val="tx1"/>
            </w14:solidFill>
          </w14:textFill>
        </w:rPr>
        <w:t>：</w:t>
      </w:r>
      <w:sdt>
        <w:sdtPr>
          <w:rPr>
            <w:rFonts w:hint="eastAsia"/>
            <w:color w:val="000000" w:themeColor="text1"/>
            <w14:textFill>
              <w14:solidFill>
                <w14:schemeClr w14:val="tx1"/>
              </w14:solidFill>
            </w14:textFill>
          </w:rPr>
          <w:alias w:val="单位：财务附注：会计报表中的投资收益项目增加"/>
          <w:tag w:val="_GBC_613aeed04bd941b2899e7b84fac67e3a"/>
          <w:id w:val="5892028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财务附注：会计报表中的投资收益项目增加"/>
          <w:tag w:val="_GBC_8976301949824df2a90aa6f83aad84f0"/>
          <w:id w:val="-17063247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61"/>
        <w:gridCol w:w="2626"/>
        <w:gridCol w:w="2636"/>
      </w:tblGrid>
      <w:tr w14:paraId="6300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1263506df19847a5a86c9b873a7b7673"/>
            <w:id w:val="-181290413"/>
          </w:sdtPr>
          <w:sdtContent>
            <w:tc>
              <w:tcPr>
                <w:tcW w:w="2018" w:type="pct"/>
                <w:vAlign w:val="center"/>
              </w:tcPr>
              <w:p w14:paraId="2FD52F43">
                <w:pPr>
                  <w:ind w:left="420" w:hanging="42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sdtContent>
        </w:sdt>
        <w:sdt>
          <w:sdtPr>
            <w:tag w:val="_PLD_6da456fe7d784e789fe8204c2cc499b3"/>
            <w:id w:val="1658105326"/>
          </w:sdtPr>
          <w:sdtContent>
            <w:tc>
              <w:tcPr>
                <w:tcW w:w="1488" w:type="pct"/>
                <w:vAlign w:val="center"/>
              </w:tcPr>
              <w:p w14:paraId="2082DF5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本期发生额</w:t>
                </w:r>
              </w:p>
            </w:tc>
          </w:sdtContent>
        </w:sdt>
        <w:sdt>
          <w:sdtPr>
            <w:tag w:val="_PLD_d81207d79e9643e0a08aec2616f96432"/>
            <w:id w:val="-546988296"/>
          </w:sdtPr>
          <w:sdtContent>
            <w:tc>
              <w:tcPr>
                <w:tcW w:w="1494" w:type="pct"/>
                <w:vAlign w:val="center"/>
              </w:tcPr>
              <w:p w14:paraId="57BF5A8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上期发生额</w:t>
                </w:r>
              </w:p>
            </w:tc>
          </w:sdtContent>
        </w:sdt>
      </w:tr>
      <w:tr w14:paraId="7091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13F65F06">
            <w:pPr>
              <w:rPr>
                <w:color w:val="000000" w:themeColor="text1"/>
                <w14:textFill>
                  <w14:solidFill>
                    <w14:schemeClr w14:val="tx1"/>
                  </w14:solidFill>
                </w14:textFill>
              </w:rPr>
            </w:pPr>
            <w:r>
              <w:rPr>
                <w:color w:val="000000" w:themeColor="text1"/>
                <w14:textFill>
                  <w14:solidFill>
                    <w14:schemeClr w14:val="tx1"/>
                  </w14:solidFill>
                </w14:textFill>
              </w:rPr>
              <w:t>成本法核算的长期股权投资收益</w:t>
            </w:r>
          </w:p>
        </w:tc>
        <w:tc>
          <w:tcPr>
            <w:tcW w:w="1488" w:type="pct"/>
          </w:tcPr>
          <w:p w14:paraId="6DA815E9">
            <w:pPr>
              <w:jc w:val="right"/>
            </w:pPr>
          </w:p>
        </w:tc>
        <w:tc>
          <w:tcPr>
            <w:tcW w:w="1494" w:type="pct"/>
          </w:tcPr>
          <w:p w14:paraId="645D7657">
            <w:pPr>
              <w:jc w:val="right"/>
            </w:pPr>
            <w:r>
              <w:t>49,500,000.00</w:t>
            </w:r>
          </w:p>
        </w:tc>
      </w:tr>
      <w:tr w14:paraId="530F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267CD8A2">
            <w:pPr>
              <w:rPr>
                <w:color w:val="000000" w:themeColor="text1"/>
                <w14:textFill>
                  <w14:solidFill>
                    <w14:schemeClr w14:val="tx1"/>
                  </w14:solidFill>
                </w14:textFill>
              </w:rPr>
            </w:pPr>
            <w:r>
              <w:rPr>
                <w:rFonts w:hint="eastAsia"/>
                <w:color w:val="000000" w:themeColor="text1"/>
                <w14:textFill>
                  <w14:solidFill>
                    <w14:schemeClr w14:val="tx1"/>
                  </w14:solidFill>
                </w14:textFill>
              </w:rPr>
              <w:t>权益法核算的长期股权投资收益</w:t>
            </w:r>
          </w:p>
        </w:tc>
        <w:tc>
          <w:tcPr>
            <w:tcW w:w="1488" w:type="pct"/>
          </w:tcPr>
          <w:p w14:paraId="1E8F94CC">
            <w:pPr>
              <w:jc w:val="right"/>
            </w:pPr>
          </w:p>
        </w:tc>
        <w:tc>
          <w:tcPr>
            <w:tcW w:w="1494" w:type="pct"/>
          </w:tcPr>
          <w:p w14:paraId="054C16B4">
            <w:pPr>
              <w:jc w:val="right"/>
            </w:pPr>
          </w:p>
        </w:tc>
      </w:tr>
      <w:tr w14:paraId="33A6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18A83484">
            <w:pPr>
              <w:rPr>
                <w:color w:val="000000" w:themeColor="text1"/>
                <w14:textFill>
                  <w14:solidFill>
                    <w14:schemeClr w14:val="tx1"/>
                  </w14:solidFill>
                </w14:textFill>
              </w:rPr>
            </w:pPr>
            <w:r>
              <w:rPr>
                <w:rFonts w:hint="eastAsia"/>
                <w:color w:val="000000" w:themeColor="text1"/>
                <w14:textFill>
                  <w14:solidFill>
                    <w14:schemeClr w14:val="tx1"/>
                  </w14:solidFill>
                </w14:textFill>
              </w:rPr>
              <w:t>处置长期股权投资产生的投资收益</w:t>
            </w:r>
          </w:p>
        </w:tc>
        <w:tc>
          <w:tcPr>
            <w:tcW w:w="1488" w:type="pct"/>
          </w:tcPr>
          <w:p w14:paraId="07F36F05">
            <w:pPr>
              <w:jc w:val="right"/>
            </w:pPr>
          </w:p>
        </w:tc>
        <w:tc>
          <w:tcPr>
            <w:tcW w:w="1494" w:type="pct"/>
          </w:tcPr>
          <w:p w14:paraId="20F6B5BC">
            <w:pPr>
              <w:jc w:val="right"/>
            </w:pPr>
          </w:p>
        </w:tc>
      </w:tr>
      <w:tr w14:paraId="6D22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1E2732ED">
            <w:pPr>
              <w:rPr>
                <w:color w:val="000000" w:themeColor="text1"/>
                <w14:textFill>
                  <w14:solidFill>
                    <w14:schemeClr w14:val="tx1"/>
                  </w14:solidFill>
                </w14:textFill>
              </w:rPr>
            </w:pPr>
            <w:r>
              <w:rPr>
                <w:rFonts w:hint="eastAsia"/>
                <w:color w:val="000000" w:themeColor="text1"/>
                <w14:textFill>
                  <w14:solidFill>
                    <w14:schemeClr w14:val="tx1"/>
                  </w14:solidFill>
                </w14:textFill>
              </w:rPr>
              <w:t>交易性金融资产在持有期间的投资收益</w:t>
            </w:r>
          </w:p>
        </w:tc>
        <w:tc>
          <w:tcPr>
            <w:tcW w:w="1488" w:type="pct"/>
          </w:tcPr>
          <w:p w14:paraId="60D97640">
            <w:pPr>
              <w:jc w:val="right"/>
            </w:pPr>
          </w:p>
        </w:tc>
        <w:tc>
          <w:tcPr>
            <w:tcW w:w="1494" w:type="pct"/>
          </w:tcPr>
          <w:p w14:paraId="119A7262">
            <w:pPr>
              <w:jc w:val="right"/>
            </w:pPr>
          </w:p>
        </w:tc>
      </w:tr>
      <w:tr w14:paraId="4816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6D16736F">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其他权益工具投资在持有期间取得的股利收入</w:t>
            </w:r>
          </w:p>
        </w:tc>
        <w:tc>
          <w:tcPr>
            <w:tcW w:w="1488" w:type="pct"/>
          </w:tcPr>
          <w:p w14:paraId="11574E8E">
            <w:pPr>
              <w:jc w:val="right"/>
            </w:pPr>
            <w:r>
              <w:t>7,146,354.60</w:t>
            </w:r>
          </w:p>
        </w:tc>
        <w:tc>
          <w:tcPr>
            <w:tcW w:w="1494" w:type="pct"/>
          </w:tcPr>
          <w:p w14:paraId="5D6D6058">
            <w:pPr>
              <w:jc w:val="right"/>
            </w:pPr>
            <w:r>
              <w:t>9,433,523.76</w:t>
            </w:r>
          </w:p>
        </w:tc>
      </w:tr>
      <w:tr w14:paraId="7D75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108E6423">
            <w:pPr>
              <w:rPr>
                <w:color w:val="000000" w:themeColor="text1"/>
                <w14:textFill>
                  <w14:solidFill>
                    <w14:schemeClr w14:val="tx1"/>
                  </w14:solidFill>
                </w14:textFill>
              </w:rPr>
            </w:pPr>
            <w:r>
              <w:rPr>
                <w:rFonts w:hint="eastAsia"/>
                <w:color w:val="000000" w:themeColor="text1"/>
                <w14:textFill>
                  <w14:solidFill>
                    <w14:schemeClr w14:val="tx1"/>
                  </w14:solidFill>
                </w14:textFill>
              </w:rPr>
              <w:t>债权投资在持有期间取得的利息收入</w:t>
            </w:r>
          </w:p>
        </w:tc>
        <w:tc>
          <w:tcPr>
            <w:tcW w:w="1488" w:type="pct"/>
          </w:tcPr>
          <w:p w14:paraId="41A43A47">
            <w:pPr>
              <w:jc w:val="right"/>
            </w:pPr>
          </w:p>
        </w:tc>
        <w:tc>
          <w:tcPr>
            <w:tcW w:w="1494" w:type="pct"/>
          </w:tcPr>
          <w:p w14:paraId="545C8C09">
            <w:pPr>
              <w:jc w:val="right"/>
            </w:pPr>
          </w:p>
        </w:tc>
      </w:tr>
      <w:tr w14:paraId="0DBD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0F361252">
            <w:pPr>
              <w:rPr>
                <w:color w:val="000000" w:themeColor="text1"/>
                <w14:textFill>
                  <w14:solidFill>
                    <w14:schemeClr w14:val="tx1"/>
                  </w14:solidFill>
                </w14:textFill>
              </w:rPr>
            </w:pPr>
            <w:r>
              <w:rPr>
                <w:rFonts w:hint="eastAsia"/>
                <w:color w:val="000000" w:themeColor="text1"/>
                <w14:textFill>
                  <w14:solidFill>
                    <w14:schemeClr w14:val="tx1"/>
                  </w14:solidFill>
                </w14:textFill>
              </w:rPr>
              <w:t>其他债权投资在持有期间取得的利息收入</w:t>
            </w:r>
          </w:p>
        </w:tc>
        <w:tc>
          <w:tcPr>
            <w:tcW w:w="1488" w:type="pct"/>
          </w:tcPr>
          <w:p w14:paraId="2869901C">
            <w:pPr>
              <w:jc w:val="right"/>
            </w:pPr>
          </w:p>
        </w:tc>
        <w:tc>
          <w:tcPr>
            <w:tcW w:w="1494" w:type="pct"/>
          </w:tcPr>
          <w:p w14:paraId="74CA3E1D">
            <w:pPr>
              <w:jc w:val="right"/>
            </w:pPr>
          </w:p>
        </w:tc>
      </w:tr>
      <w:tr w14:paraId="1139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4422F7EE">
            <w:pPr>
              <w:rPr>
                <w:color w:val="000000" w:themeColor="text1"/>
                <w14:textFill>
                  <w14:solidFill>
                    <w14:schemeClr w14:val="tx1"/>
                  </w14:solidFill>
                </w14:textFill>
              </w:rPr>
            </w:pPr>
            <w:r>
              <w:rPr>
                <w:rFonts w:hint="eastAsia"/>
                <w:color w:val="000000" w:themeColor="text1"/>
                <w14:textFill>
                  <w14:solidFill>
                    <w14:schemeClr w14:val="tx1"/>
                  </w14:solidFill>
                </w14:textFill>
              </w:rPr>
              <w:t>处置交易性金融资产取得的投资收益</w:t>
            </w:r>
          </w:p>
        </w:tc>
        <w:tc>
          <w:tcPr>
            <w:tcW w:w="1488" w:type="pct"/>
          </w:tcPr>
          <w:p w14:paraId="0C8E3EA1">
            <w:pPr>
              <w:jc w:val="right"/>
            </w:pPr>
          </w:p>
        </w:tc>
        <w:tc>
          <w:tcPr>
            <w:tcW w:w="1494" w:type="pct"/>
          </w:tcPr>
          <w:p w14:paraId="48055FCF">
            <w:pPr>
              <w:jc w:val="right"/>
            </w:pPr>
          </w:p>
        </w:tc>
      </w:tr>
      <w:tr w14:paraId="646C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6130CE47">
            <w:pPr>
              <w:rPr>
                <w:color w:val="000000" w:themeColor="text1"/>
                <w14:textFill>
                  <w14:solidFill>
                    <w14:schemeClr w14:val="tx1"/>
                  </w14:solidFill>
                </w14:textFill>
              </w:rPr>
            </w:pPr>
            <w:r>
              <w:rPr>
                <w:rFonts w:hint="eastAsia"/>
                <w:color w:val="000000" w:themeColor="text1"/>
                <w14:textFill>
                  <w14:solidFill>
                    <w14:schemeClr w14:val="tx1"/>
                  </w14:solidFill>
                </w14:textFill>
              </w:rPr>
              <w:t>处置其他权益工具投资取得的投资收益</w:t>
            </w:r>
          </w:p>
        </w:tc>
        <w:tc>
          <w:tcPr>
            <w:tcW w:w="1488" w:type="pct"/>
          </w:tcPr>
          <w:p w14:paraId="2866653E">
            <w:pPr>
              <w:jc w:val="right"/>
            </w:pPr>
          </w:p>
        </w:tc>
        <w:tc>
          <w:tcPr>
            <w:tcW w:w="1494" w:type="pct"/>
          </w:tcPr>
          <w:p w14:paraId="7B46C121">
            <w:pPr>
              <w:jc w:val="right"/>
            </w:pPr>
          </w:p>
        </w:tc>
      </w:tr>
      <w:tr w14:paraId="48FB3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Pr>
          <w:p w14:paraId="1F170D6B">
            <w:pPr>
              <w:rPr>
                <w:color w:val="000000" w:themeColor="text1"/>
                <w14:textFill>
                  <w14:solidFill>
                    <w14:schemeClr w14:val="tx1"/>
                  </w14:solidFill>
                </w14:textFill>
              </w:rPr>
            </w:pPr>
            <w:r>
              <w:rPr>
                <w:rFonts w:hint="eastAsia"/>
                <w:color w:val="000000" w:themeColor="text1"/>
                <w14:textFill>
                  <w14:solidFill>
                    <w14:schemeClr w14:val="tx1"/>
                  </w14:solidFill>
                </w14:textFill>
              </w:rPr>
              <w:t>处置债权投资取得的投资收益</w:t>
            </w:r>
          </w:p>
        </w:tc>
        <w:tc>
          <w:tcPr>
            <w:tcW w:w="1488" w:type="pct"/>
          </w:tcPr>
          <w:p w14:paraId="526A77AB">
            <w:pPr>
              <w:jc w:val="right"/>
            </w:pPr>
          </w:p>
        </w:tc>
        <w:tc>
          <w:tcPr>
            <w:tcW w:w="1494" w:type="pct"/>
          </w:tcPr>
          <w:p w14:paraId="597DC4FE">
            <w:pPr>
              <w:jc w:val="right"/>
            </w:pPr>
          </w:p>
        </w:tc>
      </w:tr>
      <w:tr w14:paraId="0251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Borders>
              <w:bottom w:val="single" w:color="auto" w:sz="4" w:space="0"/>
            </w:tcBorders>
          </w:tcPr>
          <w:p w14:paraId="6887C49F">
            <w:pPr>
              <w:rPr>
                <w:color w:val="000000" w:themeColor="text1"/>
                <w14:textFill>
                  <w14:solidFill>
                    <w14:schemeClr w14:val="tx1"/>
                  </w14:solidFill>
                </w14:textFill>
              </w:rPr>
            </w:pPr>
            <w:r>
              <w:rPr>
                <w:rFonts w:hint="eastAsia"/>
                <w:color w:val="000000" w:themeColor="text1"/>
                <w14:textFill>
                  <w14:solidFill>
                    <w14:schemeClr w14:val="tx1"/>
                  </w14:solidFill>
                </w14:textFill>
              </w:rPr>
              <w:t>处置其他债权投资取得的投资收益</w:t>
            </w:r>
          </w:p>
        </w:tc>
        <w:tc>
          <w:tcPr>
            <w:tcW w:w="1488" w:type="pct"/>
            <w:tcBorders>
              <w:bottom w:val="single" w:color="auto" w:sz="4" w:space="0"/>
            </w:tcBorders>
          </w:tcPr>
          <w:p w14:paraId="3B8EFFCC">
            <w:pPr>
              <w:jc w:val="right"/>
            </w:pPr>
          </w:p>
        </w:tc>
        <w:tc>
          <w:tcPr>
            <w:tcW w:w="1494" w:type="pct"/>
            <w:tcBorders>
              <w:bottom w:val="single" w:color="auto" w:sz="4" w:space="0"/>
            </w:tcBorders>
          </w:tcPr>
          <w:p w14:paraId="77F80E7F">
            <w:pPr>
              <w:jc w:val="right"/>
            </w:pPr>
          </w:p>
        </w:tc>
      </w:tr>
      <w:tr w14:paraId="4636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tcBorders>
              <w:bottom w:val="single" w:color="auto" w:sz="4" w:space="0"/>
            </w:tcBorders>
          </w:tcPr>
          <w:p w14:paraId="7B483552">
            <w:pPr>
              <w:rPr>
                <w:color w:val="000000" w:themeColor="text1"/>
                <w14:textFill>
                  <w14:solidFill>
                    <w14:schemeClr w14:val="tx1"/>
                  </w14:solidFill>
                </w14:textFill>
              </w:rPr>
            </w:pPr>
            <w:r>
              <w:rPr>
                <w:rFonts w:hint="eastAsia"/>
                <w:color w:val="000000" w:themeColor="text1"/>
                <w14:textFill>
                  <w14:solidFill>
                    <w14:schemeClr w14:val="tx1"/>
                  </w14:solidFill>
                </w14:textFill>
              </w:rPr>
              <w:t>债务重组收益</w:t>
            </w:r>
          </w:p>
        </w:tc>
        <w:tc>
          <w:tcPr>
            <w:tcW w:w="1488" w:type="pct"/>
            <w:tcBorders>
              <w:bottom w:val="single" w:color="auto" w:sz="4" w:space="0"/>
            </w:tcBorders>
          </w:tcPr>
          <w:p w14:paraId="1C327D22">
            <w:pPr>
              <w:jc w:val="right"/>
            </w:pPr>
          </w:p>
        </w:tc>
        <w:tc>
          <w:tcPr>
            <w:tcW w:w="1494" w:type="pct"/>
            <w:tcBorders>
              <w:bottom w:val="single" w:color="auto" w:sz="4" w:space="0"/>
            </w:tcBorders>
          </w:tcPr>
          <w:p w14:paraId="57F752F3">
            <w:pPr>
              <w:jc w:val="right"/>
            </w:pPr>
          </w:p>
        </w:tc>
      </w:tr>
      <w:tr w14:paraId="3CB1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pct"/>
            <w:vAlign w:val="center"/>
          </w:tcPr>
          <w:p w14:paraId="10AEF64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488" w:type="pct"/>
          </w:tcPr>
          <w:p w14:paraId="232A2389">
            <w:pPr>
              <w:jc w:val="right"/>
            </w:pPr>
            <w:r>
              <w:t>7,146,354.60</w:t>
            </w:r>
          </w:p>
        </w:tc>
        <w:tc>
          <w:tcPr>
            <w:tcW w:w="1494" w:type="pct"/>
          </w:tcPr>
          <w:p w14:paraId="22A20547">
            <w:pPr>
              <w:jc w:val="right"/>
            </w:pPr>
            <w:r>
              <w:t>58,933,523.76</w:t>
            </w:r>
          </w:p>
        </w:tc>
      </w:tr>
      <w:bookmarkEnd w:id="507"/>
    </w:tbl>
    <w:p w14:paraId="78B25390">
      <w:pPr>
        <w:spacing w:line="360" w:lineRule="exact"/>
        <w:rPr>
          <w:color w:val="000000" w:themeColor="text1"/>
          <w14:textFill>
            <w14:solidFill>
              <w14:schemeClr w14:val="tx1"/>
            </w14:solidFill>
          </w14:textFill>
        </w:rPr>
      </w:pPr>
      <w:bookmarkStart w:id="508" w:name="_Hlk10720480"/>
      <w:r>
        <w:rPr>
          <w:rFonts w:hint="eastAsia"/>
          <w:color w:val="000000" w:themeColor="text1"/>
          <w14:textFill>
            <w14:solidFill>
              <w14:schemeClr w14:val="tx1"/>
            </w14:solidFill>
          </w14:textFill>
        </w:rPr>
        <w:t>其他说明：</w:t>
      </w:r>
      <w:bookmarkEnd w:id="508"/>
    </w:p>
    <w:sdt>
      <w:sdtPr>
        <w:rPr>
          <w:color w:val="000000" w:themeColor="text1"/>
          <w14:textFill>
            <w14:solidFill>
              <w14:schemeClr w14:val="tx1"/>
            </w14:solidFill>
          </w14:textFill>
        </w:rPr>
        <w:alias w:val="投资收益说明"/>
        <w:tag w:val="_GBC_e91b47a8afc84e119383bf071cb9a50d"/>
        <w:id w:val="-365681125"/>
        <w:placeholder>
          <w:docPart w:val="GBC22222222222222222222222222222"/>
        </w:placeholder>
      </w:sdtPr>
      <w:sdtEndPr>
        <w:rPr>
          <w:color w:val="000000" w:themeColor="text1"/>
          <w14:textFill>
            <w14:solidFill>
              <w14:schemeClr w14:val="tx1"/>
            </w14:solidFill>
          </w14:textFill>
        </w:rPr>
      </w:sdtEndPr>
      <w:sdtContent>
        <w:p w14:paraId="6C3CC255">
          <w:pP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sdtContent>
    </w:sdt>
    <w:p w14:paraId="71F81D01">
      <w:pPr>
        <w:rPr>
          <w:color w:val="000000" w:themeColor="text1"/>
          <w14:textFill>
            <w14:solidFill>
              <w14:schemeClr w14:val="tx1"/>
            </w14:solidFill>
          </w14:textFill>
        </w:rPr>
      </w:pPr>
    </w:p>
    <w:p w14:paraId="567D9F61">
      <w:pPr>
        <w:pStyle w:val="4"/>
        <w:numPr>
          <w:ilvl w:val="0"/>
          <w:numId w:val="114"/>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w:t>
      </w:r>
    </w:p>
    <w:sdt>
      <w:sdtPr>
        <w:rPr>
          <w:color w:val="000000" w:themeColor="text1"/>
          <w14:textFill>
            <w14:solidFill>
              <w14:schemeClr w14:val="tx1"/>
            </w14:solidFill>
          </w14:textFill>
        </w:rPr>
        <w:alias w:val="是否适用：母公司会计报表附注的其他说明事项[双击切换]"/>
        <w:tag w:val="_GBC_198503cdf8c8448ea7bb4de3243a4de8"/>
        <w:id w:val="537942468"/>
        <w:placeholder>
          <w:docPart w:val="GBC22222222222222222222222222222"/>
        </w:placeholder>
      </w:sdtPr>
      <w:sdtEndPr>
        <w:rPr>
          <w:color w:val="000000" w:themeColor="text1"/>
          <w14:textFill>
            <w14:solidFill>
              <w14:schemeClr w14:val="tx1"/>
            </w14:solidFill>
          </w14:textFill>
        </w:rPr>
      </w:sdtEndPr>
      <w:sdtContent>
        <w:p w14:paraId="4FE9FA3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E30AF86">
      <w:pPr>
        <w:rPr>
          <w:color w:val="000000" w:themeColor="text1"/>
          <w14:textFill>
            <w14:solidFill>
              <w14:schemeClr w14:val="tx1"/>
            </w14:solidFill>
          </w14:textFill>
        </w:rPr>
      </w:pPr>
    </w:p>
    <w:p w14:paraId="0CCA9394">
      <w:pPr>
        <w:pStyle w:val="3"/>
        <w:numPr>
          <w:ilvl w:val="0"/>
          <w:numId w:val="30"/>
        </w:numPr>
        <w:ind w:left="422" w:hanging="422"/>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补充资料</w:t>
      </w:r>
    </w:p>
    <w:p w14:paraId="528C5DD2">
      <w:pPr>
        <w:pStyle w:val="4"/>
        <w:numPr>
          <w:ilvl w:val="0"/>
          <w:numId w:val="121"/>
        </w:numPr>
        <w:rPr>
          <w:rFonts w:hint="eastAsia" w:ascii="宋体" w:hAnsi="宋体"/>
          <w:color w:val="000000" w:themeColor="text1"/>
          <w:szCs w:val="21"/>
          <w14:textFill>
            <w14:solidFill>
              <w14:schemeClr w14:val="tx1"/>
            </w14:solidFill>
          </w14:textFill>
        </w:rPr>
      </w:pPr>
      <w:bookmarkStart w:id="509" w:name="_Hlk535584690"/>
      <w:bookmarkStart w:id="510" w:name="_Hlk152579827"/>
      <w:bookmarkStart w:id="511" w:name="_Hlk168057952"/>
      <w:r>
        <w:rPr>
          <w:rFonts w:hint="eastAsia" w:ascii="宋体" w:hAnsi="宋体"/>
          <w:color w:val="000000" w:themeColor="text1"/>
          <w:szCs w:val="21"/>
          <w14:textFill>
            <w14:solidFill>
              <w14:schemeClr w14:val="tx1"/>
            </w14:solidFill>
          </w14:textFill>
        </w:rPr>
        <w:t>当期非经常性损益明细表</w:t>
      </w:r>
    </w:p>
    <w:sdt>
      <w:sdtPr>
        <w:rPr>
          <w:color w:val="000000" w:themeColor="text1"/>
          <w14:textFill>
            <w14:solidFill>
              <w14:schemeClr w14:val="tx1"/>
            </w14:solidFill>
          </w14:textFill>
        </w:rPr>
        <w:alias w:val="是否适用：当期非经常性损益明细表[双击切换]"/>
        <w:tag w:val="_GBC_28c90d0fec4248b7be00ea74910120f8"/>
        <w:id w:val="-50155008"/>
        <w:placeholder>
          <w:docPart w:val="GBC22222222222222222222222222222"/>
        </w:placeholder>
      </w:sdtPr>
      <w:sdtEndPr>
        <w:rPr>
          <w:color w:val="000000" w:themeColor="text1"/>
          <w14:textFill>
            <w14:solidFill>
              <w14:schemeClr w14:val="tx1"/>
            </w14:solidFill>
          </w14:textFill>
        </w:rPr>
      </w:sdtEndPr>
      <w:sdtContent>
        <w:p w14:paraId="6DF81EF2">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62C82C10">
      <w:pPr>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sdt>
        <w:sdtPr>
          <w:rPr>
            <w:rFonts w:hint="eastAsia"/>
            <w:color w:val="000000" w:themeColor="text1"/>
            <w14:textFill>
              <w14:solidFill>
                <w14:schemeClr w14:val="tx1"/>
              </w14:solidFill>
            </w14:textFill>
          </w:rPr>
          <w:alias w:val="单位：扣除非经常性损益项目和金额"/>
          <w:tag w:val="_GBC_acdddcaac70249d2a73e5ac878d6874b"/>
          <w:id w:val="63683672"/>
          <w:placeholder>
            <w:docPart w:val="GBC22222222222222222222222222222"/>
          </w:placeholder>
          <w:dataBinding w:prefixMappings="xmlns:clcid-ci-ar='clcid-ci-ar'" w:xpath="/*/clcid-ci-ar:DanWeiKouChuFeiJingChangXingSunYiXiangMuHeJinE[not(@periodRef)]" w:storeItemID="{89EBAB94-44A0-46A2-B712-30D997D04A6D}"/>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元</w:t>
          </w:r>
        </w:sdtContent>
      </w:sdt>
      <w:r>
        <w:rPr>
          <w:rFonts w:hint="eastAsia"/>
          <w:color w:val="000000" w:themeColor="text1"/>
          <w14:textFill>
            <w14:solidFill>
              <w14:schemeClr w14:val="tx1"/>
            </w14:solidFill>
          </w14:textFill>
        </w:rPr>
        <w:t xml:space="preserve"> 币种：</w:t>
      </w:r>
      <w:sdt>
        <w:sdtPr>
          <w:rPr>
            <w:rFonts w:hint="eastAsia"/>
            <w:color w:val="000000" w:themeColor="text1"/>
            <w14:textFill>
              <w14:solidFill>
                <w14:schemeClr w14:val="tx1"/>
              </w14:solidFill>
            </w14:textFill>
          </w:rPr>
          <w:alias w:val="币种：扣除非经常性损益项目和金额"/>
          <w:tag w:val="_GBC_84f107bd64a74a689cd74b834aaa0b17"/>
          <w:id w:val="-246187327"/>
          <w:placeholder>
            <w:docPart w:val="GBC22222222222222222222222222222"/>
          </w:placeholder>
          <w:dataBinding w:prefixMappings="xmlns:clcid-ci-ar='clcid-ci-ar'" w:xpath="/*/clcid-ci-ar:BiZhongKouChuFeiJingChangXingSunYiXiangMuHeJinE[not(@periodRef)]" w:storeItemID="{89EBAB94-44A0-46A2-B712-30D997D04A6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人民币</w:t>
          </w:r>
        </w:sdtContent>
      </w:sdt>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9"/>
        <w:gridCol w:w="2135"/>
        <w:gridCol w:w="2319"/>
      </w:tblGrid>
      <w:tr w14:paraId="2112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sdt>
          <w:sdtPr>
            <w:tag w:val="_PLD_eb975916b80e49408e340b80d53082be"/>
            <w:id w:val="-1929186029"/>
          </w:sdtPr>
          <w:sdtContent>
            <w:tc>
              <w:tcPr>
                <w:tcW w:w="2474" w:type="pct"/>
                <w:vAlign w:val="center"/>
              </w:tcPr>
              <w:p w14:paraId="344F4F49">
                <w:pPr>
                  <w:pStyle w:val="55"/>
                  <w:ind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w:t>
                </w:r>
              </w:p>
            </w:tc>
          </w:sdtContent>
        </w:sdt>
        <w:sdt>
          <w:sdtPr>
            <w:tag w:val="_PLD_871069ab0242459987d2cd8153c439e3"/>
            <w:id w:val="1399783086"/>
          </w:sdtPr>
          <w:sdtContent>
            <w:tc>
              <w:tcPr>
                <w:tcW w:w="1209" w:type="pct"/>
                <w:vAlign w:val="center"/>
              </w:tcPr>
              <w:p w14:paraId="61A16574">
                <w:pPr>
                  <w:pStyle w:val="55"/>
                  <w:ind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金额</w:t>
                </w:r>
              </w:p>
            </w:tc>
          </w:sdtContent>
        </w:sdt>
        <w:sdt>
          <w:sdtPr>
            <w:tag w:val="_PLD_2b6844f78d7043ca94a5b478c9729ca8"/>
            <w:id w:val="-842472353"/>
          </w:sdtPr>
          <w:sdtContent>
            <w:tc>
              <w:tcPr>
                <w:tcW w:w="1313" w:type="pct"/>
                <w:vAlign w:val="center"/>
              </w:tcPr>
              <w:p w14:paraId="07BE0D5A">
                <w:pPr>
                  <w:pStyle w:val="55"/>
                  <w:ind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说明</w:t>
                </w:r>
              </w:p>
            </w:tc>
          </w:sdtContent>
        </w:sdt>
      </w:tr>
      <w:tr w14:paraId="7C63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6F009DB6">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非流动</w:t>
            </w:r>
            <w:r>
              <w:rPr>
                <w:rFonts w:hint="eastAsia"/>
                <w:color w:val="000000" w:themeColor="text1"/>
                <w:szCs w:val="21"/>
                <w14:textFill>
                  <w14:solidFill>
                    <w14:schemeClr w14:val="tx1"/>
                  </w14:solidFill>
                </w14:textFill>
              </w:rPr>
              <w:t>性</w:t>
            </w:r>
            <w:r>
              <w:rPr>
                <w:color w:val="000000" w:themeColor="text1"/>
                <w:szCs w:val="21"/>
                <w14:textFill>
                  <w14:solidFill>
                    <w14:schemeClr w14:val="tx1"/>
                  </w14:solidFill>
                </w14:textFill>
              </w:rPr>
              <w:t>资产处置损益</w:t>
            </w:r>
            <w:r>
              <w:rPr>
                <w:rFonts w:hint="eastAsia"/>
                <w:color w:val="000000" w:themeColor="text1"/>
                <w:szCs w:val="21"/>
                <w14:textFill>
                  <w14:solidFill>
                    <w14:schemeClr w14:val="tx1"/>
                  </w14:solidFill>
                </w14:textFill>
              </w:rPr>
              <w:t>，包括已计提资产减值准备的冲销部分</w:t>
            </w:r>
          </w:p>
        </w:tc>
        <w:tc>
          <w:tcPr>
            <w:tcW w:w="1209" w:type="pct"/>
            <w:vAlign w:val="center"/>
          </w:tcPr>
          <w:p w14:paraId="05AF4C1A">
            <w:pPr>
              <w:widowControl w:val="0"/>
              <w:jc w:val="right"/>
              <w:rPr>
                <w:color w:val="000000" w:themeColor="text1"/>
                <w14:textFill>
                  <w14:solidFill>
                    <w14:schemeClr w14:val="tx1"/>
                  </w14:solidFill>
                </w14:textFill>
              </w:rPr>
            </w:pPr>
          </w:p>
        </w:tc>
        <w:tc>
          <w:tcPr>
            <w:tcW w:w="1313" w:type="pct"/>
            <w:vAlign w:val="center"/>
          </w:tcPr>
          <w:p w14:paraId="31073406">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79C8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13565F7C">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计入当期损益的政府补助</w:t>
            </w:r>
            <w:r>
              <w:rPr>
                <w:rFonts w:hint="eastAsia"/>
                <w:color w:val="000000" w:themeColor="text1"/>
                <w:szCs w:val="21"/>
                <w14:textFill>
                  <w14:solidFill>
                    <w14:schemeClr w14:val="tx1"/>
                  </w14:solidFill>
                </w14:textFill>
              </w:rPr>
              <w:t>，但与公司正常经营业务密切相关、符合国家政策规定、按照确定的标准享有、对公司损益产生持续影响的政府补助除外</w:t>
            </w:r>
          </w:p>
        </w:tc>
        <w:tc>
          <w:tcPr>
            <w:tcW w:w="1209" w:type="pct"/>
            <w:vAlign w:val="center"/>
          </w:tcPr>
          <w:p w14:paraId="7399E1D9">
            <w:pPr>
              <w:widowControl w:val="0"/>
              <w:jc w:val="right"/>
              <w:rPr>
                <w:color w:val="000000" w:themeColor="text1"/>
                <w14:textFill>
                  <w14:solidFill>
                    <w14:schemeClr w14:val="tx1"/>
                  </w14:solidFill>
                </w14:textFill>
              </w:rPr>
            </w:pPr>
            <w:r>
              <w:rPr>
                <w:color w:val="000000" w:themeColor="text1"/>
                <w14:textFill>
                  <w14:solidFill>
                    <w14:schemeClr w14:val="tx1"/>
                  </w14:solidFill>
                </w14:textFill>
              </w:rPr>
              <w:t>21,121,233.18</w:t>
            </w:r>
          </w:p>
        </w:tc>
        <w:tc>
          <w:tcPr>
            <w:tcW w:w="1313" w:type="pct"/>
            <w:vAlign w:val="center"/>
          </w:tcPr>
          <w:p w14:paraId="717A3ECF">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278D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1D7641B8">
            <w:pPr>
              <w:pStyle w:val="55"/>
              <w:ind w:firstLine="0"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除同公司正常经营业务相关的有效套期保值业务外，</w:t>
            </w:r>
            <w:r>
              <w:rPr>
                <w:color w:val="000000" w:themeColor="text1"/>
                <w14:textFill>
                  <w14:solidFill>
                    <w14:schemeClr w14:val="tx1"/>
                  </w14:solidFill>
                </w14:textFill>
              </w:rPr>
              <w:t>非金融企业持有金融资产和金融负债产生的公允价值变动损益以及处置金融资产和金融负债产生的损益</w:t>
            </w:r>
          </w:p>
        </w:tc>
        <w:tc>
          <w:tcPr>
            <w:tcW w:w="1209" w:type="pct"/>
            <w:vAlign w:val="center"/>
          </w:tcPr>
          <w:p w14:paraId="5CC3F500">
            <w:pPr>
              <w:widowControl w:val="0"/>
              <w:jc w:val="right"/>
              <w:rPr>
                <w:color w:val="000000" w:themeColor="text1"/>
                <w14:textFill>
                  <w14:solidFill>
                    <w14:schemeClr w14:val="tx1"/>
                  </w14:solidFill>
                </w14:textFill>
              </w:rPr>
            </w:pPr>
          </w:p>
        </w:tc>
        <w:tc>
          <w:tcPr>
            <w:tcW w:w="1313" w:type="pct"/>
            <w:vAlign w:val="center"/>
          </w:tcPr>
          <w:p w14:paraId="649AF3F0">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4C64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6E88AC0D">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计入当期损益的对非金融企业收取的资金占用费</w:t>
            </w:r>
          </w:p>
        </w:tc>
        <w:tc>
          <w:tcPr>
            <w:tcW w:w="1209" w:type="pct"/>
            <w:vAlign w:val="center"/>
          </w:tcPr>
          <w:p w14:paraId="0C3D6DBB">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2BA74DEA">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5C2E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54E1F4E0">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委托他人投资或管理资产的损益</w:t>
            </w:r>
          </w:p>
        </w:tc>
        <w:tc>
          <w:tcPr>
            <w:tcW w:w="1209" w:type="pct"/>
            <w:vAlign w:val="center"/>
          </w:tcPr>
          <w:p w14:paraId="7B7C137B">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62045B47">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311F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05D23B1B">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对外委托贷款取得的损益</w:t>
            </w:r>
          </w:p>
        </w:tc>
        <w:tc>
          <w:tcPr>
            <w:tcW w:w="1209" w:type="pct"/>
            <w:vAlign w:val="center"/>
          </w:tcPr>
          <w:p w14:paraId="6D323985">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3AD5A4CB">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716A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2D332971">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因不可抗力因</w:t>
            </w:r>
            <w:r>
              <w:rPr>
                <w:rFonts w:hint="eastAsia"/>
                <w:color w:val="000000" w:themeColor="text1"/>
                <w:szCs w:val="21"/>
                <w14:textFill>
                  <w14:solidFill>
                    <w14:schemeClr w14:val="tx1"/>
                  </w14:solidFill>
                </w14:textFill>
              </w:rPr>
              <w:t>素，如遭受自然灾害而产生的各项资产损失</w:t>
            </w:r>
          </w:p>
        </w:tc>
        <w:tc>
          <w:tcPr>
            <w:tcW w:w="1209" w:type="pct"/>
            <w:vAlign w:val="center"/>
          </w:tcPr>
          <w:p w14:paraId="1EC9A8A6">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39579E8E">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4722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1C05D2DD">
            <w:pPr>
              <w:pStyle w:val="55"/>
              <w:ind w:firstLine="0"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单独进行减值测试的应收款项减值准备转回</w:t>
            </w:r>
          </w:p>
        </w:tc>
        <w:tc>
          <w:tcPr>
            <w:tcW w:w="1209" w:type="pct"/>
            <w:vAlign w:val="center"/>
          </w:tcPr>
          <w:p w14:paraId="26771E29">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42CCD560">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66EA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137424E6">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企业取得子公司、联营企业及合营企业的投资成本小于取得投资时应享有被投资单位可辨认净资产公允价值产生的收益</w:t>
            </w:r>
          </w:p>
        </w:tc>
        <w:tc>
          <w:tcPr>
            <w:tcW w:w="1209" w:type="pct"/>
            <w:vAlign w:val="center"/>
          </w:tcPr>
          <w:p w14:paraId="69B859B4">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60563989">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7A0A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41BC3EF1">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同一控制下企业合并产生的子公司期初至合并日的当期净损益</w:t>
            </w:r>
          </w:p>
        </w:tc>
        <w:tc>
          <w:tcPr>
            <w:tcW w:w="1209" w:type="pct"/>
            <w:vAlign w:val="center"/>
          </w:tcPr>
          <w:p w14:paraId="6DC77B97">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18DD3A1B">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2F00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0F53096E">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非货币性资产交换损益</w:t>
            </w:r>
          </w:p>
        </w:tc>
        <w:tc>
          <w:tcPr>
            <w:tcW w:w="1209" w:type="pct"/>
            <w:vAlign w:val="center"/>
          </w:tcPr>
          <w:p w14:paraId="7F9D8C69">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5A2094F9">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3630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2EF2026A">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债务重组损益</w:t>
            </w:r>
          </w:p>
        </w:tc>
        <w:tc>
          <w:tcPr>
            <w:tcW w:w="1209" w:type="pct"/>
            <w:vAlign w:val="center"/>
          </w:tcPr>
          <w:p w14:paraId="15537800">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3E2F4329">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0D2A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752DF7CC">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企业</w:t>
            </w:r>
            <w:r>
              <w:rPr>
                <w:rFonts w:hint="eastAsia"/>
                <w:color w:val="000000" w:themeColor="text1"/>
                <w:szCs w:val="21"/>
                <w14:textFill>
                  <w14:solidFill>
                    <w14:schemeClr w14:val="tx1"/>
                  </w14:solidFill>
                </w14:textFill>
              </w:rPr>
              <w:t>因相关经营活动不再持续而发生的一次性费用，如安置职工的支出等</w:t>
            </w:r>
          </w:p>
        </w:tc>
        <w:tc>
          <w:tcPr>
            <w:tcW w:w="1209" w:type="pct"/>
            <w:vAlign w:val="center"/>
          </w:tcPr>
          <w:p w14:paraId="7F883E79">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28D1A16B">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667E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2A707FC7">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因税收、会计等法律、法规</w:t>
            </w:r>
            <w:r>
              <w:rPr>
                <w:rFonts w:hint="eastAsia"/>
                <w:color w:val="000000" w:themeColor="text1"/>
                <w:szCs w:val="21"/>
                <w14:textFill>
                  <w14:solidFill>
                    <w14:schemeClr w14:val="tx1"/>
                  </w14:solidFill>
                </w14:textFill>
              </w:rPr>
              <w:t>的调整对当期损益产生的一次性影响</w:t>
            </w:r>
          </w:p>
        </w:tc>
        <w:tc>
          <w:tcPr>
            <w:tcW w:w="1209" w:type="pct"/>
            <w:vAlign w:val="center"/>
          </w:tcPr>
          <w:p w14:paraId="38E2C40B">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6E87B029">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123C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0D557955">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因取消、修改股权激励计划一次性确认的股份支付费用</w:t>
            </w:r>
          </w:p>
        </w:tc>
        <w:tc>
          <w:tcPr>
            <w:tcW w:w="1209" w:type="pct"/>
            <w:vAlign w:val="center"/>
          </w:tcPr>
          <w:p w14:paraId="231C74B8">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15B66B39">
            <w:pPr>
              <w:widowControl w:val="0"/>
              <w:jc w:val="both"/>
            </w:pPr>
          </w:p>
        </w:tc>
      </w:tr>
      <w:tr w14:paraId="67D7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270787F2">
            <w:pPr>
              <w:pStyle w:val="55"/>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对于现金结算的股份支付，在可行权日之后，应付职工薪酬的公允价值变动产生的损益</w:t>
            </w:r>
          </w:p>
        </w:tc>
        <w:tc>
          <w:tcPr>
            <w:tcW w:w="1209" w:type="pct"/>
            <w:vAlign w:val="center"/>
          </w:tcPr>
          <w:p w14:paraId="66F721A2">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31D23213">
            <w:pPr>
              <w:widowControl w:val="0"/>
              <w:jc w:val="both"/>
            </w:pPr>
          </w:p>
        </w:tc>
      </w:tr>
      <w:tr w14:paraId="56A4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5A990C1B">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采用公允价值模式进行后续计量的投资性房地产公允价值变动产生的损益</w:t>
            </w:r>
          </w:p>
        </w:tc>
        <w:tc>
          <w:tcPr>
            <w:tcW w:w="1209" w:type="pct"/>
            <w:vAlign w:val="center"/>
          </w:tcPr>
          <w:p w14:paraId="3C724F36">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08559793">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513C3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0078E88C">
            <w:pPr>
              <w:pStyle w:val="55"/>
              <w:ind w:firstLine="0"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交易价格显失公允的交易产生的收益</w:t>
            </w:r>
          </w:p>
        </w:tc>
        <w:tc>
          <w:tcPr>
            <w:tcW w:w="1209" w:type="pct"/>
            <w:vAlign w:val="center"/>
          </w:tcPr>
          <w:p w14:paraId="397DF703">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3079F1C1">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6DCF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0E5ED952">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与公司正常经营业务无关的或有事项产生的损益</w:t>
            </w:r>
          </w:p>
        </w:tc>
        <w:tc>
          <w:tcPr>
            <w:tcW w:w="1209" w:type="pct"/>
            <w:vAlign w:val="center"/>
          </w:tcPr>
          <w:p w14:paraId="67C3E080">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608873CD">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0C11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49F4FD74">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受托经营取得的托管费收入</w:t>
            </w:r>
          </w:p>
        </w:tc>
        <w:tc>
          <w:tcPr>
            <w:tcW w:w="1209" w:type="pct"/>
            <w:vAlign w:val="center"/>
          </w:tcPr>
          <w:p w14:paraId="56AC2C79">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2632F5ED">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4F30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0D1E60C8">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除上述各项之外的其他营业外收入和支出</w:t>
            </w:r>
          </w:p>
        </w:tc>
        <w:tc>
          <w:tcPr>
            <w:tcW w:w="1209" w:type="pct"/>
            <w:vAlign w:val="center"/>
          </w:tcPr>
          <w:p w14:paraId="61739D83">
            <w:pPr>
              <w:widowControl w:val="0"/>
              <w:jc w:val="right"/>
              <w:rPr>
                <w:color w:val="000000" w:themeColor="text1"/>
                <w14:textFill>
                  <w14:solidFill>
                    <w14:schemeClr w14:val="tx1"/>
                  </w14:solidFill>
                </w14:textFill>
              </w:rPr>
            </w:pPr>
            <w:r>
              <w:rPr>
                <w:color w:val="000000" w:themeColor="text1"/>
                <w14:textFill>
                  <w14:solidFill>
                    <w14:schemeClr w14:val="tx1"/>
                  </w14:solidFill>
                </w14:textFill>
              </w:rPr>
              <w:t>-4,064,025.81</w:t>
            </w:r>
          </w:p>
        </w:tc>
        <w:tc>
          <w:tcPr>
            <w:tcW w:w="1313" w:type="pct"/>
            <w:vAlign w:val="center"/>
          </w:tcPr>
          <w:p w14:paraId="2B6EA805">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026F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1818374F">
            <w:pPr>
              <w:pStyle w:val="55"/>
              <w:ind w:firstLine="0"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其他符合非经常性损益定义的损益项目</w:t>
            </w:r>
          </w:p>
        </w:tc>
        <w:tc>
          <w:tcPr>
            <w:tcW w:w="1209" w:type="pct"/>
            <w:vAlign w:val="center"/>
          </w:tcPr>
          <w:p w14:paraId="740E920F">
            <w:pPr>
              <w:widowControl w:val="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c>
          <w:tcPr>
            <w:tcW w:w="1313" w:type="pct"/>
            <w:vAlign w:val="center"/>
          </w:tcPr>
          <w:p w14:paraId="6E064AC6">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1FC4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09E3A02D">
            <w:pPr>
              <w:pStyle w:val="55"/>
              <w:ind w:firstLine="0" w:firstLineChars="0"/>
              <w:jc w:val="left"/>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减：</w:t>
            </w:r>
            <w:r>
              <w:rPr>
                <w:color w:val="000000" w:themeColor="text1"/>
                <w:szCs w:val="21"/>
                <w14:textFill>
                  <w14:solidFill>
                    <w14:schemeClr w14:val="tx1"/>
                  </w14:solidFill>
                </w14:textFill>
              </w:rPr>
              <w:t>所得税影响额</w:t>
            </w:r>
          </w:p>
        </w:tc>
        <w:tc>
          <w:tcPr>
            <w:tcW w:w="1209" w:type="pct"/>
            <w:vAlign w:val="center"/>
          </w:tcPr>
          <w:p w14:paraId="7C848A8E">
            <w:pPr>
              <w:widowControl w:val="0"/>
              <w:jc w:val="right"/>
              <w:rPr>
                <w:color w:val="000000" w:themeColor="text1"/>
                <w14:textFill>
                  <w14:solidFill>
                    <w14:schemeClr w14:val="tx1"/>
                  </w14:solidFill>
                </w14:textFill>
              </w:rPr>
            </w:pPr>
            <w:r>
              <w:rPr>
                <w:color w:val="000000" w:themeColor="text1"/>
                <w14:textFill>
                  <w14:solidFill>
                    <w14:schemeClr w14:val="tx1"/>
                  </w14:solidFill>
                </w14:textFill>
              </w:rPr>
              <w:t>4,264,301.84</w:t>
            </w:r>
          </w:p>
        </w:tc>
        <w:tc>
          <w:tcPr>
            <w:tcW w:w="1313" w:type="pct"/>
            <w:vAlign w:val="center"/>
          </w:tcPr>
          <w:p w14:paraId="03C460DE">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635DB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tcPr>
          <w:p w14:paraId="5C5C640A">
            <w:pPr>
              <w:pStyle w:val="55"/>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少数股东权益影响额</w:t>
            </w:r>
            <w:r>
              <w:rPr>
                <w:rFonts w:hint="eastAsia"/>
                <w:color w:val="000000" w:themeColor="text1"/>
                <w:szCs w:val="21"/>
                <w14:textFill>
                  <w14:solidFill>
                    <w14:schemeClr w14:val="tx1"/>
                  </w14:solidFill>
                </w14:textFill>
              </w:rPr>
              <w:t>（税后）</w:t>
            </w:r>
          </w:p>
        </w:tc>
        <w:tc>
          <w:tcPr>
            <w:tcW w:w="1209" w:type="pct"/>
            <w:vAlign w:val="center"/>
          </w:tcPr>
          <w:p w14:paraId="5F76B676">
            <w:pPr>
              <w:widowControl w:val="0"/>
              <w:jc w:val="right"/>
              <w:rPr>
                <w:color w:val="000000" w:themeColor="text1"/>
                <w14:textFill>
                  <w14:solidFill>
                    <w14:schemeClr w14:val="tx1"/>
                  </w14:solidFill>
                </w14:textFill>
              </w:rPr>
            </w:pPr>
          </w:p>
        </w:tc>
        <w:tc>
          <w:tcPr>
            <w:tcW w:w="1313" w:type="pct"/>
            <w:vAlign w:val="center"/>
          </w:tcPr>
          <w:p w14:paraId="6842BD1C">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r w14:paraId="28F3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pct"/>
            <w:vAlign w:val="center"/>
          </w:tcPr>
          <w:p w14:paraId="1D85BF4C">
            <w:pPr>
              <w:pStyle w:val="55"/>
              <w:ind w:firstLine="0" w:firstLineChars="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合计</w:t>
            </w:r>
          </w:p>
        </w:tc>
        <w:tc>
          <w:tcPr>
            <w:tcW w:w="1209" w:type="pct"/>
            <w:vAlign w:val="center"/>
          </w:tcPr>
          <w:p w14:paraId="2F0891C4">
            <w:pPr>
              <w:widowControl w:val="0"/>
              <w:jc w:val="right"/>
              <w:rPr>
                <w:color w:val="000000" w:themeColor="text1"/>
                <w14:textFill>
                  <w14:solidFill>
                    <w14:schemeClr w14:val="tx1"/>
                  </w14:solidFill>
                </w14:textFill>
              </w:rPr>
            </w:pPr>
            <w:r>
              <w:rPr>
                <w:color w:val="000000" w:themeColor="text1"/>
                <w14:textFill>
                  <w14:solidFill>
                    <w14:schemeClr w14:val="tx1"/>
                  </w14:solidFill>
                </w14:textFill>
              </w:rPr>
              <w:t>12,792,905.53</w:t>
            </w:r>
          </w:p>
        </w:tc>
        <w:tc>
          <w:tcPr>
            <w:tcW w:w="1313" w:type="pct"/>
            <w:vAlign w:val="center"/>
          </w:tcPr>
          <w:p w14:paraId="76CCC6CB">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tc>
      </w:tr>
    </w:tbl>
    <w:p w14:paraId="1B0DCE2E">
      <w:pPr>
        <w:rPr>
          <w:color w:val="000000" w:themeColor="text1"/>
          <w14:textFill>
            <w14:solidFill>
              <w14:schemeClr w14:val="tx1"/>
            </w14:solidFill>
          </w14:textFill>
        </w:rPr>
      </w:pPr>
    </w:p>
    <w:bookmarkEnd w:id="509"/>
    <w:bookmarkEnd w:id="510"/>
    <w:bookmarkEnd w:id="511"/>
    <w:p w14:paraId="7BAB8D21">
      <w:pPr>
        <w:rPr>
          <w:color w:val="000000" w:themeColor="text1"/>
          <w14:textFill>
            <w14:solidFill>
              <w14:schemeClr w14:val="tx1"/>
            </w14:solidFill>
          </w14:textFill>
        </w:rPr>
      </w:pPr>
      <w:r>
        <w:rPr>
          <w:rFonts w:hint="eastAsia"/>
          <w:color w:val="000000" w:themeColor="text1"/>
          <w14:textFill>
            <w14:solidFill>
              <w14:schemeClr w14:val="tx1"/>
            </w14:solidFill>
          </w14:textFill>
        </w:rPr>
        <w:t>对公司</w:t>
      </w:r>
      <w:bookmarkStart w:id="512" w:name="_Hlk169079435"/>
      <w:r>
        <w:rPr>
          <w:rFonts w:hint="eastAsia"/>
          <w:color w:val="000000" w:themeColor="text1"/>
          <w14:textFill>
            <w14:solidFill>
              <w14:schemeClr w14:val="tx1"/>
            </w14:solidFill>
          </w14:textFill>
        </w:rPr>
        <w:t>将《公开发行证券的公司信息披露解释性公告第</w:t>
      </w:r>
      <w:r>
        <w:rPr>
          <w:color w:val="000000" w:themeColor="text1"/>
          <w14:textFill>
            <w14:solidFill>
              <w14:schemeClr w14:val="tx1"/>
            </w14:solidFill>
          </w14:textFill>
        </w:rPr>
        <w:t>1号——非经常性损益》未列举的项目认定为非经常性损益项目且金额重大的，以及将《公开发行证券的公司信息披露解释性公告第1号——非经常性损益》中列举的非经常性损益项目界定为经常性损益的项目，应说明原因。</w:t>
      </w:r>
      <w:bookmarkEnd w:id="512"/>
    </w:p>
    <w:sdt>
      <w:sdtPr>
        <w:rPr>
          <w:color w:val="000000" w:themeColor="text1"/>
          <w14:textFill>
            <w14:solidFill>
              <w14:schemeClr w14:val="tx1"/>
            </w14:solidFill>
          </w14:textFill>
        </w:rPr>
        <w:alias w:val="是否适用：将非经常性损益项目界定为经常性损益项目[双击切换]"/>
        <w:tag w:val="_GBC_5f8a059d4da1440d8ef10197ecd89cd6"/>
        <w:id w:val="1912889357"/>
        <w:placeholder>
          <w:docPart w:val="GBC22222222222222222222222222222"/>
        </w:placeholder>
      </w:sdtPr>
      <w:sdtEndPr>
        <w:rPr>
          <w:color w:val="000000" w:themeColor="text1"/>
          <w14:textFill>
            <w14:solidFill>
              <w14:schemeClr w14:val="tx1"/>
            </w14:solidFill>
          </w14:textFill>
        </w:rPr>
      </w:sdtEndPr>
      <w:sdtContent>
        <w:p w14:paraId="4F05AD95">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08B7A3E">
      <w:pPr>
        <w:rPr>
          <w:color w:val="000000" w:themeColor="text1"/>
          <w14:textFill>
            <w14:solidFill>
              <w14:schemeClr w14:val="tx1"/>
            </w14:solidFill>
          </w14:textFill>
        </w:rPr>
      </w:pPr>
    </w:p>
    <w:p w14:paraId="27E119DA">
      <w:pPr>
        <w:spacing w:line="360" w:lineRule="exact"/>
        <w:rPr>
          <w:color w:val="000000" w:themeColor="text1"/>
          <w14:textFill>
            <w14:solidFill>
              <w14:schemeClr w14:val="tx1"/>
            </w14:solidFill>
          </w14:textFill>
        </w:rPr>
      </w:pPr>
      <w:bookmarkStart w:id="513" w:name="_Hlk168058078"/>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是否适用：非经常性损益的其他说明[双击切换]"/>
        <w:tag w:val="_GBC_98984b33dead4179aa5566c8753f4b5e"/>
        <w:id w:val="1766028697"/>
        <w:placeholder>
          <w:docPart w:val="GBC22222222222222222222222222222"/>
        </w:placeholder>
      </w:sdtPr>
      <w:sdtEndPr>
        <w:rPr>
          <w:color w:val="000000" w:themeColor="text1"/>
          <w14:textFill>
            <w14:solidFill>
              <w14:schemeClr w14:val="tx1"/>
            </w14:solidFill>
          </w14:textFill>
        </w:rPr>
      </w:sdtEndPr>
      <w:sdtContent>
        <w:p w14:paraId="60005A0A">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088B118C">
      <w:pPr>
        <w:rPr>
          <w:color w:val="000000" w:themeColor="text1"/>
          <w14:textFill>
            <w14:solidFill>
              <w14:schemeClr w14:val="tx1"/>
            </w14:solidFill>
          </w14:textFill>
        </w:rPr>
      </w:pPr>
    </w:p>
    <w:bookmarkEnd w:id="513"/>
    <w:p w14:paraId="5A2CD39E">
      <w:pPr>
        <w:pStyle w:val="4"/>
        <w:numPr>
          <w:ilvl w:val="0"/>
          <w:numId w:val="121"/>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净资产收益率及每股收益</w:t>
      </w:r>
    </w:p>
    <w:sdt>
      <w:sdtPr>
        <w:rPr>
          <w:color w:val="000000" w:themeColor="text1"/>
          <w14:textFill>
            <w14:solidFill>
              <w14:schemeClr w14:val="tx1"/>
            </w14:solidFill>
          </w14:textFill>
        </w:rPr>
        <w:alias w:val="是否适用：净资产收益率及每股收益[双击切换]"/>
        <w:tag w:val="_GBC_75866ebc8d184cdd988e79330ad3b083"/>
        <w:id w:val="98307383"/>
        <w:placeholder>
          <w:docPart w:val="GBC22222222222222222222222222222"/>
        </w:placeholder>
      </w:sdtPr>
      <w:sdtEndPr>
        <w:rPr>
          <w:color w:val="000000" w:themeColor="text1"/>
          <w14:textFill>
            <w14:solidFill>
              <w14:schemeClr w14:val="tx1"/>
            </w14:solidFill>
          </w14:textFill>
        </w:rPr>
      </w:sdtEndPr>
      <w:sdtContent>
        <w:p w14:paraId="04BF313D">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tbl>
      <w:tblPr>
        <w:tblStyle w:val="37"/>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840"/>
        <w:gridCol w:w="1795"/>
        <w:gridCol w:w="2093"/>
        <w:gridCol w:w="2095"/>
      </w:tblGrid>
      <w:tr w14:paraId="13454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sdt>
          <w:sdtPr>
            <w:tag w:val="_PLD_680a8ba0e71a45459c0939cd6c78c07f"/>
            <w:id w:val="885993389"/>
          </w:sdtPr>
          <w:sdtContent>
            <w:tc>
              <w:tcPr>
                <w:tcW w:w="1609" w:type="pct"/>
                <w:vMerge w:val="restart"/>
                <w:tcBorders>
                  <w:top w:val="single" w:color="auto" w:sz="4" w:space="0"/>
                  <w:left w:val="single" w:color="auto" w:sz="4" w:space="0"/>
                  <w:bottom w:val="single" w:color="auto" w:sz="4" w:space="0"/>
                  <w:right w:val="single" w:color="auto" w:sz="4" w:space="0"/>
                </w:tcBorders>
                <w:vAlign w:val="center"/>
              </w:tcPr>
              <w:p w14:paraId="35D0A6A9">
                <w:pPr>
                  <w:jc w:val="center"/>
                  <w:rPr>
                    <w:color w:val="000000" w:themeColor="text1"/>
                    <w14:textFill>
                      <w14:solidFill>
                        <w14:schemeClr w14:val="tx1"/>
                      </w14:solidFill>
                    </w14:textFill>
                  </w:rPr>
                </w:pPr>
                <w:r>
                  <w:rPr>
                    <w:color w:val="000000" w:themeColor="text1"/>
                    <w14:textFill>
                      <w14:solidFill>
                        <w14:schemeClr w14:val="tx1"/>
                      </w14:solidFill>
                    </w14:textFill>
                  </w:rPr>
                  <w:t>报告期利润</w:t>
                </w:r>
              </w:p>
            </w:tc>
          </w:sdtContent>
        </w:sdt>
        <w:sdt>
          <w:sdtPr>
            <w:tag w:val="_PLD_608d0086e1154f8ca6d3c34247132ef0"/>
            <w:id w:val="1655185669"/>
          </w:sdtPr>
          <w:sdtContent>
            <w:tc>
              <w:tcPr>
                <w:tcW w:w="1017" w:type="pct"/>
                <w:vMerge w:val="restart"/>
                <w:tcBorders>
                  <w:top w:val="single" w:color="auto" w:sz="4" w:space="0"/>
                  <w:left w:val="single" w:color="auto" w:sz="4" w:space="0"/>
                  <w:right w:val="single" w:color="auto" w:sz="4" w:space="0"/>
                </w:tcBorders>
                <w:vAlign w:val="center"/>
              </w:tcPr>
              <w:p w14:paraId="20966F66">
                <w:pPr>
                  <w:jc w:val="center"/>
                  <w:rPr>
                    <w:color w:val="000000" w:themeColor="text1"/>
                    <w14:textFill>
                      <w14:solidFill>
                        <w14:schemeClr w14:val="tx1"/>
                      </w14:solidFill>
                    </w14:textFill>
                  </w:rPr>
                </w:pPr>
                <w:r>
                  <w:rPr>
                    <w:color w:val="000000" w:themeColor="text1"/>
                    <w14:textFill>
                      <w14:solidFill>
                        <w14:schemeClr w14:val="tx1"/>
                      </w14:solidFill>
                    </w14:textFill>
                  </w:rPr>
                  <w:t>加权平均净资产收益率（%）</w:t>
                </w:r>
              </w:p>
            </w:tc>
          </w:sdtContent>
        </w:sdt>
        <w:sdt>
          <w:sdtPr>
            <w:tag w:val="_PLD_8b4a0bf973be4a19862ac5168193db93"/>
            <w:id w:val="324172786"/>
          </w:sdtPr>
          <w:sdtContent>
            <w:tc>
              <w:tcPr>
                <w:tcW w:w="2373" w:type="pct"/>
                <w:gridSpan w:val="2"/>
                <w:tcBorders>
                  <w:top w:val="single" w:color="auto" w:sz="4" w:space="0"/>
                  <w:left w:val="single" w:color="auto" w:sz="4" w:space="0"/>
                  <w:bottom w:val="single" w:color="auto" w:sz="4" w:space="0"/>
                  <w:right w:val="single" w:color="auto" w:sz="4" w:space="0"/>
                </w:tcBorders>
                <w:vAlign w:val="center"/>
              </w:tcPr>
              <w:p w14:paraId="463C52E7">
                <w:pPr>
                  <w:jc w:val="center"/>
                  <w:rPr>
                    <w:color w:val="000000" w:themeColor="text1"/>
                    <w14:textFill>
                      <w14:solidFill>
                        <w14:schemeClr w14:val="tx1"/>
                      </w14:solidFill>
                    </w14:textFill>
                  </w:rPr>
                </w:pPr>
                <w:r>
                  <w:rPr>
                    <w:color w:val="000000" w:themeColor="text1"/>
                    <w14:textFill>
                      <w14:solidFill>
                        <w14:schemeClr w14:val="tx1"/>
                      </w14:solidFill>
                    </w14:textFill>
                  </w:rPr>
                  <w:t>每股收益</w:t>
                </w:r>
              </w:p>
            </w:tc>
          </w:sdtContent>
        </w:sdt>
      </w:tr>
      <w:tr w14:paraId="5CA31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09" w:type="pct"/>
            <w:vMerge w:val="continue"/>
            <w:tcBorders>
              <w:top w:val="single" w:color="auto" w:sz="4" w:space="0"/>
              <w:left w:val="single" w:color="auto" w:sz="4" w:space="0"/>
              <w:bottom w:val="single" w:color="auto" w:sz="4" w:space="0"/>
              <w:right w:val="single" w:color="auto" w:sz="4" w:space="0"/>
            </w:tcBorders>
            <w:vAlign w:val="center"/>
          </w:tcPr>
          <w:p w14:paraId="62BF03BC">
            <w:pPr>
              <w:jc w:val="center"/>
              <w:rPr>
                <w:color w:val="000000" w:themeColor="text1"/>
                <w14:textFill>
                  <w14:solidFill>
                    <w14:schemeClr w14:val="tx1"/>
                  </w14:solidFill>
                </w14:textFill>
              </w:rPr>
            </w:pPr>
          </w:p>
        </w:tc>
        <w:tc>
          <w:tcPr>
            <w:tcW w:w="1017" w:type="pct"/>
            <w:vMerge w:val="continue"/>
            <w:tcBorders>
              <w:left w:val="single" w:color="auto" w:sz="4" w:space="0"/>
              <w:bottom w:val="single" w:color="auto" w:sz="4" w:space="0"/>
              <w:right w:val="single" w:color="auto" w:sz="4" w:space="0"/>
            </w:tcBorders>
            <w:vAlign w:val="center"/>
          </w:tcPr>
          <w:p w14:paraId="54FF2261">
            <w:pPr>
              <w:jc w:val="center"/>
              <w:rPr>
                <w:color w:val="000000" w:themeColor="text1"/>
                <w14:textFill>
                  <w14:solidFill>
                    <w14:schemeClr w14:val="tx1"/>
                  </w14:solidFill>
                </w14:textFill>
              </w:rPr>
            </w:pPr>
          </w:p>
        </w:tc>
        <w:sdt>
          <w:sdtPr>
            <w:tag w:val="_PLD_45472770a81744249d77e54c2efc412a"/>
            <w:id w:val="1265577216"/>
          </w:sdtPr>
          <w:sdtContent>
            <w:tc>
              <w:tcPr>
                <w:tcW w:w="1186" w:type="pct"/>
                <w:tcBorders>
                  <w:top w:val="single" w:color="auto" w:sz="4" w:space="0"/>
                  <w:left w:val="single" w:color="auto" w:sz="4" w:space="0"/>
                  <w:bottom w:val="single" w:color="auto" w:sz="4" w:space="0"/>
                  <w:right w:val="single" w:color="auto" w:sz="4" w:space="0"/>
                </w:tcBorders>
                <w:vAlign w:val="center"/>
              </w:tcPr>
              <w:p w14:paraId="5AD6D055">
                <w:pPr>
                  <w:jc w:val="center"/>
                  <w:rPr>
                    <w:color w:val="000000" w:themeColor="text1"/>
                    <w14:textFill>
                      <w14:solidFill>
                        <w14:schemeClr w14:val="tx1"/>
                      </w14:solidFill>
                    </w14:textFill>
                  </w:rPr>
                </w:pPr>
                <w:r>
                  <w:rPr>
                    <w:color w:val="000000" w:themeColor="text1"/>
                    <w14:textFill>
                      <w14:solidFill>
                        <w14:schemeClr w14:val="tx1"/>
                      </w14:solidFill>
                    </w14:textFill>
                  </w:rPr>
                  <w:t>基本每股收益</w:t>
                </w:r>
              </w:p>
            </w:tc>
          </w:sdtContent>
        </w:sdt>
        <w:sdt>
          <w:sdtPr>
            <w:tag w:val="_PLD_c4e5be0bbc134fa28e28895e1a12e02c"/>
            <w:id w:val="-1404764354"/>
          </w:sdtPr>
          <w:sdtContent>
            <w:tc>
              <w:tcPr>
                <w:tcW w:w="1187" w:type="pct"/>
                <w:tcBorders>
                  <w:top w:val="single" w:color="auto" w:sz="4" w:space="0"/>
                  <w:left w:val="single" w:color="auto" w:sz="4" w:space="0"/>
                  <w:bottom w:val="single" w:color="auto" w:sz="4" w:space="0"/>
                  <w:right w:val="single" w:color="auto" w:sz="4" w:space="0"/>
                </w:tcBorders>
                <w:vAlign w:val="center"/>
              </w:tcPr>
              <w:p w14:paraId="7E0338B2">
                <w:pPr>
                  <w:jc w:val="center"/>
                  <w:rPr>
                    <w:color w:val="000000" w:themeColor="text1"/>
                    <w14:textFill>
                      <w14:solidFill>
                        <w14:schemeClr w14:val="tx1"/>
                      </w14:solidFill>
                    </w14:textFill>
                  </w:rPr>
                </w:pPr>
                <w:r>
                  <w:rPr>
                    <w:color w:val="000000" w:themeColor="text1"/>
                    <w14:textFill>
                      <w14:solidFill>
                        <w14:schemeClr w14:val="tx1"/>
                      </w14:solidFill>
                    </w14:textFill>
                  </w:rPr>
                  <w:t>稀释每股收益</w:t>
                </w:r>
              </w:p>
            </w:tc>
          </w:sdtContent>
        </w:sdt>
      </w:tr>
      <w:tr w14:paraId="1471F7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09" w:type="pct"/>
            <w:tcBorders>
              <w:top w:val="single" w:color="auto" w:sz="4" w:space="0"/>
              <w:left w:val="single" w:color="auto" w:sz="4" w:space="0"/>
              <w:bottom w:val="single" w:color="auto" w:sz="4" w:space="0"/>
              <w:right w:val="single" w:color="auto" w:sz="4" w:space="0"/>
            </w:tcBorders>
          </w:tcPr>
          <w:p w14:paraId="772F1140">
            <w:pPr>
              <w:rPr>
                <w:color w:val="000000" w:themeColor="text1"/>
                <w14:textFill>
                  <w14:solidFill>
                    <w14:schemeClr w14:val="tx1"/>
                  </w14:solidFill>
                </w14:textFill>
              </w:rPr>
            </w:pPr>
            <w:r>
              <w:rPr>
                <w:color w:val="000000" w:themeColor="text1"/>
                <w14:textFill>
                  <w14:solidFill>
                    <w14:schemeClr w14:val="tx1"/>
                  </w14:solidFill>
                </w14:textFill>
              </w:rPr>
              <w:t>归属于公司普通股股东的净利润</w:t>
            </w:r>
          </w:p>
        </w:tc>
        <w:tc>
          <w:tcPr>
            <w:tcW w:w="1017" w:type="pct"/>
            <w:tcBorders>
              <w:top w:val="single" w:color="auto" w:sz="4" w:space="0"/>
              <w:left w:val="single" w:color="auto" w:sz="4" w:space="0"/>
              <w:bottom w:val="single" w:color="auto" w:sz="4" w:space="0"/>
              <w:right w:val="single" w:color="auto" w:sz="4" w:space="0"/>
            </w:tcBorders>
          </w:tcPr>
          <w:p w14:paraId="63B5AD99">
            <w:pPr>
              <w:jc w:val="right"/>
            </w:pPr>
            <w:r>
              <w:rPr>
                <w:rFonts w:hint="eastAsia"/>
              </w:rPr>
              <w:t>0.87</w:t>
            </w:r>
          </w:p>
        </w:tc>
        <w:tc>
          <w:tcPr>
            <w:tcW w:w="1186" w:type="pct"/>
            <w:tcBorders>
              <w:top w:val="single" w:color="auto" w:sz="4" w:space="0"/>
              <w:left w:val="single" w:color="auto" w:sz="4" w:space="0"/>
              <w:bottom w:val="single" w:color="auto" w:sz="4" w:space="0"/>
              <w:right w:val="single" w:color="auto" w:sz="4" w:space="0"/>
            </w:tcBorders>
          </w:tcPr>
          <w:p w14:paraId="4BD1AF68">
            <w:pPr>
              <w:jc w:val="right"/>
            </w:pPr>
            <w:r>
              <w:rPr>
                <w:rFonts w:hint="eastAsia"/>
              </w:rPr>
              <w:t>0.0205</w:t>
            </w:r>
          </w:p>
        </w:tc>
        <w:tc>
          <w:tcPr>
            <w:tcW w:w="1187" w:type="pct"/>
            <w:tcBorders>
              <w:top w:val="single" w:color="auto" w:sz="4" w:space="0"/>
              <w:left w:val="single" w:color="auto" w:sz="4" w:space="0"/>
              <w:bottom w:val="single" w:color="auto" w:sz="4" w:space="0"/>
              <w:right w:val="single" w:color="auto" w:sz="4" w:space="0"/>
            </w:tcBorders>
          </w:tcPr>
          <w:p w14:paraId="4643070A">
            <w:pPr>
              <w:jc w:val="right"/>
            </w:pPr>
            <w:r>
              <w:rPr>
                <w:rFonts w:hint="eastAsia"/>
              </w:rPr>
              <w:t>0.0205</w:t>
            </w:r>
          </w:p>
        </w:tc>
      </w:tr>
      <w:tr w14:paraId="572C0C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09" w:type="pct"/>
            <w:tcBorders>
              <w:top w:val="single" w:color="auto" w:sz="4" w:space="0"/>
              <w:left w:val="single" w:color="auto" w:sz="4" w:space="0"/>
              <w:bottom w:val="single" w:color="auto" w:sz="4" w:space="0"/>
              <w:right w:val="single" w:color="auto" w:sz="4" w:space="0"/>
            </w:tcBorders>
          </w:tcPr>
          <w:p w14:paraId="733C6643">
            <w:pPr>
              <w:rPr>
                <w:color w:val="000000" w:themeColor="text1"/>
                <w14:textFill>
                  <w14:solidFill>
                    <w14:schemeClr w14:val="tx1"/>
                  </w14:solidFill>
                </w14:textFill>
              </w:rPr>
            </w:pPr>
            <w:r>
              <w:rPr>
                <w:color w:val="000000" w:themeColor="text1"/>
                <w14:textFill>
                  <w14:solidFill>
                    <w14:schemeClr w14:val="tx1"/>
                  </w14:solidFill>
                </w14:textFill>
              </w:rPr>
              <w:t>扣除非经常性损益后归属于公司普通股股东的净利润</w:t>
            </w:r>
          </w:p>
        </w:tc>
        <w:tc>
          <w:tcPr>
            <w:tcW w:w="1017" w:type="pct"/>
            <w:tcBorders>
              <w:top w:val="single" w:color="auto" w:sz="4" w:space="0"/>
              <w:left w:val="single" w:color="auto" w:sz="4" w:space="0"/>
              <w:bottom w:val="single" w:color="auto" w:sz="4" w:space="0"/>
              <w:right w:val="single" w:color="auto" w:sz="4" w:space="0"/>
            </w:tcBorders>
          </w:tcPr>
          <w:p w14:paraId="6F2BFCAB">
            <w:pPr>
              <w:jc w:val="right"/>
            </w:pPr>
            <w:r>
              <w:rPr>
                <w:rFonts w:hint="eastAsia"/>
              </w:rPr>
              <w:t>0.50</w:t>
            </w:r>
          </w:p>
        </w:tc>
        <w:tc>
          <w:tcPr>
            <w:tcW w:w="1186" w:type="pct"/>
            <w:tcBorders>
              <w:top w:val="single" w:color="auto" w:sz="4" w:space="0"/>
              <w:left w:val="single" w:color="auto" w:sz="4" w:space="0"/>
              <w:bottom w:val="single" w:color="auto" w:sz="4" w:space="0"/>
              <w:right w:val="single" w:color="auto" w:sz="4" w:space="0"/>
            </w:tcBorders>
          </w:tcPr>
          <w:p w14:paraId="05890E5B">
            <w:pPr>
              <w:jc w:val="right"/>
            </w:pPr>
            <w:r>
              <w:rPr>
                <w:rFonts w:hint="eastAsia"/>
              </w:rPr>
              <w:t>0.0118</w:t>
            </w:r>
          </w:p>
        </w:tc>
        <w:tc>
          <w:tcPr>
            <w:tcW w:w="1187" w:type="pct"/>
            <w:tcBorders>
              <w:top w:val="single" w:color="auto" w:sz="4" w:space="0"/>
              <w:left w:val="single" w:color="auto" w:sz="4" w:space="0"/>
              <w:bottom w:val="single" w:color="auto" w:sz="4" w:space="0"/>
              <w:right w:val="single" w:color="auto" w:sz="4" w:space="0"/>
            </w:tcBorders>
          </w:tcPr>
          <w:p w14:paraId="75F871A0">
            <w:pPr>
              <w:jc w:val="right"/>
            </w:pPr>
            <w:r>
              <w:rPr>
                <w:rFonts w:hint="eastAsia"/>
              </w:rPr>
              <w:t>0.0118</w:t>
            </w:r>
          </w:p>
        </w:tc>
      </w:tr>
    </w:tbl>
    <w:p w14:paraId="4FEE0A28">
      <w:pPr>
        <w:rPr>
          <w:color w:val="000000" w:themeColor="text1"/>
          <w14:textFill>
            <w14:solidFill>
              <w14:schemeClr w14:val="tx1"/>
            </w14:solidFill>
          </w14:textFill>
        </w:rPr>
      </w:pPr>
    </w:p>
    <w:p w14:paraId="7A086FCD">
      <w:pPr>
        <w:pStyle w:val="4"/>
        <w:numPr>
          <w:ilvl w:val="0"/>
          <w:numId w:val="121"/>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境内外会计准则下会计数据差异</w:t>
      </w:r>
    </w:p>
    <w:sdt>
      <w:sdtPr>
        <w:rPr>
          <w:color w:val="000000" w:themeColor="text1"/>
          <w14:textFill>
            <w14:solidFill>
              <w14:schemeClr w14:val="tx1"/>
            </w14:solidFill>
          </w14:textFill>
        </w:rPr>
        <w:alias w:val="是否适用：境内外会计准则下会计数据差异[双击切换]"/>
        <w:tag w:val="_GBC_3482333eff2948139884cfdd1debc958"/>
        <w:id w:val="1508477532"/>
        <w:placeholder>
          <w:docPart w:val="GBC22222222222222222222222222222"/>
        </w:placeholder>
      </w:sdtPr>
      <w:sdtEndPr>
        <w:rPr>
          <w:color w:val="000000" w:themeColor="text1"/>
          <w14:textFill>
            <w14:solidFill>
              <w14:schemeClr w14:val="tx1"/>
            </w14:solidFill>
          </w14:textFill>
        </w:rPr>
      </w:sdtEndPr>
      <w:sdtContent>
        <w:p w14:paraId="30B6126B">
          <w:pPr>
            <w:rPr>
              <w:rFonts w:cstheme="minorBidi"/>
              <w:color w:val="000000" w:themeColor="text1"/>
              <w:kern w:val="2"/>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57967945">
      <w:pPr>
        <w:rPr>
          <w:rFonts w:cstheme="minorBidi"/>
          <w:color w:val="000000" w:themeColor="text1"/>
          <w:kern w:val="2"/>
          <w14:textFill>
            <w14:solidFill>
              <w14:schemeClr w14:val="tx1"/>
            </w14:solidFill>
          </w14:textFill>
        </w:rPr>
      </w:pPr>
    </w:p>
    <w:p w14:paraId="42B7387D">
      <w:pPr>
        <w:rPr>
          <w:color w:val="000000" w:themeColor="text1"/>
          <w14:textFill>
            <w14:solidFill>
              <w14:schemeClr w14:val="tx1"/>
            </w14:solidFill>
          </w14:textFill>
        </w:rPr>
      </w:pPr>
    </w:p>
    <w:p w14:paraId="09FEE6E2">
      <w:pPr>
        <w:pStyle w:val="4"/>
        <w:numPr>
          <w:ilvl w:val="0"/>
          <w:numId w:val="121"/>
        </w:num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w:t>
      </w:r>
    </w:p>
    <w:sdt>
      <w:sdtPr>
        <w:rPr>
          <w:color w:val="000000" w:themeColor="text1"/>
          <w14:textFill>
            <w14:solidFill>
              <w14:schemeClr w14:val="tx1"/>
            </w14:solidFill>
          </w14:textFill>
        </w:rPr>
        <w:alias w:val="是否适用：补充资料其他说明事项[双击切换]"/>
        <w:tag w:val="_GBC_8954f89f8426424c966f1b658de53fe5"/>
        <w:id w:val="989516990"/>
        <w:placeholder>
          <w:docPart w:val="GBC22222222222222222222222222222"/>
        </w:placeholder>
      </w:sdtPr>
      <w:sdtEndPr>
        <w:rPr>
          <w:color w:val="000000" w:themeColor="text1"/>
          <w14:textFill>
            <w14:solidFill>
              <w14:schemeClr w14:val="tx1"/>
            </w14:solidFill>
          </w14:textFill>
        </w:rPr>
      </w:sdtEndPr>
      <w:sdtContent>
        <w:p w14:paraId="0983EB6C">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14:paraId="24EB3C9E">
      <w:pPr>
        <w:rPr>
          <w:color w:val="000000" w:themeColor="text1"/>
          <w14:textFill>
            <w14:solidFill>
              <w14:schemeClr w14:val="tx1"/>
            </w14:solidFill>
          </w14:textFill>
        </w:rPr>
      </w:pPr>
    </w:p>
    <w:p w14:paraId="4C246235">
      <w:pPr>
        <w:wordWrap w:val="0"/>
        <w:spacing w:line="360" w:lineRule="exact"/>
        <w:jc w:val="right"/>
        <w:rPr>
          <w:color w:val="000000" w:themeColor="text1"/>
          <w:u w:val="single"/>
          <w14:textFill>
            <w14:solidFill>
              <w14:schemeClr w14:val="tx1"/>
            </w14:solidFill>
          </w14:textFill>
        </w:rPr>
      </w:pPr>
      <w:bookmarkStart w:id="514" w:name="_Hlk76135020"/>
      <w:r>
        <w:rPr>
          <w:rFonts w:hint="eastAsia"/>
          <w:color w:val="000000" w:themeColor="text1"/>
          <w14:textFill>
            <w14:solidFill>
              <w14:schemeClr w14:val="tx1"/>
            </w14:solidFill>
          </w14:textFill>
        </w:rPr>
        <w:t>法定代表人</w:t>
      </w:r>
      <w:r>
        <w:rPr>
          <w:color w:val="000000" w:themeColor="text1"/>
          <w14:textFill>
            <w14:solidFill>
              <w14:schemeClr w14:val="tx1"/>
            </w14:solidFill>
          </w14:textFill>
        </w:rPr>
        <w:t>：</w:t>
      </w:r>
      <w:sdt>
        <w:sdtPr>
          <w:rPr>
            <w:color w:val="000000" w:themeColor="text1"/>
            <w14:textFill>
              <w14:solidFill>
                <w14:schemeClr w14:val="tx1"/>
              </w14:solidFill>
            </w14:textFill>
          </w:rPr>
          <w:alias w:val="报告发布人"/>
          <w:tag w:val="_GBC_f07cbb7287a94e798691f7fcb5112f49"/>
          <w:id w:val="139861485"/>
          <w:placeholder>
            <w:docPart w:val="GBC22222222222222222222222222222"/>
          </w:placeholder>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唐传勤</w:t>
          </w:r>
        </w:sdtContent>
      </w:sdt>
      <w:r>
        <w:rPr>
          <w:rFonts w:hint="eastAsia"/>
          <w:color w:val="000000" w:themeColor="text1"/>
          <w14:textFill>
            <w14:solidFill>
              <w14:schemeClr w14:val="tx1"/>
            </w14:solidFill>
          </w14:textFill>
        </w:rPr>
        <w:t xml:space="preserve"> </w:t>
      </w:r>
    </w:p>
    <w:p w14:paraId="2AD86671">
      <w:pPr>
        <w:spacing w:line="360" w:lineRule="exact"/>
        <w:jc w:val="right"/>
        <w:rPr>
          <w:color w:val="000000" w:themeColor="text1"/>
          <w14:textFill>
            <w14:solidFill>
              <w14:schemeClr w14:val="tx1"/>
            </w14:solidFill>
          </w14:textFill>
        </w:rPr>
      </w:pPr>
      <w:r>
        <w:rPr>
          <w:color w:val="000000" w:themeColor="text1"/>
          <w14:textFill>
            <w14:solidFill>
              <w14:schemeClr w14:val="tx1"/>
            </w14:solidFill>
          </w14:textFill>
        </w:rPr>
        <w:t>董事会批准报送日期：</w:t>
      </w:r>
      <w:sdt>
        <w:sdtPr>
          <w:rPr>
            <w:color w:val="000000" w:themeColor="text1"/>
            <w14:textFill>
              <w14:solidFill>
                <w14:schemeClr w14:val="tx1"/>
              </w14:solidFill>
            </w14:textFill>
          </w:rPr>
          <w:alias w:val="报告董事会批准报送日期"/>
          <w:tag w:val="_GBC_56d5d40e768a439aa604555fa2089c42"/>
          <w:id w:val="1355458689"/>
          <w:placeholder>
            <w:docPart w:val="GBC22222222222222222222222222222"/>
          </w:placeholder>
          <w:date w:fullDate="2026-08-06T00:00:00Z">
            <w:dateFormat w:val="yyyy'年'M'月'd'日'"/>
            <w:lid w:val="zh-CN"/>
            <w:storeMappedDataAs w:val="datetime"/>
            <w:calendar w:val="gregorian"/>
          </w:date>
        </w:sdtPr>
        <w:sdtEndPr>
          <w:rPr>
            <w:color w:val="000000" w:themeColor="text1"/>
            <w14:textFill>
              <w14:solidFill>
                <w14:schemeClr w14:val="tx1"/>
              </w14:solidFill>
            </w14:textFill>
          </w:rPr>
        </w:sdtEndPr>
        <w:sdtContent>
          <w:r>
            <w:rPr>
              <w:rFonts w:hint="eastAsia"/>
              <w:color w:val="000000" w:themeColor="text1"/>
              <w14:textFill>
                <w14:solidFill>
                  <w14:schemeClr w14:val="tx1"/>
                </w14:solidFill>
              </w14:textFill>
            </w:rPr>
            <w:t>2026年8月6日</w:t>
          </w:r>
        </w:sdtContent>
      </w:sdt>
      <w:r>
        <w:rPr>
          <w:rFonts w:hint="eastAsia"/>
          <w:color w:val="000000" w:themeColor="text1"/>
          <w14:textFill>
            <w14:solidFill>
              <w14:schemeClr w14:val="tx1"/>
            </w14:solidFill>
          </w14:textFill>
        </w:rPr>
        <w:t xml:space="preserve"> </w:t>
      </w:r>
    </w:p>
    <w:bookmarkEnd w:id="514"/>
    <w:p w14:paraId="4ADED910">
      <w:pPr>
        <w:rPr>
          <w:color w:val="000000" w:themeColor="text1"/>
          <w14:textFill>
            <w14:solidFill>
              <w14:schemeClr w14:val="tx1"/>
            </w14:solidFill>
          </w14:textFill>
        </w:rPr>
      </w:pPr>
    </w:p>
    <w:p w14:paraId="623A16BF">
      <w:pPr>
        <w:spacing w:line="360" w:lineRule="exact"/>
        <w:ind w:right="5"/>
        <w:rPr>
          <w:color w:val="000000" w:themeColor="text1"/>
          <w:u w:val="single"/>
          <w14:textFill>
            <w14:solidFill>
              <w14:schemeClr w14:val="tx1"/>
            </w14:solidFill>
          </w14:textFill>
        </w:rPr>
      </w:pPr>
    </w:p>
    <w:p w14:paraId="698798B7">
      <w:pPr>
        <w:spacing w:line="360" w:lineRule="exact"/>
        <w:ind w:right="5"/>
        <w:rPr>
          <w:b/>
          <w:color w:val="000000" w:themeColor="text1"/>
          <w:sz w:val="24"/>
          <w14:textFill>
            <w14:solidFill>
              <w14:schemeClr w14:val="tx1"/>
            </w14:solidFill>
          </w14:textFill>
        </w:rPr>
      </w:pPr>
      <w:r>
        <w:rPr>
          <w:b/>
          <w:color w:val="000000" w:themeColor="text1"/>
          <w:sz w:val="24"/>
          <w14:textFill>
            <w14:solidFill>
              <w14:schemeClr w14:val="tx1"/>
            </w14:solidFill>
          </w14:textFill>
        </w:rPr>
        <w:t>修订信息</w:t>
      </w:r>
    </w:p>
    <w:sdt>
      <w:sdtPr>
        <w:rPr>
          <w:b/>
          <w:bCs w:val="0"/>
          <w:color w:val="000000" w:themeColor="text1"/>
          <w14:textFill>
            <w14:solidFill>
              <w14:schemeClr w14:val="tx1"/>
            </w14:solidFill>
          </w14:textFill>
        </w:rPr>
        <w:alias w:val="是否适用：修订信息表[双击切换]"/>
        <w:tag w:val="_GBC_77b96fad3b8a43478db82cf4cb9686be"/>
        <w:id w:val="-1390181706"/>
        <w:placeholder>
          <w:docPart w:val="GBC22222222222222222222222222222"/>
        </w:placeholder>
      </w:sdtPr>
      <w:sdtEndPr>
        <w:rPr>
          <w:b w:val="0"/>
          <w:bCs w:val="0"/>
          <w:color w:val="000000" w:themeColor="text1"/>
          <w14:textFill>
            <w14:solidFill>
              <w14:schemeClr w14:val="tx1"/>
            </w14:solidFill>
          </w14:textFill>
        </w:rPr>
      </w:sdtEndPr>
      <w:sdtContent>
        <w:p w14:paraId="06E25235">
          <w:pPr>
            <w:rPr>
              <w:color w:val="000000" w:themeColor="text1"/>
              <w14:textFill>
                <w14:solidFill>
                  <w14:schemeClr w14:val="tx1"/>
                </w14:solidFill>
              </w14:textFill>
            </w:rPr>
          </w:pPr>
          <w:r>
            <w:rPr>
              <w:rFonts w:ascii="宋体" w:hAnsi="宋体"/>
              <w:bCs w:val="0"/>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□适用 </w:instrText>
          </w:r>
          <w:r>
            <w:rPr>
              <w:rFonts w:ascii="宋体" w:hAnsi="宋体"/>
              <w:bCs w:val="0"/>
              <w:color w:val="000000" w:themeColor="text1"/>
              <w14:textFill>
                <w14:solidFill>
                  <w14:schemeClr w14:val="tx1"/>
                </w14:solidFill>
              </w14:textFill>
            </w:rPr>
            <w:fldChar w:fldCharType="end"/>
          </w:r>
          <w:r>
            <w:rPr>
              <w:rFonts w:ascii="宋体" w:hAnsi="宋体"/>
              <w:bCs w:val="0"/>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MACROBUTTON  SnrToggleCheckbox √不适用 </w:instrText>
          </w:r>
          <w:r>
            <w:rPr>
              <w:rFonts w:ascii="宋体" w:hAnsi="宋体"/>
              <w:bCs w:val="0"/>
              <w:color w:val="000000" w:themeColor="text1"/>
              <w14:textFill>
                <w14:solidFill>
                  <w14:schemeClr w14:val="tx1"/>
                </w14:solidFill>
              </w14:textFill>
            </w:rPr>
            <w:fldChar w:fldCharType="end"/>
          </w:r>
        </w:p>
      </w:sdtContent>
    </w:sdt>
    <w:sectPr>
      <w:pgSz w:w="11906" w:h="16838"/>
      <w:pgMar w:top="1525" w:right="1276" w:bottom="1440" w:left="1797" w:header="856"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Helvetica-Narrow">
    <w:altName w:val="Arial Narrow"/>
    <w:panose1 w:val="00000000000000000000"/>
    <w:charset w:val="00"/>
    <w:family w:val="swiss"/>
    <w:pitch w:val="default"/>
    <w:sig w:usb0="00000000" w:usb1="00000000" w:usb2="00000000" w:usb3="00000000" w:csb0="00000001" w:csb1="00000000"/>
  </w:font>
  <w:font w:name="Arial Narrow">
    <w:panose1 w:val="020B0606020202030204"/>
    <w:charset w:val="00"/>
    <w:family w:val="auto"/>
    <w:pitch w:val="default"/>
    <w:sig w:usb0="00000287" w:usb1="00000800" w:usb2="00000000" w:usb3="00000000" w:csb0="2000009F" w:csb1="DFD70000"/>
  </w:font>
  <w:font w:name="Noto Sans CJK JP Regular">
    <w:altName w:val="黑体"/>
    <w:panose1 w:val="00000000000000000000"/>
    <w:charset w:val="86"/>
    <w:family w:val="swiss"/>
    <w:pitch w:val="default"/>
    <w:sig w:usb0="00000000" w:usb1="00000000" w:usb2="00000016" w:usb3="00000000" w:csb0="002E0107" w:csb1="00000000"/>
  </w:font>
  <w:font w:name="FZLTSK--GBK1-0">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宋体-方正超大字符集">
    <w:altName w:val="宋体"/>
    <w:panose1 w:val="00000000000000000000"/>
    <w:charset w:val="86"/>
    <w:family w:val="script"/>
    <w:pitch w:val="default"/>
    <w:sig w:usb0="00000000" w:usb1="00000000" w:usb2="00000010" w:usb3="00000000" w:csb0="00040000" w:csb1="00000000"/>
  </w:font>
  <w:font w:name="BatangChe">
    <w:altName w:val="Malgun Gothic"/>
    <w:panose1 w:val="00000000000000000000"/>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D504A">
    <w:pPr>
      <w:pStyle w:val="25"/>
      <w:jc w:val="center"/>
    </w:pPr>
    <w:r>
      <w:rPr>
        <w:b/>
        <w:bCs w:val="0"/>
        <w:sz w:val="24"/>
        <w:szCs w:val="24"/>
      </w:rPr>
      <w:fldChar w:fldCharType="begin"/>
    </w:r>
    <w:r>
      <w:rPr>
        <w:b/>
      </w:rPr>
      <w:instrText xml:space="preserve">PAGE</w:instrText>
    </w:r>
    <w:r>
      <w:rPr>
        <w:b/>
        <w:bCs w:val="0"/>
        <w:sz w:val="24"/>
        <w:szCs w:val="24"/>
      </w:rPr>
      <w:fldChar w:fldCharType="separate"/>
    </w:r>
    <w:r>
      <w:rPr>
        <w:b/>
      </w:rPr>
      <w:t>1</w:t>
    </w:r>
    <w:r>
      <w:rPr>
        <w:b/>
        <w:bCs w:val="0"/>
        <w:sz w:val="24"/>
        <w:szCs w:val="24"/>
      </w:rPr>
      <w:fldChar w:fldCharType="end"/>
    </w:r>
    <w:r>
      <w:rPr>
        <w:lang w:val="zh-CN"/>
      </w:rPr>
      <w:t xml:space="preserve"> / </w:t>
    </w:r>
    <w:r>
      <w:rPr>
        <w:b/>
        <w:bCs w:val="0"/>
        <w:sz w:val="24"/>
        <w:szCs w:val="24"/>
      </w:rPr>
      <w:fldChar w:fldCharType="begin"/>
    </w:r>
    <w:r>
      <w:rPr>
        <w:b/>
      </w:rPr>
      <w:instrText xml:space="preserve">NUMPAGES</w:instrText>
    </w:r>
    <w:r>
      <w:rPr>
        <w:b/>
        <w:bCs w:val="0"/>
        <w:sz w:val="24"/>
        <w:szCs w:val="24"/>
      </w:rPr>
      <w:fldChar w:fldCharType="separate"/>
    </w:r>
    <w:r>
      <w:rPr>
        <w:b/>
      </w:rPr>
      <w:t>221</w:t>
    </w:r>
    <w:r>
      <w:rPr>
        <w:b/>
        <w:bCs w:val="0"/>
        <w:sz w:val="24"/>
        <w:szCs w:val="24"/>
      </w:rPr>
      <w:fldChar w:fldCharType="end"/>
    </w:r>
  </w:p>
  <w:p w14:paraId="36FE0764">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0E9CB">
    <w:pPr>
      <w:pStyle w:val="26"/>
      <w:tabs>
        <w:tab w:val="left" w:pos="8364"/>
        <w:tab w:val="left" w:pos="8505"/>
        <w:tab w:val="clear" w:pos="8306"/>
      </w:tabs>
      <w:ind w:right="21" w:rightChars="10"/>
      <w:rPr>
        <w:rFonts w:hint="eastAsia" w:ascii="宋体" w:hAnsi="宋体"/>
      </w:rPr>
    </w:pPr>
    <w:sdt>
      <w:sdtPr>
        <w:rPr>
          <w:rFonts w:hint="eastAsia" w:ascii="宋体" w:hAnsi="宋体"/>
        </w:rPr>
        <w:alias w:val="公司法定中文名称"/>
        <w:tag w:val="_GBC_782d803d917f4432be22f5ded01fbc6d"/>
        <w:id w:val="842976418"/>
        <w:dataBinding w:prefixMappings="xmlns:clcid-cgi='clcid-cgi'" w:xpath="/*/clcid-cgi:GongSiFaDingZhongWenMingCheng[not(@periodRef)]" w:storeItemID="{89EBAB94-44A0-46A2-B712-30D997D04A6D}"/>
        <w:text/>
      </w:sdtPr>
      <w:sdtEndPr>
        <w:rPr>
          <w:rFonts w:hint="eastAsia" w:ascii="宋体" w:hAnsi="宋体"/>
        </w:rPr>
      </w:sdtEndPr>
      <w:sdtContent>
        <w:r>
          <w:rPr>
            <w:rFonts w:hint="eastAsia" w:ascii="宋体" w:hAnsi="宋体"/>
          </w:rPr>
          <w:t>山东好当家海洋发展股份有限公司</w:t>
        </w:r>
      </w:sdtContent>
    </w:sdt>
    <w:r>
      <w:rPr>
        <w:rFonts w:hint="eastAsia" w:ascii="宋体" w:hAnsi="宋体"/>
      </w:rPr>
      <w:t>202</w:t>
    </w:r>
    <w:r>
      <w:rPr>
        <w:rFonts w:ascii="宋体" w:hAnsi="宋体"/>
      </w:rPr>
      <w:t>6</w:t>
    </w:r>
    <w:r>
      <w:rPr>
        <w:rFonts w:hint="eastAsia" w:ascii="宋体" w:hAnsi="宋体"/>
      </w:rPr>
      <w:t>年半年度报告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3058"/>
    <w:multiLevelType w:val="multilevel"/>
    <w:tmpl w:val="00533058"/>
    <w:lvl w:ilvl="0" w:tentative="0">
      <w:start w:val="1"/>
      <w:numFmt w:val="decimal"/>
      <w:lvlText w:val="%1、"/>
      <w:lvlJc w:val="left"/>
      <w:pPr>
        <w:ind w:left="425" w:hanging="425"/>
      </w:pPr>
      <w:rPr>
        <w:rFonts w:hint="eastAsia" w:ascii="宋体" w:hAnsi="宋体" w:eastAsia="宋体"/>
        <w:color w:val="auto"/>
        <w:sz w:val="21"/>
        <w:szCs w:val="21"/>
        <w:u w:val="none"/>
      </w:rPr>
    </w:lvl>
    <w:lvl w:ilvl="1" w:tentative="0">
      <w:start w:val="1"/>
      <w:numFmt w:val="chineseCountingThousand"/>
      <w:lvlText w:val="%2、"/>
      <w:lvlJc w:val="left"/>
      <w:pPr>
        <w:ind w:left="567" w:hanging="567"/>
      </w:pPr>
      <w:rPr>
        <w:rFonts w:hint="eastAsia"/>
        <w:color w:val="auto"/>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01C7576E"/>
    <w:multiLevelType w:val="multilevel"/>
    <w:tmpl w:val="01C7576E"/>
    <w:lvl w:ilvl="0" w:tentative="0">
      <w:start w:val="1"/>
      <w:numFmt w:val="decimal"/>
      <w:suff w:val="space"/>
      <w:lvlText w:val="%1、 "/>
      <w:lvlJc w:val="left"/>
      <w:pPr>
        <w:ind w:left="425" w:hanging="425"/>
      </w:pPr>
      <w:rPr>
        <w:rFonts w:hint="eastAsia" w:ascii="宋体" w:hAnsi="宋体" w:eastAsia="宋体"/>
        <w:b/>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02510CCF"/>
    <w:multiLevelType w:val="multilevel"/>
    <w:tmpl w:val="02510CCF"/>
    <w:lvl w:ilvl="0" w:tentative="0">
      <w:start w:val="1"/>
      <w:numFmt w:val="decimalEnclosedCircle"/>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
    <w:nsid w:val="02CC0D08"/>
    <w:multiLevelType w:val="multilevel"/>
    <w:tmpl w:val="02CC0D08"/>
    <w:lvl w:ilvl="0" w:tentative="0">
      <w:start w:val="1"/>
      <w:numFmt w:val="decimal"/>
      <w:lvlText w:val="(%1)"/>
      <w:lvlJc w:val="left"/>
      <w:pPr>
        <w:ind w:left="440" w:hanging="440"/>
      </w:pPr>
      <w:rPr>
        <w:rFonts w:hint="eastAsia" w:eastAsia="宋体" w:asciiTheme="majorEastAsia" w:hAnsiTheme="maj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04573254"/>
    <w:multiLevelType w:val="multilevel"/>
    <w:tmpl w:val="04573254"/>
    <w:lvl w:ilvl="0" w:tentative="0">
      <w:start w:val="1"/>
      <w:numFmt w:val="decimal"/>
      <w:lvlText w:val="%1、"/>
      <w:lvlJc w:val="left"/>
      <w:pPr>
        <w:ind w:left="360" w:hanging="36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5">
    <w:nsid w:val="05BF2AD3"/>
    <w:multiLevelType w:val="multilevel"/>
    <w:tmpl w:val="05BF2AD3"/>
    <w:lvl w:ilvl="0" w:tentative="0">
      <w:start w:val="1"/>
      <w:numFmt w:val="decimal"/>
      <w:lvlText w:val="(%1)"/>
      <w:lvlJc w:val="left"/>
      <w:pPr>
        <w:ind w:left="360" w:hanging="360"/>
      </w:pPr>
      <w:rPr>
        <w:rFonts w:hint="eastAsia" w:eastAsia="宋体" w:asciiTheme="majorEastAsia" w:hAnsiTheme="maj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918050B"/>
    <w:multiLevelType w:val="multilevel"/>
    <w:tmpl w:val="0918050B"/>
    <w:lvl w:ilvl="0" w:tentative="0">
      <w:start w:val="1"/>
      <w:numFmt w:val="decimal"/>
      <w:lvlText w:val="(%1)"/>
      <w:lvlJc w:val="left"/>
      <w:pPr>
        <w:ind w:left="420" w:hanging="420"/>
      </w:pPr>
      <w:rPr>
        <w:rFonts w:hint="eastAsia" w:eastAsia="宋体" w:asciiTheme="minorEastAsia" w:hAnsiTheme="minorEastAsia"/>
        <w:color w:val="auto"/>
      </w:rPr>
    </w:lvl>
    <w:lvl w:ilvl="1" w:tentative="0">
      <w:start w:val="1"/>
      <w:numFmt w:val="japaneseCounting"/>
      <w:lvlText w:val="%2、"/>
      <w:lvlJc w:val="left"/>
      <w:pPr>
        <w:ind w:left="840" w:hanging="420"/>
      </w:pPr>
      <w:rPr>
        <w:rFonts w:hint="default"/>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098731CB"/>
    <w:multiLevelType w:val="multilevel"/>
    <w:tmpl w:val="098731CB"/>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DC620A0"/>
    <w:multiLevelType w:val="multilevel"/>
    <w:tmpl w:val="0DC620A0"/>
    <w:lvl w:ilvl="0" w:tentative="0">
      <w:start w:val="1"/>
      <w:numFmt w:val="decimal"/>
      <w:lvlText w:val="(%1)"/>
      <w:lvlJc w:val="left"/>
      <w:pPr>
        <w:ind w:left="440" w:hanging="440"/>
      </w:pPr>
      <w:rPr>
        <w:rFonts w:hint="eastAsia" w:eastAsia="宋体" w:asciiTheme="minorEastAsia" w:hAnsiTheme="min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0DD43CBD"/>
    <w:multiLevelType w:val="multilevel"/>
    <w:tmpl w:val="0DD43CBD"/>
    <w:lvl w:ilvl="0" w:tentative="0">
      <w:start w:val="1"/>
      <w:numFmt w:val="decimal"/>
      <w:lvlText w:val="(%1)"/>
      <w:lvlJc w:val="left"/>
      <w:pPr>
        <w:ind w:left="420" w:hanging="420"/>
      </w:pPr>
      <w:rPr>
        <w:rFonts w:hint="eastAsia" w:eastAsia="宋体" w:asciiTheme="majorEastAsia" w:hAnsiTheme="majorEastAsia"/>
        <w:color w:val="auto"/>
      </w:rPr>
    </w:lvl>
    <w:lvl w:ilvl="1" w:tentative="0">
      <w:start w:val="1"/>
      <w:numFmt w:val="japaneseCounting"/>
      <w:lvlText w:val="%2、"/>
      <w:lvlJc w:val="left"/>
      <w:pPr>
        <w:ind w:left="840" w:hanging="420"/>
      </w:pPr>
      <w:rPr>
        <w:rFonts w:hint="default"/>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0E1F5ED2"/>
    <w:multiLevelType w:val="multilevel"/>
    <w:tmpl w:val="0E1F5ED2"/>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0EE939DD"/>
    <w:multiLevelType w:val="multilevel"/>
    <w:tmpl w:val="0EE939DD"/>
    <w:lvl w:ilvl="0" w:tentative="0">
      <w:start w:val="1"/>
      <w:numFmt w:val="decimal"/>
      <w:lvlText w:val="%1、"/>
      <w:lvlJc w:val="left"/>
      <w:pPr>
        <w:ind w:left="420" w:hanging="420"/>
      </w:pPr>
      <w:rPr>
        <w:rFonts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FB258AF"/>
    <w:multiLevelType w:val="multilevel"/>
    <w:tmpl w:val="0FB258AF"/>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eastAsia="宋体" w:asciiTheme="majorEastAsia" w:hAnsiTheme="major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3">
    <w:nsid w:val="104977C1"/>
    <w:multiLevelType w:val="multilevel"/>
    <w:tmpl w:val="104977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10A00340"/>
    <w:multiLevelType w:val="multilevel"/>
    <w:tmpl w:val="10A00340"/>
    <w:lvl w:ilvl="0" w:tentative="0">
      <w:start w:val="1"/>
      <w:numFmt w:val="decimal"/>
      <w:lvlText w:val="(%1)"/>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2696DF7"/>
    <w:multiLevelType w:val="multilevel"/>
    <w:tmpl w:val="12696DF7"/>
    <w:lvl w:ilvl="0" w:tentative="0">
      <w:start w:val="1"/>
      <w:numFmt w:val="chineseCountingThousand"/>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2EC0EF1"/>
    <w:multiLevelType w:val="multilevel"/>
    <w:tmpl w:val="12EC0EF1"/>
    <w:lvl w:ilvl="0" w:tentative="0">
      <w:start w:val="1"/>
      <w:numFmt w:val="decimal"/>
      <w:suff w:val="space"/>
      <w:lvlText w:val="(%1)"/>
      <w:lvlJc w:val="left"/>
      <w:pPr>
        <w:ind w:left="425" w:hanging="425"/>
      </w:pPr>
      <w:rPr>
        <w:rFonts w:hint="eastAsia" w:eastAsia="宋体" w:asciiTheme="majorEastAsia" w:hAnsiTheme="majorEastAsia"/>
      </w:rPr>
    </w:lvl>
    <w:lvl w:ilvl="1" w:tentative="0">
      <w:start w:val="1"/>
      <w:numFmt w:val="decimal"/>
      <w:lvlText w:val="%1.%2."/>
      <w:lvlJc w:val="left"/>
      <w:pPr>
        <w:ind w:left="567" w:hanging="567"/>
      </w:pPr>
      <w:rPr>
        <w:rFonts w:hint="eastAsia"/>
      </w:rPr>
    </w:lvl>
    <w:lvl w:ilvl="2" w:tentative="0">
      <w:start w:val="1"/>
      <w:numFmt w:val="chineseCountingThousand"/>
      <w:lvlText w:val="(%3)"/>
      <w:lvlJc w:val="left"/>
      <w:pPr>
        <w:ind w:left="0" w:firstLine="0"/>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7">
    <w:nsid w:val="146A4D1A"/>
    <w:multiLevelType w:val="multilevel"/>
    <w:tmpl w:val="146A4D1A"/>
    <w:lvl w:ilvl="0" w:tentative="0">
      <w:start w:val="1"/>
      <w:numFmt w:val="upperLetter"/>
      <w:lvlText w:val="%1、"/>
      <w:lvlJc w:val="left"/>
      <w:pPr>
        <w:ind w:left="792" w:hanging="372"/>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8">
    <w:nsid w:val="151215BB"/>
    <w:multiLevelType w:val="multilevel"/>
    <w:tmpl w:val="151215BB"/>
    <w:lvl w:ilvl="0" w:tentative="0">
      <w:start w:val="1"/>
      <w:numFmt w:val="decimal"/>
      <w:suff w:val="space"/>
      <w:lvlText w:val="(%1)"/>
      <w:lvlJc w:val="left"/>
      <w:pPr>
        <w:ind w:left="435" w:hanging="435"/>
      </w:pPr>
      <w:rPr>
        <w:rFonts w:hint="eastAsia" w:eastAsia="宋体" w:asciiTheme="majorEastAsia" w:hAnsiTheme="maj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15621257"/>
    <w:multiLevelType w:val="multilevel"/>
    <w:tmpl w:val="15621257"/>
    <w:lvl w:ilvl="0" w:tentative="0">
      <w:start w:val="1"/>
      <w:numFmt w:val="decimal"/>
      <w:lvlText w:val="%1."/>
      <w:lvlJc w:val="left"/>
      <w:pPr>
        <w:ind w:left="425" w:hanging="425"/>
      </w:pPr>
    </w:lvl>
    <w:lvl w:ilvl="1" w:tentative="0">
      <w:start w:val="1"/>
      <w:numFmt w:val="chineseCountingThousand"/>
      <w:lvlText w:val="(%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0">
    <w:nsid w:val="169A565E"/>
    <w:multiLevelType w:val="multilevel"/>
    <w:tmpl w:val="169A565E"/>
    <w:lvl w:ilvl="0" w:tentative="0">
      <w:start w:val="1"/>
      <w:numFmt w:val="decimal"/>
      <w:lvlText w:val="%1、"/>
      <w:lvlJc w:val="left"/>
      <w:pPr>
        <w:ind w:left="420" w:hanging="420"/>
      </w:pPr>
      <w:rPr>
        <w:rFonts w:hint="eastAsia" w:eastAsia="宋体" w:asciiTheme="majorEastAsia" w:hAnsiTheme="majorEastAsia"/>
        <w:b/>
      </w:rPr>
    </w:lvl>
    <w:lvl w:ilvl="1" w:tentative="0">
      <w:start w:val="1"/>
      <w:numFmt w:val="decimal"/>
      <w:suff w:val="nothing"/>
      <w:lvlText w:val="%2、"/>
      <w:lvlJc w:val="left"/>
      <w:pPr>
        <w:ind w:left="840" w:hanging="420"/>
      </w:pPr>
      <w:rPr>
        <w:rFonts w:hint="eastAsia" w:asciiTheme="minorEastAsia" w:hAnsiTheme="minorEastAsia" w:eastAsiaTheme="minorEastAsia"/>
        <w:b/>
      </w:rPr>
    </w:lvl>
    <w:lvl w:ilvl="2" w:tentative="0">
      <w:start w:val="1"/>
      <w:numFmt w:val="decimal"/>
      <w:lvlText w:val="%3."/>
      <w:lvlJc w:val="left"/>
      <w:pPr>
        <w:ind w:left="1260" w:hanging="420"/>
      </w:pPr>
      <w:rPr>
        <w:rFonts w:hint="eastAsia"/>
      </w:rPr>
    </w:lvl>
    <w:lvl w:ilvl="3" w:tentative="0">
      <w:start w:val="1"/>
      <w:numFmt w:val="decimal"/>
      <w:lvlText w:val="(%4)"/>
      <w:lvlJc w:val="left"/>
      <w:pPr>
        <w:ind w:left="1620" w:hanging="360"/>
      </w:pPr>
      <w:rPr>
        <w:rFonts w:hint="default"/>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1">
    <w:nsid w:val="185F3408"/>
    <w:multiLevelType w:val="multilevel"/>
    <w:tmpl w:val="185F3408"/>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eastAsia="宋体" w:asciiTheme="minorEastAsia" w:hAnsiTheme="minor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2">
    <w:nsid w:val="19B61093"/>
    <w:multiLevelType w:val="multilevel"/>
    <w:tmpl w:val="19B61093"/>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1C0A5E4B"/>
    <w:multiLevelType w:val="multilevel"/>
    <w:tmpl w:val="1C0A5E4B"/>
    <w:lvl w:ilvl="0" w:tentative="0">
      <w:start w:val="1"/>
      <w:numFmt w:val="decimal"/>
      <w:lvlText w:val="(%1)"/>
      <w:lvlJc w:val="left"/>
      <w:pPr>
        <w:ind w:left="440" w:hanging="440"/>
      </w:pPr>
      <w:rPr>
        <w:rFonts w:hint="eastAsia" w:eastAsia="宋体" w:asciiTheme="majorEastAsia" w:hAnsiTheme="maj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4">
    <w:nsid w:val="1C3E2F7D"/>
    <w:multiLevelType w:val="multilevel"/>
    <w:tmpl w:val="1C3E2F7D"/>
    <w:lvl w:ilvl="0" w:tentative="0">
      <w:start w:val="1"/>
      <w:numFmt w:val="decimal"/>
      <w:lvlText w:val="(%1)"/>
      <w:lvlJc w:val="left"/>
      <w:pPr>
        <w:ind w:left="440" w:hanging="440"/>
      </w:pPr>
      <w:rPr>
        <w:rFonts w:hint="eastAsia" w:eastAsia="宋体" w:asciiTheme="minorEastAsia" w:hAnsiTheme="min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5">
    <w:nsid w:val="1D11584D"/>
    <w:multiLevelType w:val="multilevel"/>
    <w:tmpl w:val="1D11584D"/>
    <w:lvl w:ilvl="0" w:tentative="0">
      <w:start w:val="1"/>
      <w:numFmt w:val="decimal"/>
      <w:lvlText w:val="%1、"/>
      <w:lvlJc w:val="left"/>
      <w:pPr>
        <w:ind w:left="425" w:hanging="425"/>
      </w:pPr>
      <w:rPr>
        <w:rFonts w:hint="eastAsia" w:eastAsia="宋体" w:asciiTheme="majorEastAsia" w:hAnsiTheme="majorEastAsia"/>
        <w:b/>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6">
    <w:nsid w:val="1E235F8B"/>
    <w:multiLevelType w:val="multilevel"/>
    <w:tmpl w:val="1E235F8B"/>
    <w:lvl w:ilvl="0" w:tentative="0">
      <w:start w:val="1"/>
      <w:numFmt w:val="chineseCountingThousand"/>
      <w:lvlText w:val="第%1节"/>
      <w:lvlJc w:val="left"/>
      <w:pPr>
        <w:ind w:left="425" w:hanging="425"/>
      </w:pPr>
      <w:rPr>
        <w:rFonts w:hint="eastAsia"/>
        <w:color w:val="auto"/>
        <w:sz w:val="28"/>
        <w:szCs w:val="28"/>
        <w:u w:val="none"/>
        <w:lang w:val="en-US"/>
      </w:rPr>
    </w:lvl>
    <w:lvl w:ilvl="1" w:tentative="0">
      <w:start w:val="1"/>
      <w:numFmt w:val="chineseCountingThousand"/>
      <w:lvlText w:val="%2、"/>
      <w:lvlJc w:val="left"/>
      <w:pPr>
        <w:ind w:left="567" w:hanging="567"/>
      </w:pPr>
      <w:rPr>
        <w:rFonts w:hint="eastAsia"/>
        <w:color w:val="auto"/>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7">
    <w:nsid w:val="1E51385E"/>
    <w:multiLevelType w:val="multilevel"/>
    <w:tmpl w:val="1E51385E"/>
    <w:lvl w:ilvl="0" w:tentative="0">
      <w:start w:val="1"/>
      <w:numFmt w:val="decimal"/>
      <w:lvlText w:val="(%1)"/>
      <w:lvlJc w:val="left"/>
      <w:pPr>
        <w:ind w:left="440" w:hanging="440"/>
      </w:pPr>
      <w:rPr>
        <w:rFonts w:hint="eastAsia" w:eastAsia="宋体" w:asciiTheme="minorEastAsia" w:hAnsiTheme="min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8">
    <w:nsid w:val="1F7158DD"/>
    <w:multiLevelType w:val="multilevel"/>
    <w:tmpl w:val="1F7158DD"/>
    <w:lvl w:ilvl="0" w:tentative="0">
      <w:start w:val="1"/>
      <w:numFmt w:val="decimal"/>
      <w:lvlText w:val="(%1)"/>
      <w:lvlJc w:val="left"/>
      <w:pPr>
        <w:ind w:left="704"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1F9677B9"/>
    <w:multiLevelType w:val="multilevel"/>
    <w:tmpl w:val="1F9677B9"/>
    <w:lvl w:ilvl="0" w:tentative="0">
      <w:start w:val="1"/>
      <w:numFmt w:val="decimal"/>
      <w:lvlText w:val="(%1)."/>
      <w:lvlJc w:val="left"/>
      <w:pPr>
        <w:ind w:left="425" w:hanging="425"/>
      </w:pPr>
      <w:rPr>
        <w:rFonts w:hint="eastAsia"/>
      </w:rPr>
    </w:lvl>
    <w:lvl w:ilvl="1" w:tentative="0">
      <w:start w:val="1"/>
      <w:numFmt w:val="chineseCountingThousand"/>
      <w:lvlText w:val="(%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4)"/>
      <w:lvlJc w:val="left"/>
      <w:pPr>
        <w:ind w:left="4112" w:hanging="851"/>
      </w:pPr>
      <w:rPr>
        <w:rFonts w:hint="eastAsia" w:eastAsia="宋体" w:asciiTheme="minorEastAsia" w:hAnsiTheme="minor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0">
    <w:nsid w:val="1FD019D7"/>
    <w:multiLevelType w:val="multilevel"/>
    <w:tmpl w:val="1FD019D7"/>
    <w:lvl w:ilvl="0" w:tentative="0">
      <w:start w:val="1"/>
      <w:numFmt w:val="decimal"/>
      <w:lvlText w:val="%1."/>
      <w:lvlJc w:val="left"/>
      <w:pPr>
        <w:ind w:left="425" w:hanging="425"/>
      </w:pPr>
    </w:lvl>
    <w:lvl w:ilvl="1" w:tentative="0">
      <w:start w:val="1"/>
      <w:numFmt w:val="chineseCountingThousand"/>
      <w:lvlText w:val="(%2)"/>
      <w:lvlJc w:val="left"/>
      <w:pPr>
        <w:ind w:left="567" w:hanging="567"/>
      </w:pPr>
      <w:rPr>
        <w:rFonts w:ascii="宋体" w:hAnsi="宋体" w:eastAsia="宋体"/>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1">
    <w:nsid w:val="204F3B0A"/>
    <w:multiLevelType w:val="multilevel"/>
    <w:tmpl w:val="204F3B0A"/>
    <w:lvl w:ilvl="0" w:tentative="0">
      <w:start w:val="1"/>
      <w:numFmt w:val="chineseCountingThousand"/>
      <w:lvlText w:val="(%1)"/>
      <w:lvlJc w:val="left"/>
      <w:pPr>
        <w:ind w:left="0" w:firstLine="0"/>
      </w:pPr>
      <w:rPr>
        <w:rFonts w:hint="default"/>
      </w:rPr>
    </w:lvl>
    <w:lvl w:ilvl="1" w:tentative="0">
      <w:start w:val="1"/>
      <w:numFmt w:val="chineseCountingThousand"/>
      <w:suff w:val="space"/>
      <w:lvlText w:val="(%2)"/>
      <w:lvlJc w:val="left"/>
      <w:pPr>
        <w:ind w:left="0" w:firstLine="0"/>
      </w:pPr>
      <w:rPr>
        <w:rFonts w:hint="eastAsia"/>
      </w:rPr>
    </w:lvl>
    <w:lvl w:ilvl="2" w:tentative="0">
      <w:start w:val="1"/>
      <w:numFmt w:val="chineseCountingThousand"/>
      <w:suff w:val="space"/>
      <w:lvlText w:val="(%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2">
    <w:nsid w:val="2121200C"/>
    <w:multiLevelType w:val="multilevel"/>
    <w:tmpl w:val="2121200C"/>
    <w:lvl w:ilvl="0" w:tentative="0">
      <w:start w:val="1"/>
      <w:numFmt w:val="decimal"/>
      <w:lvlText w:val="(%1)"/>
      <w:lvlJc w:val="left"/>
      <w:pPr>
        <w:ind w:left="425" w:hanging="425"/>
      </w:pPr>
      <w:rPr>
        <w:rFonts w:hint="eastAsia" w:eastAsia="宋体" w:asciiTheme="minorEastAsia" w:hAnsiTheme="minor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3">
    <w:nsid w:val="21516057"/>
    <w:multiLevelType w:val="multilevel"/>
    <w:tmpl w:val="21516057"/>
    <w:lvl w:ilvl="0" w:tentative="0">
      <w:start w:val="1"/>
      <w:numFmt w:val="decimal"/>
      <w:lvlText w:val="(%1)"/>
      <w:lvlJc w:val="left"/>
      <w:pPr>
        <w:ind w:left="425" w:hanging="425"/>
      </w:pPr>
      <w:rPr>
        <w:rFonts w:hint="eastAsia" w:ascii="宋体" w:hAnsi="宋体" w:eastAsia="宋体"/>
        <w:b/>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4">
    <w:nsid w:val="21F9086D"/>
    <w:multiLevelType w:val="multilevel"/>
    <w:tmpl w:val="21F9086D"/>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chineseCountingThousand"/>
      <w:suff w:val="space"/>
      <w:lvlText w:val="(%3)"/>
      <w:lvlJc w:val="left"/>
      <w:pPr>
        <w:ind w:left="0" w:firstLine="0"/>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5">
    <w:nsid w:val="27C60843"/>
    <w:multiLevelType w:val="multilevel"/>
    <w:tmpl w:val="27C60843"/>
    <w:lvl w:ilvl="0" w:tentative="0">
      <w:start w:val="5"/>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6">
    <w:nsid w:val="27CF7604"/>
    <w:multiLevelType w:val="multilevel"/>
    <w:tmpl w:val="27CF7604"/>
    <w:lvl w:ilvl="0" w:tentative="0">
      <w:start w:val="1"/>
      <w:numFmt w:val="decimalEnclosedCircle"/>
      <w:lvlText w:val="%1"/>
      <w:lvlJc w:val="left"/>
      <w:pPr>
        <w:ind w:left="780" w:hanging="360"/>
      </w:pPr>
      <w:rPr>
        <w:rFonts w:hint="default" w:ascii="BatangChe" w:hAnsi="BatangChe" w:eastAsia="BatangChe"/>
      </w:rPr>
    </w:lvl>
    <w:lvl w:ilvl="1" w:tentative="0">
      <w:start w:val="1"/>
      <w:numFmt w:val="decimal"/>
      <w:lvlText w:val="（%2）"/>
      <w:lvlJc w:val="left"/>
      <w:pPr>
        <w:ind w:left="1580" w:hanging="720"/>
      </w:pPr>
      <w:rPr>
        <w:rFonts w:hint="default"/>
      </w:r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7">
    <w:nsid w:val="2AB9492A"/>
    <w:multiLevelType w:val="multilevel"/>
    <w:tmpl w:val="2AB9492A"/>
    <w:lvl w:ilvl="0" w:tentative="0">
      <w:start w:val="1"/>
      <w:numFmt w:val="decimal"/>
      <w:lvlText w:val="%1."/>
      <w:lvlJc w:val="left"/>
      <w:pPr>
        <w:ind w:left="425" w:hanging="425"/>
      </w:pPr>
    </w:lvl>
    <w:lvl w:ilvl="1" w:tentative="0">
      <w:start w:val="1"/>
      <w:numFmt w:val="chineseCountingThousand"/>
      <w:lvlText w:val="(%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8">
    <w:nsid w:val="2ABA5091"/>
    <w:multiLevelType w:val="multilevel"/>
    <w:tmpl w:val="2ABA5091"/>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2AF651E5"/>
    <w:multiLevelType w:val="multilevel"/>
    <w:tmpl w:val="2AF651E5"/>
    <w:lvl w:ilvl="0" w:tentative="0">
      <w:start w:val="1"/>
      <w:numFmt w:val="decimal"/>
      <w:suff w:val="space"/>
      <w:lvlText w:val="(%1)"/>
      <w:lvlJc w:val="left"/>
      <w:pPr>
        <w:ind w:left="420" w:hanging="420"/>
      </w:pPr>
      <w:rPr>
        <w:rFonts w:hint="eastAsia" w:ascii="宋体" w:hAnsi="宋体" w:eastAsia="宋体"/>
        <w:b/>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2B081EE9"/>
    <w:multiLevelType w:val="multilevel"/>
    <w:tmpl w:val="2B081EE9"/>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1">
    <w:nsid w:val="2C6C7566"/>
    <w:multiLevelType w:val="multilevel"/>
    <w:tmpl w:val="2C6C7566"/>
    <w:lvl w:ilvl="0" w:tentative="0">
      <w:start w:val="1"/>
      <w:numFmt w:val="decimal"/>
      <w:lvlText w:val="%1、"/>
      <w:lvlJc w:val="left"/>
      <w:pPr>
        <w:ind w:left="440" w:hanging="440"/>
      </w:pPr>
      <w:rPr>
        <w:rFonts w:hint="eastAsia" w:eastAsia="宋体" w:asciiTheme="majorEastAsia" w:hAnsiTheme="maj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2">
    <w:nsid w:val="2C7D045A"/>
    <w:multiLevelType w:val="multilevel"/>
    <w:tmpl w:val="2C7D045A"/>
    <w:lvl w:ilvl="0" w:tentative="0">
      <w:start w:val="1"/>
      <w:numFmt w:val="decimal"/>
      <w:suff w:val="nothing"/>
      <w:lvlText w:val="%1、 "/>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2E2D26A2"/>
    <w:multiLevelType w:val="multilevel"/>
    <w:tmpl w:val="2E2D26A2"/>
    <w:lvl w:ilvl="0" w:tentative="0">
      <w:start w:val="1"/>
      <w:numFmt w:val="decimalEnclosedCircle"/>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4">
    <w:nsid w:val="2E827FC5"/>
    <w:multiLevelType w:val="multilevel"/>
    <w:tmpl w:val="2E827FC5"/>
    <w:lvl w:ilvl="0" w:tentative="0">
      <w:start w:val="1"/>
      <w:numFmt w:val="decimal"/>
      <w:suff w:val="space"/>
      <w:lvlText w:val="(%1)"/>
      <w:lvlJc w:val="left"/>
      <w:pPr>
        <w:ind w:left="425" w:hanging="425"/>
      </w:pPr>
      <w:rPr>
        <w:rFonts w:hint="eastAsia" w:ascii="宋体" w:hAnsi="宋体" w:eastAsia="宋体"/>
        <w:b/>
        <w:color w:val="auto"/>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5">
    <w:nsid w:val="2F300F94"/>
    <w:multiLevelType w:val="multilevel"/>
    <w:tmpl w:val="2F300F94"/>
    <w:lvl w:ilvl="0" w:tentative="0">
      <w:start w:val="1"/>
      <w:numFmt w:val="decimal"/>
      <w:lvlText w:val="(%1)."/>
      <w:lvlJc w:val="left"/>
      <w:pPr>
        <w:ind w:left="425" w:hanging="425"/>
      </w:pPr>
      <w:rPr>
        <w:rFonts w:hint="eastAsia"/>
      </w:rPr>
    </w:lvl>
    <w:lvl w:ilvl="1" w:tentative="0">
      <w:start w:val="1"/>
      <w:numFmt w:val="chineseCountingThousand"/>
      <w:lvlText w:val="(%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4)"/>
      <w:lvlJc w:val="left"/>
      <w:pPr>
        <w:ind w:left="4112" w:hanging="851"/>
      </w:pPr>
      <w:rPr>
        <w:rFonts w:hint="eastAsia" w:eastAsia="宋体" w:asciiTheme="minorEastAsia" w:hAnsiTheme="minor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6">
    <w:nsid w:val="30712312"/>
    <w:multiLevelType w:val="multilevel"/>
    <w:tmpl w:val="30712312"/>
    <w:lvl w:ilvl="0" w:tentative="0">
      <w:start w:val="1"/>
      <w:numFmt w:val="decimal"/>
      <w:lvlText w:val="(%1)"/>
      <w:lvlJc w:val="left"/>
      <w:pPr>
        <w:ind w:left="425" w:hanging="425"/>
      </w:pPr>
      <w:rPr>
        <w:rFonts w:hint="eastAsia" w:eastAsia="宋体" w:asciiTheme="minorEastAsia" w:hAnsiTheme="minor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7">
    <w:nsid w:val="333C38BB"/>
    <w:multiLevelType w:val="multilevel"/>
    <w:tmpl w:val="333C38BB"/>
    <w:lvl w:ilvl="0" w:tentative="0">
      <w:start w:val="1"/>
      <w:numFmt w:val="decimal"/>
      <w:lvlText w:val="(%1)"/>
      <w:lvlJc w:val="left"/>
      <w:pPr>
        <w:ind w:left="425" w:hanging="425"/>
      </w:pPr>
      <w:rPr>
        <w:rFonts w:hint="eastAsia" w:eastAsia="宋体" w:asciiTheme="majorEastAsia" w:hAnsiTheme="majorEastAsia"/>
        <w:color w:val="auto"/>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8">
    <w:nsid w:val="33A333DA"/>
    <w:multiLevelType w:val="multilevel"/>
    <w:tmpl w:val="33A333DA"/>
    <w:lvl w:ilvl="0" w:tentative="0">
      <w:start w:val="3"/>
      <w:numFmt w:val="decimalEnclosedCircle"/>
      <w:lvlText w:val="%1"/>
      <w:lvlJc w:val="left"/>
      <w:pPr>
        <w:ind w:left="780" w:hanging="360"/>
      </w:pPr>
      <w:rPr>
        <w:rFonts w:hint="default" w:ascii="BatangChe" w:hAnsi="BatangChe" w:eastAsia="BatangChe"/>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9">
    <w:nsid w:val="3438131C"/>
    <w:multiLevelType w:val="multilevel"/>
    <w:tmpl w:val="3438131C"/>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0">
    <w:nsid w:val="352D39A8"/>
    <w:multiLevelType w:val="multilevel"/>
    <w:tmpl w:val="352D39A8"/>
    <w:lvl w:ilvl="0" w:tentative="0">
      <w:start w:val="1"/>
      <w:numFmt w:val="decimal"/>
      <w:lvlText w:val="(%1)"/>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1">
    <w:nsid w:val="356C3B2A"/>
    <w:multiLevelType w:val="multilevel"/>
    <w:tmpl w:val="356C3B2A"/>
    <w:lvl w:ilvl="0" w:tentative="0">
      <w:start w:val="1"/>
      <w:numFmt w:val="decimal"/>
      <w:lvlText w:val="(%1)"/>
      <w:lvlJc w:val="left"/>
      <w:pPr>
        <w:ind w:left="420" w:hanging="420"/>
      </w:pPr>
      <w:rPr>
        <w:rFonts w:hint="default"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36214AF8"/>
    <w:multiLevelType w:val="multilevel"/>
    <w:tmpl w:val="36214AF8"/>
    <w:lvl w:ilvl="0" w:tentative="0">
      <w:start w:val="1"/>
      <w:numFmt w:val="decimal"/>
      <w:lvlText w:val="(%1)"/>
      <w:lvlJc w:val="left"/>
      <w:pPr>
        <w:ind w:left="425" w:hanging="425"/>
      </w:pPr>
      <w:rPr>
        <w:rFonts w:hint="eastAsia" w:eastAsia="宋体" w:asciiTheme="majorEastAsia" w:hAnsiTheme="major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3">
    <w:nsid w:val="37C3610E"/>
    <w:multiLevelType w:val="multilevel"/>
    <w:tmpl w:val="37C3610E"/>
    <w:lvl w:ilvl="0" w:tentative="0">
      <w:start w:val="1"/>
      <w:numFmt w:val="chineseCountingThousand"/>
      <w:suff w:val="space"/>
      <w:lvlText w:val="%1、"/>
      <w:lvlJc w:val="left"/>
      <w:pPr>
        <w:ind w:left="704" w:hanging="420"/>
      </w:pPr>
      <w:rPr>
        <w:rFonts w:hint="default"/>
        <w:b/>
        <w:i w:val="0"/>
        <w:color w:val="auto"/>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4">
    <w:nsid w:val="383D41D3"/>
    <w:multiLevelType w:val="multilevel"/>
    <w:tmpl w:val="383D41D3"/>
    <w:lvl w:ilvl="0" w:tentative="0">
      <w:start w:val="1"/>
      <w:numFmt w:val="decimal"/>
      <w:lvlText w:val="(%1)"/>
      <w:lvlJc w:val="left"/>
      <w:pPr>
        <w:ind w:left="425" w:hanging="425"/>
      </w:pPr>
      <w:rPr>
        <w:rFonts w:hint="eastAsia" w:eastAsia="宋体" w:asciiTheme="minorEastAsia" w:hAnsiTheme="minorEastAsia"/>
      </w:rPr>
    </w:lvl>
    <w:lvl w:ilvl="1" w:tentative="0">
      <w:start w:val="1"/>
      <w:numFmt w:val="chineseCountingThousand"/>
      <w:lvlText w:val="(%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5">
    <w:nsid w:val="3D2B6D0A"/>
    <w:multiLevelType w:val="multilevel"/>
    <w:tmpl w:val="3D2B6D0A"/>
    <w:lvl w:ilvl="0" w:tentative="0">
      <w:start w:val="1"/>
      <w:numFmt w:val="chineseCountingThousand"/>
      <w:lvlText w:val="(%1)"/>
      <w:lvlJc w:val="left"/>
      <w:pPr>
        <w:ind w:left="420" w:hanging="420"/>
      </w:pPr>
      <w:rPr>
        <w:rFonts w:hint="default" w:ascii="宋体" w:hAnsi="宋体" w:eastAsia="宋体"/>
      </w:rPr>
    </w:lvl>
    <w:lvl w:ilvl="1" w:tentative="0">
      <w:start w:val="1"/>
      <w:numFmt w:val="chineseCountingThousand"/>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3D620F38"/>
    <w:multiLevelType w:val="multilevel"/>
    <w:tmpl w:val="3D620F38"/>
    <w:lvl w:ilvl="0" w:tentative="0">
      <w:start w:val="1"/>
      <w:numFmt w:val="decimal"/>
      <w:lvlText w:val="%1、"/>
      <w:lvlJc w:val="left"/>
      <w:pPr>
        <w:ind w:left="420" w:hanging="420"/>
      </w:pPr>
      <w:rPr>
        <w:rFonts w:hint="eastAsia" w:ascii="宋体" w:hAnsi="宋体" w:eastAsia="宋体"/>
      </w:rPr>
    </w:lvl>
    <w:lvl w:ilvl="1" w:tentative="0">
      <w:start w:val="1"/>
      <w:numFmt w:val="decimal"/>
      <w:lvlText w:val="%2、"/>
      <w:lvlJc w:val="left"/>
      <w:pPr>
        <w:ind w:left="840" w:hanging="420"/>
      </w:pPr>
      <w:rPr>
        <w:rFonts w:hint="eastAsia"/>
      </w:rPr>
    </w:lvl>
    <w:lvl w:ilvl="2" w:tentative="0">
      <w:start w:val="1"/>
      <w:numFmt w:val="decimal"/>
      <w:lvlText w:val="%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7">
    <w:nsid w:val="3DC039A2"/>
    <w:multiLevelType w:val="multilevel"/>
    <w:tmpl w:val="3DC039A2"/>
    <w:lvl w:ilvl="0" w:tentative="0">
      <w:start w:val="1"/>
      <w:numFmt w:val="decimal"/>
      <w:lvlText w:val="%1、 "/>
      <w:lvlJc w:val="left"/>
      <w:pPr>
        <w:ind w:left="425" w:hanging="425"/>
      </w:pPr>
      <w:rPr>
        <w:rFonts w:hint="eastAsia" w:ascii="宋体" w:hAnsi="宋体" w:eastAsia="宋体"/>
        <w:b/>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8">
    <w:nsid w:val="3EA740FE"/>
    <w:multiLevelType w:val="multilevel"/>
    <w:tmpl w:val="3EA740FE"/>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9">
    <w:nsid w:val="41EC2B85"/>
    <w:multiLevelType w:val="multilevel"/>
    <w:tmpl w:val="41EC2B85"/>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eastAsia="宋体" w:asciiTheme="minorEastAsia" w:hAnsiTheme="minorEastAsia"/>
        <w:color w:val="auto"/>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0">
    <w:nsid w:val="42185A15"/>
    <w:multiLevelType w:val="multilevel"/>
    <w:tmpl w:val="42185A15"/>
    <w:lvl w:ilvl="0" w:tentative="0">
      <w:start w:val="1"/>
      <w:numFmt w:val="decimal"/>
      <w:lvlText w:val="(%1)"/>
      <w:lvlJc w:val="left"/>
      <w:pPr>
        <w:ind w:left="440" w:hanging="440"/>
      </w:pPr>
      <w:rPr>
        <w:rFonts w:hint="eastAsia" w:eastAsia="宋体" w:asciiTheme="minorEastAsia" w:hAnsiTheme="min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1">
    <w:nsid w:val="42F33200"/>
    <w:multiLevelType w:val="multilevel"/>
    <w:tmpl w:val="42F33200"/>
    <w:lvl w:ilvl="0" w:tentative="0">
      <w:start w:val="1"/>
      <w:numFmt w:val="decimal"/>
      <w:lvlText w:val="%1、 "/>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2">
    <w:nsid w:val="44D151ED"/>
    <w:multiLevelType w:val="multilevel"/>
    <w:tmpl w:val="44D151ED"/>
    <w:lvl w:ilvl="0" w:tentative="0">
      <w:start w:val="1"/>
      <w:numFmt w:val="decimal"/>
      <w:suff w:val="nothing"/>
      <w:lvlText w:val="(%1)"/>
      <w:lvlJc w:val="left"/>
      <w:pPr>
        <w:ind w:left="420" w:hanging="420"/>
      </w:pPr>
      <w:rPr>
        <w:rFonts w:hint="eastAsia" w:eastAsia="宋体" w:asciiTheme="majorEastAsia" w:hAnsiTheme="maj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3">
    <w:nsid w:val="45D95701"/>
    <w:multiLevelType w:val="multilevel"/>
    <w:tmpl w:val="45D95701"/>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4">
    <w:nsid w:val="47BD5F2D"/>
    <w:multiLevelType w:val="multilevel"/>
    <w:tmpl w:val="47BD5F2D"/>
    <w:lvl w:ilvl="0" w:tentative="0">
      <w:start w:val="1"/>
      <w:numFmt w:val="decimalEnclosedCircle"/>
      <w:lvlText w:val="%1"/>
      <w:lvlJc w:val="left"/>
      <w:pPr>
        <w:ind w:left="780" w:hanging="360"/>
      </w:pPr>
      <w:rPr>
        <w:rFonts w:hint="default" w:ascii="BatangChe" w:hAnsi="BatangChe" w:eastAsia="BatangChe"/>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65">
    <w:nsid w:val="4A125FEF"/>
    <w:multiLevelType w:val="multilevel"/>
    <w:tmpl w:val="4A125FEF"/>
    <w:lvl w:ilvl="0" w:tentative="0">
      <w:start w:val="1"/>
      <w:numFmt w:val="decimal"/>
      <w:suff w:val="space"/>
      <w:lvlText w:val="%1、 "/>
      <w:lvlJc w:val="left"/>
      <w:pPr>
        <w:ind w:left="420" w:hanging="420"/>
      </w:pPr>
      <w:rPr>
        <w:rFonts w:hint="eastAsia" w:ascii="宋体" w:hAnsi="宋体" w:eastAsia="宋体"/>
        <w:b/>
      </w:rPr>
    </w:lvl>
    <w:lvl w:ilvl="1" w:tentative="0">
      <w:start w:val="1"/>
      <w:numFmt w:val="decimal"/>
      <w:lvlText w:val="%2、"/>
      <w:lvlJc w:val="left"/>
      <w:pPr>
        <w:ind w:left="840" w:hanging="420"/>
      </w:pPr>
      <w:rPr>
        <w:rFonts w:hint="eastAsia"/>
      </w:rPr>
    </w:lvl>
    <w:lvl w:ilvl="2" w:tentative="0">
      <w:start w:val="1"/>
      <w:numFmt w:val="decimal"/>
      <w:lvlText w:val="%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6">
    <w:nsid w:val="4AC23DB8"/>
    <w:multiLevelType w:val="multilevel"/>
    <w:tmpl w:val="4AC23DB8"/>
    <w:lvl w:ilvl="0" w:tentative="0">
      <w:start w:val="1"/>
      <w:numFmt w:val="chineseCountingThousand"/>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7">
    <w:nsid w:val="4AF02474"/>
    <w:multiLevelType w:val="multilevel"/>
    <w:tmpl w:val="4AF02474"/>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567" w:hanging="567"/>
      </w:pPr>
      <w:rPr>
        <w:rFonts w:hint="eastAsia"/>
      </w:rPr>
    </w:lvl>
    <w:lvl w:ilvl="2" w:tentative="0">
      <w:start w:val="1"/>
      <w:numFmt w:val="chineseCountingThousand"/>
      <w:lvlText w:val="(%3)"/>
      <w:lvlJc w:val="left"/>
      <w:pPr>
        <w:ind w:left="0" w:firstLine="0"/>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8">
    <w:nsid w:val="4B8A1F74"/>
    <w:multiLevelType w:val="multilevel"/>
    <w:tmpl w:val="4B8A1F74"/>
    <w:lvl w:ilvl="0" w:tentative="0">
      <w:start w:val="1"/>
      <w:numFmt w:val="decimal"/>
      <w:lvlText w:val="%1、"/>
      <w:lvlJc w:val="left"/>
      <w:pPr>
        <w:ind w:left="0" w:firstLine="0"/>
      </w:pPr>
      <w:rPr>
        <w:rFonts w:hint="default"/>
      </w:rPr>
    </w:lvl>
    <w:lvl w:ilvl="1" w:tentative="0">
      <w:start w:val="1"/>
      <w:numFmt w:val="chineseCountingThousand"/>
      <w:lvlText w:val="(%2)"/>
      <w:lvlJc w:val="left"/>
      <w:pPr>
        <w:ind w:left="0" w:firstLine="0"/>
      </w:pPr>
      <w:rPr>
        <w:rFonts w:hint="eastAsia"/>
      </w:rPr>
    </w:lvl>
    <w:lvl w:ilvl="2" w:tentative="0">
      <w:start w:val="1"/>
      <w:numFmt w:val="decimal"/>
      <w:lvlText w:val="%3、"/>
      <w:lvlJc w:val="left"/>
      <w:pPr>
        <w:ind w:left="0" w:firstLine="0"/>
      </w:pPr>
      <w:rPr>
        <w:rFonts w:hint="eastAsia" w:ascii="宋体" w:hAnsi="宋体" w:eastAsia="宋体"/>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9">
    <w:nsid w:val="4B9423DA"/>
    <w:multiLevelType w:val="multilevel"/>
    <w:tmpl w:val="4B9423DA"/>
    <w:lvl w:ilvl="0" w:tentative="0">
      <w:start w:val="1"/>
      <w:numFmt w:val="decimal"/>
      <w:lvlText w:val="%1、"/>
      <w:lvlJc w:val="left"/>
      <w:pPr>
        <w:ind w:left="420" w:hanging="420"/>
      </w:pPr>
      <w:rPr>
        <w:rFonts w:hint="eastAsia" w:eastAsia="宋体" w:asciiTheme="majorEastAsia" w:hAnsiTheme="maj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0">
    <w:nsid w:val="4DBF5B67"/>
    <w:multiLevelType w:val="multilevel"/>
    <w:tmpl w:val="4DBF5B67"/>
    <w:lvl w:ilvl="0" w:tentative="0">
      <w:start w:val="1"/>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71">
    <w:nsid w:val="4EAF4C3A"/>
    <w:multiLevelType w:val="multilevel"/>
    <w:tmpl w:val="4EAF4C3A"/>
    <w:lvl w:ilvl="0" w:tentative="0">
      <w:start w:val="1"/>
      <w:numFmt w:val="decimal"/>
      <w:lvlText w:val="(%1)"/>
      <w:lvlJc w:val="left"/>
      <w:pPr>
        <w:ind w:left="425" w:hanging="425"/>
      </w:pPr>
      <w:rPr>
        <w:rFonts w:hint="eastAsia" w:eastAsia="宋体" w:asciiTheme="majorEastAsia" w:hAnsiTheme="major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2">
    <w:nsid w:val="511727FE"/>
    <w:multiLevelType w:val="multilevel"/>
    <w:tmpl w:val="511727FE"/>
    <w:lvl w:ilvl="0" w:tentative="0">
      <w:start w:val="1"/>
      <w:numFmt w:val="decimal"/>
      <w:lvlText w:val="(%1)."/>
      <w:lvlJc w:val="left"/>
      <w:pPr>
        <w:ind w:left="0" w:firstLine="0"/>
      </w:pPr>
      <w:rPr>
        <w:rFonts w:hint="default"/>
      </w:rPr>
    </w:lvl>
    <w:lvl w:ilvl="1" w:tentative="0">
      <w:start w:val="1"/>
      <w:numFmt w:val="chineseCountingThousand"/>
      <w:lvlText w:val="(%2)"/>
      <w:lvlJc w:val="left"/>
      <w:pPr>
        <w:ind w:left="0" w:firstLine="0"/>
      </w:pPr>
      <w:rPr>
        <w:rFonts w:hint="eastAsia"/>
      </w:rPr>
    </w:lvl>
    <w:lvl w:ilvl="2" w:tentative="0">
      <w:start w:val="1"/>
      <w:numFmt w:val="chineseCountingThousand"/>
      <w:lvlText w:val="(%3)"/>
      <w:lvlJc w:val="left"/>
      <w:pPr>
        <w:ind w:left="0" w:firstLine="0"/>
      </w:pPr>
      <w:rPr>
        <w:rFonts w:hint="eastAsia"/>
      </w:rPr>
    </w:lvl>
    <w:lvl w:ilvl="3" w:tentative="0">
      <w:start w:val="1"/>
      <w:numFmt w:val="decimal"/>
      <w:suff w:val="space"/>
      <w:lvlText w:val="(%4)"/>
      <w:lvlJc w:val="left"/>
      <w:pPr>
        <w:ind w:left="0" w:firstLine="0"/>
      </w:pPr>
      <w:rPr>
        <w:rFonts w:hint="eastAsia" w:ascii="宋体" w:hAnsi="宋体" w:eastAsia="宋体"/>
        <w:b/>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73">
    <w:nsid w:val="51265863"/>
    <w:multiLevelType w:val="multilevel"/>
    <w:tmpl w:val="51265863"/>
    <w:lvl w:ilvl="0" w:tentative="0">
      <w:start w:val="1"/>
      <w:numFmt w:val="chineseCountingThousand"/>
      <w:suff w:val="space"/>
      <w:lvlText w:val="(%1)"/>
      <w:lvlJc w:val="left"/>
      <w:pPr>
        <w:ind w:left="420" w:hanging="420"/>
      </w:pPr>
      <w:rPr>
        <w:rFonts w:hint="eastAsia"/>
      </w:rPr>
    </w:lvl>
    <w:lvl w:ilvl="1" w:tentative="0">
      <w:start w:val="1"/>
      <w:numFmt w:val="decimal"/>
      <w:lvlText w:val="(%2)"/>
      <w:lvlJc w:val="left"/>
      <w:pPr>
        <w:ind w:left="840" w:hanging="420"/>
      </w:pPr>
      <w:rPr>
        <w:rFonts w:hint="eastAsia" w:ascii="宋体" w:hAnsi="宋体" w:eastAsia="宋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4">
    <w:nsid w:val="5141766E"/>
    <w:multiLevelType w:val="multilevel"/>
    <w:tmpl w:val="5141766E"/>
    <w:lvl w:ilvl="0" w:tentative="0">
      <w:start w:val="1"/>
      <w:numFmt w:val="decimal"/>
      <w:lvlText w:val="(%1)"/>
      <w:lvlJc w:val="left"/>
      <w:pPr>
        <w:ind w:left="425" w:hanging="425"/>
      </w:pPr>
      <w:rPr>
        <w:rFonts w:hint="eastAsia" w:eastAsia="宋体" w:asciiTheme="majorEastAsia" w:hAnsiTheme="major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5">
    <w:nsid w:val="53651C1C"/>
    <w:multiLevelType w:val="multilevel"/>
    <w:tmpl w:val="53651C1C"/>
    <w:lvl w:ilvl="0" w:tentative="0">
      <w:start w:val="1"/>
      <w:numFmt w:val="decimal"/>
      <w:lvlText w:val="(%1)"/>
      <w:lvlJc w:val="left"/>
      <w:pPr>
        <w:ind w:left="440" w:hanging="440"/>
      </w:pPr>
      <w:rPr>
        <w:rFonts w:hint="eastAsia" w:eastAsia="宋体" w:asciiTheme="minorEastAsia" w:hAnsiTheme="min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6">
    <w:nsid w:val="542027AB"/>
    <w:multiLevelType w:val="multilevel"/>
    <w:tmpl w:val="542027AB"/>
    <w:lvl w:ilvl="0" w:tentative="0">
      <w:start w:val="1"/>
      <w:numFmt w:val="decimal"/>
      <w:lvlText w:val="%1、"/>
      <w:lvlJc w:val="left"/>
      <w:pPr>
        <w:ind w:left="420" w:hanging="420"/>
      </w:pPr>
      <w:rPr>
        <w:rFonts w:hint="eastAsia" w:ascii="宋体" w:hAnsi="宋体" w:eastAsia="宋体"/>
      </w:rPr>
    </w:lvl>
    <w:lvl w:ilvl="1" w:tentative="0">
      <w:start w:val="1"/>
      <w:numFmt w:val="decimal"/>
      <w:lvlText w:val="%2、"/>
      <w:lvlJc w:val="left"/>
      <w:pPr>
        <w:ind w:left="840" w:hanging="420"/>
      </w:pPr>
      <w:rPr>
        <w:rFonts w:hint="eastAsia"/>
      </w:rPr>
    </w:lvl>
    <w:lvl w:ilvl="2" w:tentative="0">
      <w:start w:val="1"/>
      <w:numFmt w:val="decimal"/>
      <w:lvlText w:val="%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7">
    <w:nsid w:val="573E1F07"/>
    <w:multiLevelType w:val="multilevel"/>
    <w:tmpl w:val="573E1F07"/>
    <w:lvl w:ilvl="0" w:tentative="0">
      <w:start w:val="1"/>
      <w:numFmt w:val="chineseCountingThousand"/>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8">
    <w:nsid w:val="573E2AF3"/>
    <w:multiLevelType w:val="multilevel"/>
    <w:tmpl w:val="573E2AF3"/>
    <w:lvl w:ilvl="0" w:tentative="0">
      <w:start w:val="1"/>
      <w:numFmt w:val="decimal"/>
      <w:lvlText w:val="(%1)"/>
      <w:lvlJc w:val="left"/>
      <w:pPr>
        <w:ind w:left="545" w:hanging="440"/>
      </w:pPr>
      <w:rPr>
        <w:rFonts w:hint="eastAsia" w:eastAsia="宋体" w:asciiTheme="majorEastAsia" w:hAnsiTheme="majorEastAsia"/>
      </w:rPr>
    </w:lvl>
    <w:lvl w:ilvl="1" w:tentative="0">
      <w:start w:val="1"/>
      <w:numFmt w:val="lowerLetter"/>
      <w:lvlText w:val="%2)"/>
      <w:lvlJc w:val="left"/>
      <w:pPr>
        <w:ind w:left="985" w:hanging="440"/>
      </w:pPr>
    </w:lvl>
    <w:lvl w:ilvl="2" w:tentative="0">
      <w:start w:val="1"/>
      <w:numFmt w:val="lowerRoman"/>
      <w:lvlText w:val="%3."/>
      <w:lvlJc w:val="right"/>
      <w:pPr>
        <w:ind w:left="1425" w:hanging="440"/>
      </w:pPr>
    </w:lvl>
    <w:lvl w:ilvl="3" w:tentative="0">
      <w:start w:val="1"/>
      <w:numFmt w:val="decimal"/>
      <w:lvlText w:val="%4."/>
      <w:lvlJc w:val="left"/>
      <w:pPr>
        <w:ind w:left="1865" w:hanging="440"/>
      </w:pPr>
    </w:lvl>
    <w:lvl w:ilvl="4" w:tentative="0">
      <w:start w:val="1"/>
      <w:numFmt w:val="lowerLetter"/>
      <w:lvlText w:val="%5)"/>
      <w:lvlJc w:val="left"/>
      <w:pPr>
        <w:ind w:left="2305" w:hanging="440"/>
      </w:pPr>
    </w:lvl>
    <w:lvl w:ilvl="5" w:tentative="0">
      <w:start w:val="1"/>
      <w:numFmt w:val="lowerRoman"/>
      <w:lvlText w:val="%6."/>
      <w:lvlJc w:val="right"/>
      <w:pPr>
        <w:ind w:left="2745" w:hanging="440"/>
      </w:pPr>
    </w:lvl>
    <w:lvl w:ilvl="6" w:tentative="0">
      <w:start w:val="1"/>
      <w:numFmt w:val="decimal"/>
      <w:lvlText w:val="%7."/>
      <w:lvlJc w:val="left"/>
      <w:pPr>
        <w:ind w:left="3185" w:hanging="440"/>
      </w:pPr>
    </w:lvl>
    <w:lvl w:ilvl="7" w:tentative="0">
      <w:start w:val="1"/>
      <w:numFmt w:val="lowerLetter"/>
      <w:lvlText w:val="%8)"/>
      <w:lvlJc w:val="left"/>
      <w:pPr>
        <w:ind w:left="3625" w:hanging="440"/>
      </w:pPr>
    </w:lvl>
    <w:lvl w:ilvl="8" w:tentative="0">
      <w:start w:val="1"/>
      <w:numFmt w:val="lowerRoman"/>
      <w:lvlText w:val="%9."/>
      <w:lvlJc w:val="right"/>
      <w:pPr>
        <w:ind w:left="4065" w:hanging="440"/>
      </w:pPr>
    </w:lvl>
  </w:abstractNum>
  <w:abstractNum w:abstractNumId="79">
    <w:nsid w:val="57D70C03"/>
    <w:multiLevelType w:val="multilevel"/>
    <w:tmpl w:val="57D70C03"/>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80">
    <w:nsid w:val="58433A16"/>
    <w:multiLevelType w:val="multilevel"/>
    <w:tmpl w:val="58433A16"/>
    <w:lvl w:ilvl="0" w:tentative="0">
      <w:start w:val="1"/>
      <w:numFmt w:val="decimal"/>
      <w:lvlText w:val="(%1)"/>
      <w:lvlJc w:val="left"/>
      <w:pPr>
        <w:ind w:left="425" w:hanging="425"/>
      </w:pPr>
      <w:rPr>
        <w:rFonts w:hint="eastAsia" w:eastAsia="宋体" w:asciiTheme="minorEastAsia" w:hAnsiTheme="minor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81">
    <w:nsid w:val="59862246"/>
    <w:multiLevelType w:val="multilevel"/>
    <w:tmpl w:val="59862246"/>
    <w:lvl w:ilvl="0" w:tentative="0">
      <w:start w:val="1"/>
      <w:numFmt w:val="decimal"/>
      <w:lvlText w:val="%1、"/>
      <w:lvlJc w:val="left"/>
      <w:pPr>
        <w:ind w:left="425" w:hanging="425"/>
      </w:pPr>
      <w:rPr>
        <w:rFonts w:hint="eastAsia" w:ascii="宋体" w:hAnsi="宋体" w:eastAsia="宋体"/>
        <w:b/>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82">
    <w:nsid w:val="59F55FDA"/>
    <w:multiLevelType w:val="multilevel"/>
    <w:tmpl w:val="59F55FDA"/>
    <w:lvl w:ilvl="0" w:tentative="0">
      <w:start w:val="1"/>
      <w:numFmt w:val="decimal"/>
      <w:lvlText w:val="(%1)"/>
      <w:lvlJc w:val="left"/>
      <w:pPr>
        <w:ind w:left="440" w:hanging="440"/>
      </w:pPr>
      <w:rPr>
        <w:rFonts w:hint="eastAsia" w:eastAsia="宋体" w:asciiTheme="minorEastAsia" w:hAnsiTheme="min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3">
    <w:nsid w:val="5C673432"/>
    <w:multiLevelType w:val="multilevel"/>
    <w:tmpl w:val="5C673432"/>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84">
    <w:nsid w:val="5CED316C"/>
    <w:multiLevelType w:val="multilevel"/>
    <w:tmpl w:val="5CED316C"/>
    <w:lvl w:ilvl="0" w:tentative="0">
      <w:start w:val="1"/>
      <w:numFmt w:val="decimal"/>
      <w:suff w:val="space"/>
      <w:lvlText w:val="(%1)"/>
      <w:lvlJc w:val="left"/>
      <w:pPr>
        <w:ind w:left="360" w:hanging="360"/>
      </w:pPr>
      <w:rPr>
        <w:rFonts w:hint="eastAsia" w:eastAsia="宋体" w:asciiTheme="majorEastAsia" w:hAnsiTheme="maj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5">
    <w:nsid w:val="5D7B027D"/>
    <w:multiLevelType w:val="multilevel"/>
    <w:tmpl w:val="5D7B027D"/>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6">
    <w:nsid w:val="5DD2799E"/>
    <w:multiLevelType w:val="multilevel"/>
    <w:tmpl w:val="5DD2799E"/>
    <w:lvl w:ilvl="0" w:tentative="0">
      <w:start w:val="1"/>
      <w:numFmt w:val="decimal"/>
      <w:suff w:val="space"/>
      <w:lvlText w:val="%1、 "/>
      <w:lvlJc w:val="left"/>
      <w:pPr>
        <w:ind w:left="440" w:hanging="440"/>
      </w:pPr>
      <w:rPr>
        <w:rFonts w:hint="eastAsia" w:ascii="宋体" w:hAnsi="宋体" w:eastAsia="宋体"/>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7">
    <w:nsid w:val="5F3B2648"/>
    <w:multiLevelType w:val="multilevel"/>
    <w:tmpl w:val="5F3B2648"/>
    <w:lvl w:ilvl="0" w:tentative="0">
      <w:start w:val="1"/>
      <w:numFmt w:val="decimal"/>
      <w:lvlText w:val="（%1）"/>
      <w:lvlJc w:val="left"/>
      <w:pPr>
        <w:ind w:left="960" w:hanging="54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88">
    <w:nsid w:val="5F405219"/>
    <w:multiLevelType w:val="multilevel"/>
    <w:tmpl w:val="5F405219"/>
    <w:lvl w:ilvl="0" w:tentative="0">
      <w:start w:val="1"/>
      <w:numFmt w:val="decimal"/>
      <w:lvlText w:val="(%1)"/>
      <w:lvlJc w:val="left"/>
      <w:pPr>
        <w:ind w:left="440" w:hanging="440"/>
      </w:pPr>
      <w:rPr>
        <w:rFonts w:hint="eastAsia" w:eastAsia="宋体" w:asciiTheme="majorEastAsia" w:hAnsiTheme="maj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9">
    <w:nsid w:val="60421A59"/>
    <w:multiLevelType w:val="multilevel"/>
    <w:tmpl w:val="60421A59"/>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0">
    <w:nsid w:val="63C25BDC"/>
    <w:multiLevelType w:val="multilevel"/>
    <w:tmpl w:val="63C25BDC"/>
    <w:lvl w:ilvl="0" w:tentative="0">
      <w:start w:val="1"/>
      <w:numFmt w:val="decimal"/>
      <w:lvlText w:val="(%1)"/>
      <w:lvlJc w:val="left"/>
      <w:pPr>
        <w:ind w:left="425" w:hanging="425"/>
      </w:pPr>
      <w:rPr>
        <w:rFonts w:hint="eastAsia" w:ascii="宋体" w:hAnsi="宋体" w:eastAsia="宋体"/>
      </w:rPr>
    </w:lvl>
    <w:lvl w:ilvl="1" w:tentative="0">
      <w:start w:val="1"/>
      <w:numFmt w:val="chineseCountingThousand"/>
      <w:lvlText w:val="(%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91">
    <w:nsid w:val="63C5513C"/>
    <w:multiLevelType w:val="multilevel"/>
    <w:tmpl w:val="63C5513C"/>
    <w:lvl w:ilvl="0" w:tentative="0">
      <w:start w:val="1"/>
      <w:numFmt w:val="decimal"/>
      <w:suff w:val="space"/>
      <w:lvlText w:val="(%1)"/>
      <w:lvlJc w:val="left"/>
      <w:pPr>
        <w:ind w:left="440" w:hanging="440"/>
      </w:pPr>
      <w:rPr>
        <w:rFonts w:hint="eastAsia" w:eastAsia="宋体" w:asciiTheme="majorEastAsia" w:hAnsiTheme="maj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2">
    <w:nsid w:val="6505491D"/>
    <w:multiLevelType w:val="multilevel"/>
    <w:tmpl w:val="6505491D"/>
    <w:lvl w:ilvl="0" w:tentative="0">
      <w:start w:val="1"/>
      <w:numFmt w:val="decimal"/>
      <w:lvlText w:val="(%1)"/>
      <w:lvlJc w:val="left"/>
      <w:pPr>
        <w:ind w:left="425" w:hanging="425"/>
      </w:pPr>
      <w:rPr>
        <w:rFonts w:hint="eastAsia" w:ascii="宋体" w:hAnsi="宋体" w:eastAsia="宋体"/>
        <w:b/>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3">
    <w:nsid w:val="66CA16A7"/>
    <w:multiLevelType w:val="multilevel"/>
    <w:tmpl w:val="66CA16A7"/>
    <w:lvl w:ilvl="0" w:tentative="0">
      <w:start w:val="1"/>
      <w:numFmt w:val="decimal"/>
      <w:lvlText w:val="(%1)"/>
      <w:lvlJc w:val="left"/>
      <w:pPr>
        <w:ind w:left="425" w:hanging="425"/>
      </w:pPr>
      <w:rPr>
        <w:rFonts w:hint="eastAsia" w:eastAsia="宋体" w:asciiTheme="majorEastAsia" w:hAnsiTheme="major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4">
    <w:nsid w:val="67E87A81"/>
    <w:multiLevelType w:val="multilevel"/>
    <w:tmpl w:val="67E87A81"/>
    <w:lvl w:ilvl="0" w:tentative="0">
      <w:start w:val="1"/>
      <w:numFmt w:val="decimal"/>
      <w:lvlText w:val="(%1)"/>
      <w:lvlJc w:val="left"/>
      <w:pPr>
        <w:ind w:left="440" w:hanging="440"/>
      </w:pPr>
      <w:rPr>
        <w:rFonts w:hint="eastAsia" w:eastAsia="宋体" w:asciiTheme="minorEastAsia" w:hAnsiTheme="min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5">
    <w:nsid w:val="694D0F71"/>
    <w:multiLevelType w:val="multilevel"/>
    <w:tmpl w:val="694D0F71"/>
    <w:lvl w:ilvl="0" w:tentative="0">
      <w:start w:val="1"/>
      <w:numFmt w:val="chineseCountingThousand"/>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6">
    <w:nsid w:val="69AC267E"/>
    <w:multiLevelType w:val="multilevel"/>
    <w:tmpl w:val="69AC267E"/>
    <w:lvl w:ilvl="0" w:tentative="0">
      <w:start w:val="1"/>
      <w:numFmt w:val="decimal"/>
      <w:lvlText w:val="(%1)"/>
      <w:lvlJc w:val="left"/>
      <w:pPr>
        <w:ind w:left="440" w:hanging="440"/>
      </w:pPr>
      <w:rPr>
        <w:rFonts w:hint="eastAsia" w:eastAsia="宋体" w:asciiTheme="minorEastAsia" w:hAnsiTheme="min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7">
    <w:nsid w:val="6D7319EB"/>
    <w:multiLevelType w:val="multilevel"/>
    <w:tmpl w:val="6D7319EB"/>
    <w:lvl w:ilvl="0" w:tentative="0">
      <w:start w:val="1"/>
      <w:numFmt w:val="decimal"/>
      <w:lvlText w:val="(%1)"/>
      <w:lvlJc w:val="left"/>
      <w:pPr>
        <w:ind w:left="425" w:hanging="425"/>
      </w:pPr>
      <w:rPr>
        <w:rFonts w:hint="eastAsia" w:eastAsia="宋体" w:asciiTheme="majorEastAsia" w:hAnsiTheme="major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8">
    <w:nsid w:val="6DAA62B1"/>
    <w:multiLevelType w:val="multilevel"/>
    <w:tmpl w:val="6DAA62B1"/>
    <w:lvl w:ilvl="0" w:tentative="0">
      <w:start w:val="1"/>
      <w:numFmt w:val="decimal"/>
      <w:lvlText w:val="(%1)"/>
      <w:lvlJc w:val="left"/>
      <w:pPr>
        <w:ind w:left="440" w:hanging="440"/>
      </w:pPr>
      <w:rPr>
        <w:rFonts w:hint="eastAsia" w:eastAsia="宋体" w:asciiTheme="minorEastAsia" w:hAnsiTheme="min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9">
    <w:nsid w:val="6E225922"/>
    <w:multiLevelType w:val="multilevel"/>
    <w:tmpl w:val="6E225922"/>
    <w:lvl w:ilvl="0" w:tentative="0">
      <w:start w:val="1"/>
      <w:numFmt w:val="decimal"/>
      <w:lvlText w:val="(%1)"/>
      <w:lvlJc w:val="left"/>
      <w:pPr>
        <w:ind w:left="425" w:hanging="425"/>
      </w:pPr>
      <w:rPr>
        <w:rFonts w:hint="eastAsia" w:eastAsia="宋体" w:asciiTheme="minorEastAsia" w:hAnsiTheme="minorEastAsia"/>
      </w:rPr>
    </w:lvl>
    <w:lvl w:ilvl="1" w:tentative="0">
      <w:start w:val="1"/>
      <w:numFmt w:val="chineseCountingThousand"/>
      <w:lvlText w:val="(%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00">
    <w:nsid w:val="6F111C3A"/>
    <w:multiLevelType w:val="multilevel"/>
    <w:tmpl w:val="6F111C3A"/>
    <w:lvl w:ilvl="0" w:tentative="0">
      <w:start w:val="1"/>
      <w:numFmt w:val="decimal"/>
      <w:lvlText w:val="(%1)."/>
      <w:lvlJc w:val="left"/>
      <w:pPr>
        <w:ind w:left="425" w:hanging="425"/>
      </w:pPr>
      <w:rPr>
        <w:rFonts w:hint="eastAsia"/>
      </w:rPr>
    </w:lvl>
    <w:lvl w:ilvl="1" w:tentative="0">
      <w:start w:val="1"/>
      <w:numFmt w:val="chineseCountingThousand"/>
      <w:lvlText w:val="(%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4)"/>
      <w:lvlJc w:val="left"/>
      <w:pPr>
        <w:ind w:left="851" w:hanging="851"/>
      </w:pPr>
      <w:rPr>
        <w:rFonts w:hint="eastAsia" w:eastAsia="宋体" w:asciiTheme="minorEastAsia" w:hAnsiTheme="minor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01">
    <w:nsid w:val="701D5786"/>
    <w:multiLevelType w:val="multilevel"/>
    <w:tmpl w:val="701D5786"/>
    <w:lvl w:ilvl="0" w:tentative="0">
      <w:start w:val="1"/>
      <w:numFmt w:val="decimal"/>
      <w:lvlText w:val="%1、 "/>
      <w:lvlJc w:val="left"/>
      <w:pPr>
        <w:ind w:left="425" w:hanging="425"/>
      </w:pPr>
      <w:rPr>
        <w:rFonts w:hint="eastAsia" w:ascii="宋体" w:hAnsi="宋体" w:eastAsia="宋体"/>
        <w:b/>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02">
    <w:nsid w:val="70E42A22"/>
    <w:multiLevelType w:val="multilevel"/>
    <w:tmpl w:val="70E42A22"/>
    <w:lvl w:ilvl="0" w:tentative="0">
      <w:start w:val="1"/>
      <w:numFmt w:val="decimal"/>
      <w:lvlText w:val="%1."/>
      <w:lvlJc w:val="left"/>
      <w:pPr>
        <w:ind w:left="425" w:hanging="425"/>
      </w:pPr>
    </w:lvl>
    <w:lvl w:ilvl="1" w:tentative="0">
      <w:start w:val="1"/>
      <w:numFmt w:val="chineseCountingThousand"/>
      <w:lvlText w:val="(%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03">
    <w:nsid w:val="714531B9"/>
    <w:multiLevelType w:val="multilevel"/>
    <w:tmpl w:val="714531B9"/>
    <w:lvl w:ilvl="0" w:tentative="0">
      <w:start w:val="1"/>
      <w:numFmt w:val="decimal"/>
      <w:lvlText w:val="(%1)"/>
      <w:lvlJc w:val="left"/>
      <w:pPr>
        <w:ind w:left="440" w:hanging="440"/>
      </w:pPr>
      <w:rPr>
        <w:rFonts w:hint="eastAsia" w:eastAsia="宋体" w:asciiTheme="minorEastAsia" w:hAnsiTheme="min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4">
    <w:nsid w:val="72487AEF"/>
    <w:multiLevelType w:val="multilevel"/>
    <w:tmpl w:val="72487AEF"/>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5">
    <w:nsid w:val="73FB28AC"/>
    <w:multiLevelType w:val="multilevel"/>
    <w:tmpl w:val="73FB28AC"/>
    <w:lvl w:ilvl="0" w:tentative="0">
      <w:start w:val="1"/>
      <w:numFmt w:val="decimal"/>
      <w:lvlText w:val="(%1)."/>
      <w:lvlJc w:val="left"/>
      <w:pPr>
        <w:ind w:left="0" w:firstLine="0"/>
      </w:pPr>
      <w:rPr>
        <w:rFonts w:hint="default"/>
      </w:rPr>
    </w:lvl>
    <w:lvl w:ilvl="1" w:tentative="0">
      <w:start w:val="1"/>
      <w:numFmt w:val="chineseCountingThousand"/>
      <w:lvlText w:val="(%2)"/>
      <w:lvlJc w:val="left"/>
      <w:pPr>
        <w:ind w:left="0" w:firstLine="0"/>
      </w:pPr>
      <w:rPr>
        <w:rFonts w:hint="eastAsia"/>
      </w:rPr>
    </w:lvl>
    <w:lvl w:ilvl="2" w:tentative="0">
      <w:start w:val="1"/>
      <w:numFmt w:val="chineseCountingThousand"/>
      <w:lvlText w:val="(%3)"/>
      <w:lvlJc w:val="left"/>
      <w:pPr>
        <w:ind w:left="0" w:firstLine="0"/>
      </w:pPr>
      <w:rPr>
        <w:rFonts w:hint="eastAsia"/>
      </w:rPr>
    </w:lvl>
    <w:lvl w:ilvl="3" w:tentative="0">
      <w:start w:val="1"/>
      <w:numFmt w:val="decimal"/>
      <w:suff w:val="space"/>
      <w:lvlText w:val="(%4)"/>
      <w:lvlJc w:val="left"/>
      <w:pPr>
        <w:ind w:left="0" w:firstLine="0"/>
      </w:pPr>
      <w:rPr>
        <w:rFonts w:hint="eastAsia" w:ascii="宋体" w:hAnsi="宋体" w:eastAsia="宋体"/>
        <w:b/>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06">
    <w:nsid w:val="74024100"/>
    <w:multiLevelType w:val="multilevel"/>
    <w:tmpl w:val="74024100"/>
    <w:lvl w:ilvl="0" w:tentative="0">
      <w:start w:val="1"/>
      <w:numFmt w:val="decimal"/>
      <w:suff w:val="space"/>
      <w:lvlText w:val="(%1)"/>
      <w:lvlJc w:val="left"/>
      <w:pPr>
        <w:ind w:left="440" w:hanging="440"/>
      </w:pPr>
      <w:rPr>
        <w:rFonts w:hint="eastAsia" w:eastAsia="宋体" w:asciiTheme="minorEastAsia" w:hAnsiTheme="minorEastAsia"/>
        <w:b/>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7">
    <w:nsid w:val="750508FB"/>
    <w:multiLevelType w:val="multilevel"/>
    <w:tmpl w:val="750508FB"/>
    <w:lvl w:ilvl="0" w:tentative="0">
      <w:start w:val="1"/>
      <w:numFmt w:val="decimal"/>
      <w:lvlText w:val="(%1)"/>
      <w:lvlJc w:val="left"/>
      <w:pPr>
        <w:ind w:left="425" w:hanging="425"/>
      </w:pPr>
      <w:rPr>
        <w:rFonts w:hint="eastAsia" w:eastAsia="宋体" w:asciiTheme="minorEastAsia" w:hAnsiTheme="minor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08">
    <w:nsid w:val="75482B44"/>
    <w:multiLevelType w:val="multilevel"/>
    <w:tmpl w:val="75482B44"/>
    <w:lvl w:ilvl="0" w:tentative="0">
      <w:start w:val="1"/>
      <w:numFmt w:val="decimal"/>
      <w:suff w:val="space"/>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9">
    <w:nsid w:val="757424F5"/>
    <w:multiLevelType w:val="multilevel"/>
    <w:tmpl w:val="757424F5"/>
    <w:lvl w:ilvl="0" w:tentative="0">
      <w:start w:val="1"/>
      <w:numFmt w:val="upperLetter"/>
      <w:lvlText w:val="%1、"/>
      <w:lvlJc w:val="left"/>
      <w:pPr>
        <w:ind w:left="792" w:hanging="372"/>
      </w:pPr>
      <w:rPr>
        <w:rFonts w:hint="default" w:ascii="Times New Roman" w:hAnsi="Times New Roman" w:cs="Times New Roman"/>
      </w:rPr>
    </w:lvl>
    <w:lvl w:ilvl="1" w:tentative="0">
      <w:start w:val="1"/>
      <w:numFmt w:val="lowerLetter"/>
      <w:lvlText w:val="%2)"/>
      <w:lvlJc w:val="left"/>
      <w:pPr>
        <w:ind w:left="1300" w:hanging="440"/>
      </w:pPr>
      <w:rPr>
        <w:rFonts w:hint="default" w:ascii="Times New Roman" w:hAnsi="Times New Roman" w:cs="Times New Roman"/>
      </w:rPr>
    </w:lvl>
    <w:lvl w:ilvl="2" w:tentative="0">
      <w:start w:val="1"/>
      <w:numFmt w:val="lowerRoman"/>
      <w:lvlText w:val="%3."/>
      <w:lvlJc w:val="right"/>
      <w:pPr>
        <w:ind w:left="1740" w:hanging="440"/>
      </w:pPr>
      <w:rPr>
        <w:rFonts w:hint="default" w:ascii="Times New Roman" w:hAnsi="Times New Roman" w:cs="Times New Roman"/>
      </w:rPr>
    </w:lvl>
    <w:lvl w:ilvl="3" w:tentative="0">
      <w:start w:val="1"/>
      <w:numFmt w:val="decimal"/>
      <w:lvlText w:val="%4."/>
      <w:lvlJc w:val="left"/>
      <w:pPr>
        <w:ind w:left="2180" w:hanging="440"/>
      </w:pPr>
      <w:rPr>
        <w:rFonts w:hint="default" w:ascii="Times New Roman" w:hAnsi="Times New Roman" w:cs="Times New Roman"/>
      </w:rPr>
    </w:lvl>
    <w:lvl w:ilvl="4" w:tentative="0">
      <w:start w:val="1"/>
      <w:numFmt w:val="lowerLetter"/>
      <w:lvlText w:val="%5)"/>
      <w:lvlJc w:val="left"/>
      <w:pPr>
        <w:ind w:left="2620" w:hanging="440"/>
      </w:pPr>
      <w:rPr>
        <w:rFonts w:hint="default" w:ascii="Times New Roman" w:hAnsi="Times New Roman" w:cs="Times New Roman"/>
      </w:rPr>
    </w:lvl>
    <w:lvl w:ilvl="5" w:tentative="0">
      <w:start w:val="1"/>
      <w:numFmt w:val="lowerRoman"/>
      <w:lvlText w:val="%6."/>
      <w:lvlJc w:val="right"/>
      <w:pPr>
        <w:ind w:left="3060" w:hanging="440"/>
      </w:pPr>
      <w:rPr>
        <w:rFonts w:hint="default" w:ascii="Times New Roman" w:hAnsi="Times New Roman" w:cs="Times New Roman"/>
      </w:rPr>
    </w:lvl>
    <w:lvl w:ilvl="6" w:tentative="0">
      <w:start w:val="1"/>
      <w:numFmt w:val="decimal"/>
      <w:lvlText w:val="%7."/>
      <w:lvlJc w:val="left"/>
      <w:pPr>
        <w:ind w:left="3500" w:hanging="440"/>
      </w:pPr>
      <w:rPr>
        <w:rFonts w:hint="default" w:ascii="Times New Roman" w:hAnsi="Times New Roman" w:cs="Times New Roman"/>
      </w:rPr>
    </w:lvl>
    <w:lvl w:ilvl="7" w:tentative="0">
      <w:start w:val="1"/>
      <w:numFmt w:val="lowerLetter"/>
      <w:lvlText w:val="%8)"/>
      <w:lvlJc w:val="left"/>
      <w:pPr>
        <w:ind w:left="3940" w:hanging="440"/>
      </w:pPr>
      <w:rPr>
        <w:rFonts w:hint="default" w:ascii="Times New Roman" w:hAnsi="Times New Roman" w:cs="Times New Roman"/>
      </w:rPr>
    </w:lvl>
    <w:lvl w:ilvl="8" w:tentative="0">
      <w:start w:val="1"/>
      <w:numFmt w:val="lowerRoman"/>
      <w:lvlText w:val="%9."/>
      <w:lvlJc w:val="right"/>
      <w:pPr>
        <w:ind w:left="4380" w:hanging="440"/>
      </w:pPr>
      <w:rPr>
        <w:rFonts w:hint="default" w:ascii="Times New Roman" w:hAnsi="Times New Roman" w:cs="Times New Roman"/>
      </w:rPr>
    </w:lvl>
  </w:abstractNum>
  <w:abstractNum w:abstractNumId="110">
    <w:nsid w:val="76B4167B"/>
    <w:multiLevelType w:val="multilevel"/>
    <w:tmpl w:val="76B4167B"/>
    <w:lvl w:ilvl="0" w:tentative="0">
      <w:start w:val="1"/>
      <w:numFmt w:val="decimal"/>
      <w:lvlText w:val="%1、"/>
      <w:lvlJc w:val="left"/>
      <w:pPr>
        <w:ind w:left="420" w:hanging="420"/>
      </w:pPr>
      <w:rPr>
        <w:rFonts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1">
    <w:nsid w:val="77111D1D"/>
    <w:multiLevelType w:val="multilevel"/>
    <w:tmpl w:val="77111D1D"/>
    <w:lvl w:ilvl="0" w:tentative="0">
      <w:start w:val="1"/>
      <w:numFmt w:val="chineseCountingThousand"/>
      <w:suff w:val="nothing"/>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2">
    <w:nsid w:val="77194021"/>
    <w:multiLevelType w:val="multilevel"/>
    <w:tmpl w:val="77194021"/>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eastAsia="宋体" w:asciiTheme="minorEastAsia" w:hAnsiTheme="minor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13">
    <w:nsid w:val="787035DE"/>
    <w:multiLevelType w:val="multilevel"/>
    <w:tmpl w:val="787035DE"/>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4">
    <w:nsid w:val="7A1266A0"/>
    <w:multiLevelType w:val="multilevel"/>
    <w:tmpl w:val="7A1266A0"/>
    <w:lvl w:ilvl="0" w:tentative="0">
      <w:start w:val="1"/>
      <w:numFmt w:val="decimal"/>
      <w:lvlText w:val="(%1)."/>
      <w:lvlJc w:val="left"/>
      <w:pPr>
        <w:ind w:left="0" w:firstLine="0"/>
      </w:pPr>
      <w:rPr>
        <w:rFonts w:hint="default"/>
      </w:rPr>
    </w:lvl>
    <w:lvl w:ilvl="1" w:tentative="0">
      <w:start w:val="1"/>
      <w:numFmt w:val="chineseCountingThousand"/>
      <w:lvlText w:val="(%2)"/>
      <w:lvlJc w:val="left"/>
      <w:pPr>
        <w:ind w:left="0" w:firstLine="0"/>
      </w:pPr>
      <w:rPr>
        <w:rFonts w:hint="eastAsia"/>
      </w:rPr>
    </w:lvl>
    <w:lvl w:ilvl="2" w:tentative="0">
      <w:start w:val="1"/>
      <w:numFmt w:val="chineseCountingThousand"/>
      <w:lvlText w:val="(%3)"/>
      <w:lvlJc w:val="left"/>
      <w:pPr>
        <w:ind w:left="0" w:firstLine="0"/>
      </w:pPr>
      <w:rPr>
        <w:rFonts w:hint="eastAsia"/>
      </w:rPr>
    </w:lvl>
    <w:lvl w:ilvl="3" w:tentative="0">
      <w:start w:val="1"/>
      <w:numFmt w:val="decimal"/>
      <w:lvlText w:val="(%4)"/>
      <w:lvlJc w:val="left"/>
      <w:pPr>
        <w:ind w:left="0" w:firstLine="0"/>
      </w:pPr>
      <w:rPr>
        <w:rFonts w:hint="eastAsia" w:ascii="宋体" w:hAnsi="宋体" w:eastAsia="宋体"/>
        <w:b/>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15">
    <w:nsid w:val="7B1E025F"/>
    <w:multiLevelType w:val="multilevel"/>
    <w:tmpl w:val="7B1E025F"/>
    <w:lvl w:ilvl="0" w:tentative="0">
      <w:start w:val="1"/>
      <w:numFmt w:val="decimal"/>
      <w:lvlText w:val="%1、"/>
      <w:lvlJc w:val="left"/>
      <w:pPr>
        <w:ind w:left="420" w:hanging="420"/>
      </w:pPr>
      <w:rPr>
        <w:rFonts w:hint="eastAsia" w:ascii="宋体" w:hAnsi="宋体" w:eastAsia="宋体"/>
      </w:rPr>
    </w:lvl>
    <w:lvl w:ilvl="1" w:tentative="0">
      <w:start w:val="1"/>
      <w:numFmt w:val="decimal"/>
      <w:lvlText w:val="%2、"/>
      <w:lvlJc w:val="left"/>
      <w:pPr>
        <w:ind w:left="840" w:hanging="420"/>
      </w:pPr>
      <w:rPr>
        <w:rFonts w:hint="eastAsia"/>
      </w:rPr>
    </w:lvl>
    <w:lvl w:ilvl="2" w:tentative="0">
      <w:start w:val="1"/>
      <w:numFmt w:val="decimal"/>
      <w:lvlText w:val="%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6">
    <w:nsid w:val="7B3F7C3E"/>
    <w:multiLevelType w:val="multilevel"/>
    <w:tmpl w:val="7B3F7C3E"/>
    <w:lvl w:ilvl="0" w:tentative="0">
      <w:start w:val="1"/>
      <w:numFmt w:val="decimalEnclosedCircle"/>
      <w:lvlText w:val="%1"/>
      <w:lvlJc w:val="left"/>
      <w:pPr>
        <w:ind w:left="780" w:hanging="360"/>
      </w:pPr>
      <w:rPr>
        <w:rFonts w:hint="default" w:ascii="BatangChe" w:hAnsi="BatangChe" w:eastAsia="BatangChe"/>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17">
    <w:nsid w:val="7D07444B"/>
    <w:multiLevelType w:val="multilevel"/>
    <w:tmpl w:val="7D07444B"/>
    <w:lvl w:ilvl="0" w:tentative="0">
      <w:start w:val="1"/>
      <w:numFmt w:val="decimal"/>
      <w:suff w:val="space"/>
      <w:lvlText w:val="(%1)"/>
      <w:lvlJc w:val="left"/>
      <w:pPr>
        <w:ind w:left="425" w:hanging="425"/>
      </w:pPr>
      <w:rPr>
        <w:rFonts w:hint="eastAsia" w:ascii="宋体" w:hAnsi="宋体" w:eastAsia="宋体"/>
        <w:b/>
        <w:color w:val="auto"/>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8">
    <w:nsid w:val="7E415CB7"/>
    <w:multiLevelType w:val="multilevel"/>
    <w:tmpl w:val="7E415CB7"/>
    <w:lvl w:ilvl="0" w:tentative="0">
      <w:start w:val="1"/>
      <w:numFmt w:val="decimal"/>
      <w:lvlText w:val="（%1）"/>
      <w:lvlJc w:val="left"/>
      <w:pPr>
        <w:ind w:left="1140" w:hanging="720"/>
      </w:pPr>
      <w:rPr>
        <w:rFonts w:hint="default" w:ascii="Times New Roman" w:hAnsi="Times New Roman" w:cs="Times New Roman"/>
      </w:rPr>
    </w:lvl>
    <w:lvl w:ilvl="1" w:tentative="0">
      <w:start w:val="1"/>
      <w:numFmt w:val="lowerLetter"/>
      <w:lvlText w:val="%2)"/>
      <w:lvlJc w:val="left"/>
      <w:pPr>
        <w:ind w:left="1300" w:hanging="440"/>
      </w:pPr>
      <w:rPr>
        <w:rFonts w:hint="default" w:ascii="Times New Roman" w:hAnsi="Times New Roman" w:cs="Times New Roman"/>
      </w:rPr>
    </w:lvl>
    <w:lvl w:ilvl="2" w:tentative="0">
      <w:start w:val="1"/>
      <w:numFmt w:val="lowerRoman"/>
      <w:lvlText w:val="%3."/>
      <w:lvlJc w:val="right"/>
      <w:pPr>
        <w:ind w:left="1740" w:hanging="440"/>
      </w:pPr>
      <w:rPr>
        <w:rFonts w:hint="default" w:ascii="Times New Roman" w:hAnsi="Times New Roman" w:cs="Times New Roman"/>
      </w:rPr>
    </w:lvl>
    <w:lvl w:ilvl="3" w:tentative="0">
      <w:start w:val="1"/>
      <w:numFmt w:val="decimal"/>
      <w:lvlText w:val="%4."/>
      <w:lvlJc w:val="left"/>
      <w:pPr>
        <w:ind w:left="2180" w:hanging="440"/>
      </w:pPr>
      <w:rPr>
        <w:rFonts w:hint="default" w:ascii="Times New Roman" w:hAnsi="Times New Roman" w:cs="Times New Roman"/>
      </w:rPr>
    </w:lvl>
    <w:lvl w:ilvl="4" w:tentative="0">
      <w:start w:val="1"/>
      <w:numFmt w:val="lowerLetter"/>
      <w:lvlText w:val="%5)"/>
      <w:lvlJc w:val="left"/>
      <w:pPr>
        <w:ind w:left="2620" w:hanging="440"/>
      </w:pPr>
      <w:rPr>
        <w:rFonts w:hint="default" w:ascii="Times New Roman" w:hAnsi="Times New Roman" w:cs="Times New Roman"/>
      </w:rPr>
    </w:lvl>
    <w:lvl w:ilvl="5" w:tentative="0">
      <w:start w:val="1"/>
      <w:numFmt w:val="lowerRoman"/>
      <w:lvlText w:val="%6."/>
      <w:lvlJc w:val="right"/>
      <w:pPr>
        <w:ind w:left="3060" w:hanging="440"/>
      </w:pPr>
      <w:rPr>
        <w:rFonts w:hint="default" w:ascii="Times New Roman" w:hAnsi="Times New Roman" w:cs="Times New Roman"/>
      </w:rPr>
    </w:lvl>
    <w:lvl w:ilvl="6" w:tentative="0">
      <w:start w:val="1"/>
      <w:numFmt w:val="decimal"/>
      <w:lvlText w:val="%7."/>
      <w:lvlJc w:val="left"/>
      <w:pPr>
        <w:ind w:left="3500" w:hanging="440"/>
      </w:pPr>
      <w:rPr>
        <w:rFonts w:hint="default" w:ascii="Times New Roman" w:hAnsi="Times New Roman" w:cs="Times New Roman"/>
      </w:rPr>
    </w:lvl>
    <w:lvl w:ilvl="7" w:tentative="0">
      <w:start w:val="1"/>
      <w:numFmt w:val="lowerLetter"/>
      <w:lvlText w:val="%8)"/>
      <w:lvlJc w:val="left"/>
      <w:pPr>
        <w:ind w:left="3940" w:hanging="440"/>
      </w:pPr>
      <w:rPr>
        <w:rFonts w:hint="default" w:ascii="Times New Roman" w:hAnsi="Times New Roman" w:cs="Times New Roman"/>
      </w:rPr>
    </w:lvl>
    <w:lvl w:ilvl="8" w:tentative="0">
      <w:start w:val="1"/>
      <w:numFmt w:val="lowerRoman"/>
      <w:lvlText w:val="%9."/>
      <w:lvlJc w:val="right"/>
      <w:pPr>
        <w:ind w:left="4380" w:hanging="440"/>
      </w:pPr>
      <w:rPr>
        <w:rFonts w:hint="default" w:ascii="Times New Roman" w:hAnsi="Times New Roman" w:cs="Times New Roman"/>
      </w:rPr>
    </w:lvl>
  </w:abstractNum>
  <w:abstractNum w:abstractNumId="119">
    <w:nsid w:val="7E7E7E18"/>
    <w:multiLevelType w:val="multilevel"/>
    <w:tmpl w:val="7E7E7E18"/>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eastAsia="宋体" w:asciiTheme="majorEastAsia" w:hAnsiTheme="major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20">
    <w:nsid w:val="7FCC199E"/>
    <w:multiLevelType w:val="multilevel"/>
    <w:tmpl w:val="7FCC199E"/>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eastAsia="宋体" w:asciiTheme="majorEastAsia" w:hAnsiTheme="major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53"/>
  </w:num>
  <w:num w:numId="2">
    <w:abstractNumId w:val="26"/>
  </w:num>
  <w:num w:numId="3">
    <w:abstractNumId w:val="15"/>
  </w:num>
  <w:num w:numId="4">
    <w:abstractNumId w:val="31"/>
  </w:num>
  <w:num w:numId="5">
    <w:abstractNumId w:val="13"/>
  </w:num>
  <w:num w:numId="6">
    <w:abstractNumId w:val="55"/>
  </w:num>
  <w:num w:numId="7">
    <w:abstractNumId w:val="20"/>
  </w:num>
  <w:num w:numId="8">
    <w:abstractNumId w:val="25"/>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9"/>
  </w:num>
  <w:num w:numId="11">
    <w:abstractNumId w:val="62"/>
  </w:num>
  <w:num w:numId="12">
    <w:abstractNumId w:val="77"/>
  </w:num>
  <w:num w:numId="13">
    <w:abstractNumId w:val="104"/>
  </w:num>
  <w:num w:numId="14">
    <w:abstractNumId w:val="37"/>
  </w:num>
  <w:num w:numId="15">
    <w:abstractNumId w:val="85"/>
  </w:num>
  <w:num w:numId="16">
    <w:abstractNumId w:val="30"/>
  </w:num>
  <w:num w:numId="17">
    <w:abstractNumId w:val="95"/>
  </w:num>
  <w:num w:numId="18">
    <w:abstractNumId w:val="63"/>
  </w:num>
  <w:num w:numId="19">
    <w:abstractNumId w:val="115"/>
  </w:num>
  <w:num w:numId="20">
    <w:abstractNumId w:val="76"/>
  </w:num>
  <w:num w:numId="21">
    <w:abstractNumId w:val="56"/>
  </w:num>
  <w:num w:numId="22">
    <w:abstractNumId w:val="66"/>
  </w:num>
  <w:num w:numId="23">
    <w:abstractNumId w:val="65"/>
  </w:num>
  <w:num w:numId="24">
    <w:abstractNumId w:val="38"/>
  </w:num>
  <w:num w:numId="25">
    <w:abstractNumId w:val="102"/>
  </w:num>
  <w:num w:numId="26">
    <w:abstractNumId w:val="83"/>
  </w:num>
  <w:num w:numId="27">
    <w:abstractNumId w:val="19"/>
  </w:num>
  <w:num w:numId="28">
    <w:abstractNumId w:val="34"/>
  </w:num>
  <w:num w:numId="29">
    <w:abstractNumId w:val="22"/>
  </w:num>
  <w:num w:numId="30">
    <w:abstractNumId w:val="111"/>
  </w:num>
  <w:num w:numId="31">
    <w:abstractNumId w:val="61"/>
  </w:num>
  <w:num w:numId="32">
    <w:abstractNumId w:val="57"/>
  </w:num>
  <w:num w:numId="33">
    <w:abstractNumId w:val="1"/>
  </w:num>
  <w:num w:numId="34">
    <w:abstractNumId w:val="87"/>
  </w:num>
  <w:num w:numId="35">
    <w:abstractNumId w:val="43"/>
  </w:num>
  <w:num w:numId="36">
    <w:abstractNumId w:val="64"/>
  </w:num>
  <w:num w:numId="37">
    <w:abstractNumId w:val="48"/>
  </w:num>
  <w:num w:numId="38">
    <w:abstractNumId w:val="70"/>
  </w:num>
  <w:num w:numId="39">
    <w:abstractNumId w:val="2"/>
  </w:num>
  <w:num w:numId="40">
    <w:abstractNumId w:val="36"/>
  </w:num>
  <w:num w:numId="41">
    <w:abstractNumId w:val="116"/>
  </w:num>
  <w:num w:numId="42">
    <w:abstractNumId w:val="35"/>
  </w:num>
  <w:num w:numId="43">
    <w:abstractNumId w:val="46"/>
  </w:num>
  <w:num w:numId="44">
    <w:abstractNumId w:val="32"/>
  </w:num>
  <w:num w:numId="45">
    <w:abstractNumId w:val="100"/>
  </w:num>
  <w:num w:numId="46">
    <w:abstractNumId w:val="6"/>
  </w:num>
  <w:num w:numId="47">
    <w:abstractNumId w:val="29"/>
  </w:num>
  <w:num w:numId="4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45"/>
  </w:num>
  <w:num w:numId="5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1"/>
  </w:num>
  <w:num w:numId="53">
    <w:abstractNumId w:val="110"/>
  </w:num>
  <w:num w:numId="54">
    <w:abstractNumId w:val="59"/>
  </w:num>
  <w:num w:numId="55">
    <w:abstractNumId w:val="21"/>
  </w:num>
  <w:num w:numId="56">
    <w:abstractNumId w:val="112"/>
  </w:num>
  <w:num w:numId="57">
    <w:abstractNumId w:val="91"/>
  </w:num>
  <w:num w:numId="58">
    <w:abstractNumId w:val="16"/>
  </w:num>
  <w:num w:numId="59">
    <w:abstractNumId w:val="82"/>
  </w:num>
  <w:num w:numId="60">
    <w:abstractNumId w:val="103"/>
  </w:num>
  <w:num w:numId="61">
    <w:abstractNumId w:val="27"/>
  </w:num>
  <w:num w:numId="62">
    <w:abstractNumId w:val="99"/>
  </w:num>
  <w:num w:numId="63">
    <w:abstractNumId w:val="119"/>
  </w:num>
  <w:num w:numId="64">
    <w:abstractNumId w:val="120"/>
  </w:num>
  <w:num w:numId="65">
    <w:abstractNumId w:val="47"/>
  </w:num>
  <w:num w:numId="66">
    <w:abstractNumId w:val="88"/>
  </w:num>
  <w:num w:numId="67">
    <w:abstractNumId w:val="12"/>
  </w:num>
  <w:num w:numId="68">
    <w:abstractNumId w:val="9"/>
  </w:num>
  <w:num w:numId="69">
    <w:abstractNumId w:val="8"/>
  </w:num>
  <w:num w:numId="70">
    <w:abstractNumId w:val="94"/>
  </w:num>
  <w:num w:numId="71">
    <w:abstractNumId w:val="54"/>
  </w:num>
  <w:num w:numId="72">
    <w:abstractNumId w:val="24"/>
  </w:num>
  <w:num w:numId="73">
    <w:abstractNumId w:val="98"/>
  </w:num>
  <w:num w:numId="74">
    <w:abstractNumId w:val="107"/>
  </w:num>
  <w:num w:numId="75">
    <w:abstractNumId w:val="51"/>
  </w:num>
  <w:num w:numId="76">
    <w:abstractNumId w:val="113"/>
  </w:num>
  <w:num w:numId="77">
    <w:abstractNumId w:val="67"/>
  </w:num>
  <w:num w:numId="78">
    <w:abstractNumId w:val="90"/>
  </w:num>
  <w:num w:numId="79">
    <w:abstractNumId w:val="39"/>
  </w:num>
  <w:num w:numId="80">
    <w:abstractNumId w:val="117"/>
  </w:num>
  <w:num w:numId="81">
    <w:abstractNumId w:val="44"/>
  </w:num>
  <w:num w:numId="82">
    <w:abstractNumId w:val="23"/>
  </w:num>
  <w:num w:numId="83">
    <w:abstractNumId w:val="28"/>
  </w:num>
  <w:num w:numId="84">
    <w:abstractNumId w:val="14"/>
  </w:num>
  <w:num w:numId="85">
    <w:abstractNumId w:val="92"/>
  </w:num>
  <w:num w:numId="86">
    <w:abstractNumId w:val="50"/>
  </w:num>
  <w:num w:numId="87">
    <w:abstractNumId w:val="33"/>
  </w:num>
  <w:num w:numId="88">
    <w:abstractNumId w:val="75"/>
  </w:num>
  <w:num w:numId="89">
    <w:abstractNumId w:val="80"/>
  </w:num>
  <w:num w:numId="90">
    <w:abstractNumId w:val="106"/>
  </w:num>
  <w:num w:numId="91">
    <w:abstractNumId w:val="18"/>
  </w:num>
  <w:num w:numId="92">
    <w:abstractNumId w:val="86"/>
  </w:num>
  <w:num w:numId="93">
    <w:abstractNumId w:val="89"/>
  </w:num>
  <w:num w:numId="94">
    <w:abstractNumId w:val="68"/>
  </w:num>
  <w:num w:numId="95">
    <w:abstractNumId w:val="72"/>
  </w:num>
  <w:num w:numId="96">
    <w:abstractNumId w:val="105"/>
  </w:num>
  <w:num w:numId="97">
    <w:abstractNumId w:val="11"/>
  </w:num>
  <w:num w:numId="98">
    <w:abstractNumId w:val="41"/>
  </w:num>
  <w:num w:numId="99">
    <w:abstractNumId w:val="84"/>
  </w:num>
  <w:num w:numId="100">
    <w:abstractNumId w:val="5"/>
  </w:num>
  <w:num w:numId="101">
    <w:abstractNumId w:val="49"/>
  </w:num>
  <w:num w:numId="102">
    <w:abstractNumId w:val="10"/>
  </w:num>
  <w:num w:numId="103">
    <w:abstractNumId w:val="74"/>
  </w:num>
  <w:num w:numId="104">
    <w:abstractNumId w:val="97"/>
  </w:num>
  <w:num w:numId="105">
    <w:abstractNumId w:val="58"/>
  </w:num>
  <w:num w:numId="106">
    <w:abstractNumId w:val="3"/>
  </w:num>
  <w:num w:numId="107">
    <w:abstractNumId w:val="79"/>
  </w:num>
  <w:num w:numId="108">
    <w:abstractNumId w:val="71"/>
  </w:num>
  <w:num w:numId="109">
    <w:abstractNumId w:val="40"/>
  </w:num>
  <w:num w:numId="110">
    <w:abstractNumId w:val="81"/>
  </w:num>
  <w:num w:numId="111">
    <w:abstractNumId w:val="52"/>
  </w:num>
  <w:num w:numId="112">
    <w:abstractNumId w:val="7"/>
  </w:num>
  <w:num w:numId="113">
    <w:abstractNumId w:val="73"/>
  </w:num>
  <w:num w:numId="114">
    <w:abstractNumId w:val="0"/>
  </w:num>
  <w:num w:numId="115">
    <w:abstractNumId w:val="114"/>
  </w:num>
  <w:num w:numId="116">
    <w:abstractNumId w:val="96"/>
  </w:num>
  <w:num w:numId="117">
    <w:abstractNumId w:val="60"/>
  </w:num>
  <w:num w:numId="118">
    <w:abstractNumId w:val="78"/>
  </w:num>
  <w:num w:numId="119">
    <w:abstractNumId w:val="93"/>
  </w:num>
  <w:num w:numId="120">
    <w:abstractNumId w:val="108"/>
  </w:num>
  <w:num w:numId="12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angeTableHeadingFormat" w:val="true"/>
    <w:docVar w:name="Disclosure_Version" w:val="true"/>
    <w:docVar w:name="fix_control_content_version" w:val="1.0"/>
    <w:docVar w:name="RemovedBindingXPath" w:val="true"/>
    <w:docVar w:name="RemoveRepeatedWord" w:val="true"/>
  </w:docVars>
  <w:rsids>
    <w:rsidRoot w:val="00426929"/>
    <w:rsid w:val="00001155"/>
    <w:rsid w:val="00002977"/>
    <w:rsid w:val="0000373F"/>
    <w:rsid w:val="00004736"/>
    <w:rsid w:val="00004F4F"/>
    <w:rsid w:val="0000543D"/>
    <w:rsid w:val="00005BB0"/>
    <w:rsid w:val="00006D50"/>
    <w:rsid w:val="00007F4A"/>
    <w:rsid w:val="000101B6"/>
    <w:rsid w:val="000106EB"/>
    <w:rsid w:val="00012061"/>
    <w:rsid w:val="00015158"/>
    <w:rsid w:val="00015406"/>
    <w:rsid w:val="00016B08"/>
    <w:rsid w:val="00017B1A"/>
    <w:rsid w:val="000243B5"/>
    <w:rsid w:val="00024768"/>
    <w:rsid w:val="00024E58"/>
    <w:rsid w:val="00025511"/>
    <w:rsid w:val="000309C0"/>
    <w:rsid w:val="000322FB"/>
    <w:rsid w:val="00033F16"/>
    <w:rsid w:val="0003422C"/>
    <w:rsid w:val="00034870"/>
    <w:rsid w:val="00042D21"/>
    <w:rsid w:val="0004357B"/>
    <w:rsid w:val="00043E7F"/>
    <w:rsid w:val="00046813"/>
    <w:rsid w:val="00051B84"/>
    <w:rsid w:val="00052096"/>
    <w:rsid w:val="0005367A"/>
    <w:rsid w:val="00054C86"/>
    <w:rsid w:val="000558B9"/>
    <w:rsid w:val="00055D37"/>
    <w:rsid w:val="00060229"/>
    <w:rsid w:val="0006155C"/>
    <w:rsid w:val="00063363"/>
    <w:rsid w:val="00066626"/>
    <w:rsid w:val="00066F7C"/>
    <w:rsid w:val="00066FB5"/>
    <w:rsid w:val="00067D70"/>
    <w:rsid w:val="00067DC5"/>
    <w:rsid w:val="00071712"/>
    <w:rsid w:val="00072558"/>
    <w:rsid w:val="00072D1D"/>
    <w:rsid w:val="00073C11"/>
    <w:rsid w:val="00074BAA"/>
    <w:rsid w:val="000769BC"/>
    <w:rsid w:val="0008052C"/>
    <w:rsid w:val="00081554"/>
    <w:rsid w:val="000818C3"/>
    <w:rsid w:val="00082DDC"/>
    <w:rsid w:val="00083D61"/>
    <w:rsid w:val="00087D2D"/>
    <w:rsid w:val="0009118C"/>
    <w:rsid w:val="00092083"/>
    <w:rsid w:val="00092D90"/>
    <w:rsid w:val="00092FD5"/>
    <w:rsid w:val="00093535"/>
    <w:rsid w:val="00094FA1"/>
    <w:rsid w:val="0009652C"/>
    <w:rsid w:val="000A2562"/>
    <w:rsid w:val="000A3B4C"/>
    <w:rsid w:val="000A79B4"/>
    <w:rsid w:val="000B54F9"/>
    <w:rsid w:val="000B77B2"/>
    <w:rsid w:val="000C09E6"/>
    <w:rsid w:val="000C110A"/>
    <w:rsid w:val="000C2610"/>
    <w:rsid w:val="000C5AD8"/>
    <w:rsid w:val="000C6AA8"/>
    <w:rsid w:val="000C7E47"/>
    <w:rsid w:val="000D3E36"/>
    <w:rsid w:val="000D4B13"/>
    <w:rsid w:val="000D67D3"/>
    <w:rsid w:val="000D783D"/>
    <w:rsid w:val="000E1093"/>
    <w:rsid w:val="000E119F"/>
    <w:rsid w:val="000E17F0"/>
    <w:rsid w:val="000E2090"/>
    <w:rsid w:val="000E2FF5"/>
    <w:rsid w:val="000E41C8"/>
    <w:rsid w:val="000E51F7"/>
    <w:rsid w:val="000E5A6C"/>
    <w:rsid w:val="000F008E"/>
    <w:rsid w:val="000F05DE"/>
    <w:rsid w:val="000F4896"/>
    <w:rsid w:val="0010091F"/>
    <w:rsid w:val="00100998"/>
    <w:rsid w:val="00101472"/>
    <w:rsid w:val="00102F50"/>
    <w:rsid w:val="0010376B"/>
    <w:rsid w:val="00104DB4"/>
    <w:rsid w:val="00104DCA"/>
    <w:rsid w:val="00106E36"/>
    <w:rsid w:val="001076E1"/>
    <w:rsid w:val="00110240"/>
    <w:rsid w:val="00111777"/>
    <w:rsid w:val="00111C24"/>
    <w:rsid w:val="00112BEB"/>
    <w:rsid w:val="00113537"/>
    <w:rsid w:val="00114387"/>
    <w:rsid w:val="0011486B"/>
    <w:rsid w:val="0011626F"/>
    <w:rsid w:val="00116458"/>
    <w:rsid w:val="00121A25"/>
    <w:rsid w:val="001252B2"/>
    <w:rsid w:val="00131DFE"/>
    <w:rsid w:val="001328E6"/>
    <w:rsid w:val="00133E24"/>
    <w:rsid w:val="0013486D"/>
    <w:rsid w:val="00137186"/>
    <w:rsid w:val="00137E45"/>
    <w:rsid w:val="0014071B"/>
    <w:rsid w:val="00142702"/>
    <w:rsid w:val="00142D5A"/>
    <w:rsid w:val="00143AFE"/>
    <w:rsid w:val="00145905"/>
    <w:rsid w:val="001475A1"/>
    <w:rsid w:val="0015349B"/>
    <w:rsid w:val="00153A56"/>
    <w:rsid w:val="00154121"/>
    <w:rsid w:val="001565FA"/>
    <w:rsid w:val="00157286"/>
    <w:rsid w:val="00157963"/>
    <w:rsid w:val="00161139"/>
    <w:rsid w:val="00162A9E"/>
    <w:rsid w:val="00164AEA"/>
    <w:rsid w:val="0016568F"/>
    <w:rsid w:val="0016631B"/>
    <w:rsid w:val="00171152"/>
    <w:rsid w:val="001729FE"/>
    <w:rsid w:val="00172FDD"/>
    <w:rsid w:val="00173D57"/>
    <w:rsid w:val="00176D98"/>
    <w:rsid w:val="00177C48"/>
    <w:rsid w:val="0018045B"/>
    <w:rsid w:val="00180712"/>
    <w:rsid w:val="00181B2F"/>
    <w:rsid w:val="00183974"/>
    <w:rsid w:val="00184317"/>
    <w:rsid w:val="00187B27"/>
    <w:rsid w:val="0019193D"/>
    <w:rsid w:val="00194798"/>
    <w:rsid w:val="00194E61"/>
    <w:rsid w:val="00196BB6"/>
    <w:rsid w:val="00197580"/>
    <w:rsid w:val="00197EDF"/>
    <w:rsid w:val="00197F96"/>
    <w:rsid w:val="001A1546"/>
    <w:rsid w:val="001A2F22"/>
    <w:rsid w:val="001A4831"/>
    <w:rsid w:val="001A599D"/>
    <w:rsid w:val="001B05F1"/>
    <w:rsid w:val="001B347E"/>
    <w:rsid w:val="001B34FB"/>
    <w:rsid w:val="001B4969"/>
    <w:rsid w:val="001B5EC1"/>
    <w:rsid w:val="001C0390"/>
    <w:rsid w:val="001C0AB0"/>
    <w:rsid w:val="001C0B45"/>
    <w:rsid w:val="001C1A0C"/>
    <w:rsid w:val="001C5F69"/>
    <w:rsid w:val="001C70B0"/>
    <w:rsid w:val="001D2F0F"/>
    <w:rsid w:val="001D3D08"/>
    <w:rsid w:val="001D404A"/>
    <w:rsid w:val="001D5A21"/>
    <w:rsid w:val="001D6C17"/>
    <w:rsid w:val="001E03FA"/>
    <w:rsid w:val="001E0A7B"/>
    <w:rsid w:val="001E162F"/>
    <w:rsid w:val="001E1990"/>
    <w:rsid w:val="001E4494"/>
    <w:rsid w:val="001E5647"/>
    <w:rsid w:val="001F1C19"/>
    <w:rsid w:val="001F3EBE"/>
    <w:rsid w:val="001F43C5"/>
    <w:rsid w:val="001F46DE"/>
    <w:rsid w:val="001F4CDC"/>
    <w:rsid w:val="001F57B9"/>
    <w:rsid w:val="001F5FBE"/>
    <w:rsid w:val="001F5FF5"/>
    <w:rsid w:val="001F76BC"/>
    <w:rsid w:val="00201A70"/>
    <w:rsid w:val="00202814"/>
    <w:rsid w:val="00204ABE"/>
    <w:rsid w:val="0020505F"/>
    <w:rsid w:val="00207AC1"/>
    <w:rsid w:val="00210E96"/>
    <w:rsid w:val="00214C61"/>
    <w:rsid w:val="00214F6B"/>
    <w:rsid w:val="0021512B"/>
    <w:rsid w:val="00216DBC"/>
    <w:rsid w:val="002171F6"/>
    <w:rsid w:val="002201AD"/>
    <w:rsid w:val="002209EB"/>
    <w:rsid w:val="00220D1C"/>
    <w:rsid w:val="002214A7"/>
    <w:rsid w:val="002217F5"/>
    <w:rsid w:val="00223E60"/>
    <w:rsid w:val="002242D9"/>
    <w:rsid w:val="00224967"/>
    <w:rsid w:val="00224CB7"/>
    <w:rsid w:val="00225274"/>
    <w:rsid w:val="00225D70"/>
    <w:rsid w:val="00226585"/>
    <w:rsid w:val="002301B4"/>
    <w:rsid w:val="002327BD"/>
    <w:rsid w:val="00232B94"/>
    <w:rsid w:val="002332B4"/>
    <w:rsid w:val="002340F8"/>
    <w:rsid w:val="002358C7"/>
    <w:rsid w:val="002363E0"/>
    <w:rsid w:val="00236C38"/>
    <w:rsid w:val="00237B3F"/>
    <w:rsid w:val="0024149C"/>
    <w:rsid w:val="00245D92"/>
    <w:rsid w:val="00246F35"/>
    <w:rsid w:val="002478BA"/>
    <w:rsid w:val="00250CBE"/>
    <w:rsid w:val="00251A60"/>
    <w:rsid w:val="00254135"/>
    <w:rsid w:val="00254FD1"/>
    <w:rsid w:val="00255FE8"/>
    <w:rsid w:val="0026080D"/>
    <w:rsid w:val="00260E39"/>
    <w:rsid w:val="002635D3"/>
    <w:rsid w:val="0026521B"/>
    <w:rsid w:val="002659E9"/>
    <w:rsid w:val="00266266"/>
    <w:rsid w:val="00266609"/>
    <w:rsid w:val="002701F8"/>
    <w:rsid w:val="00276B03"/>
    <w:rsid w:val="00276E94"/>
    <w:rsid w:val="00277A9F"/>
    <w:rsid w:val="00280C5A"/>
    <w:rsid w:val="00280FB7"/>
    <w:rsid w:val="00282068"/>
    <w:rsid w:val="00283124"/>
    <w:rsid w:val="002842DB"/>
    <w:rsid w:val="0028669F"/>
    <w:rsid w:val="00287D2B"/>
    <w:rsid w:val="00287F97"/>
    <w:rsid w:val="0029020E"/>
    <w:rsid w:val="002924FA"/>
    <w:rsid w:val="002940F2"/>
    <w:rsid w:val="002961D1"/>
    <w:rsid w:val="0029662C"/>
    <w:rsid w:val="0029728A"/>
    <w:rsid w:val="00297ED6"/>
    <w:rsid w:val="002A066E"/>
    <w:rsid w:val="002A0EC7"/>
    <w:rsid w:val="002A192A"/>
    <w:rsid w:val="002A318C"/>
    <w:rsid w:val="002A3897"/>
    <w:rsid w:val="002A5C9D"/>
    <w:rsid w:val="002A77B6"/>
    <w:rsid w:val="002A7C54"/>
    <w:rsid w:val="002B2C35"/>
    <w:rsid w:val="002B311E"/>
    <w:rsid w:val="002B58CD"/>
    <w:rsid w:val="002B7B2F"/>
    <w:rsid w:val="002C07C9"/>
    <w:rsid w:val="002C1255"/>
    <w:rsid w:val="002C21AA"/>
    <w:rsid w:val="002C2DC2"/>
    <w:rsid w:val="002C401F"/>
    <w:rsid w:val="002C5DC2"/>
    <w:rsid w:val="002C6FAA"/>
    <w:rsid w:val="002C7032"/>
    <w:rsid w:val="002C732A"/>
    <w:rsid w:val="002C78A8"/>
    <w:rsid w:val="002D058B"/>
    <w:rsid w:val="002D50FB"/>
    <w:rsid w:val="002D5D5A"/>
    <w:rsid w:val="002D7D7E"/>
    <w:rsid w:val="002E01E5"/>
    <w:rsid w:val="002E1989"/>
    <w:rsid w:val="002E218C"/>
    <w:rsid w:val="002E37E1"/>
    <w:rsid w:val="002E3D1F"/>
    <w:rsid w:val="002E475D"/>
    <w:rsid w:val="002E7F4A"/>
    <w:rsid w:val="002F06E6"/>
    <w:rsid w:val="002F07B1"/>
    <w:rsid w:val="002F07E3"/>
    <w:rsid w:val="002F0D7E"/>
    <w:rsid w:val="002F2356"/>
    <w:rsid w:val="002F3C97"/>
    <w:rsid w:val="002F4A6A"/>
    <w:rsid w:val="002F4A82"/>
    <w:rsid w:val="002F50DC"/>
    <w:rsid w:val="002F6E68"/>
    <w:rsid w:val="00300370"/>
    <w:rsid w:val="00300D8B"/>
    <w:rsid w:val="00303D7A"/>
    <w:rsid w:val="00305458"/>
    <w:rsid w:val="00305FB4"/>
    <w:rsid w:val="00306096"/>
    <w:rsid w:val="0030662F"/>
    <w:rsid w:val="003103D1"/>
    <w:rsid w:val="003126D5"/>
    <w:rsid w:val="003135F6"/>
    <w:rsid w:val="00314238"/>
    <w:rsid w:val="00315F8C"/>
    <w:rsid w:val="0031735A"/>
    <w:rsid w:val="00317A10"/>
    <w:rsid w:val="00324018"/>
    <w:rsid w:val="0032664B"/>
    <w:rsid w:val="00326D47"/>
    <w:rsid w:val="003302AF"/>
    <w:rsid w:val="0033055C"/>
    <w:rsid w:val="00333437"/>
    <w:rsid w:val="00333B63"/>
    <w:rsid w:val="003356BF"/>
    <w:rsid w:val="0033641D"/>
    <w:rsid w:val="00337327"/>
    <w:rsid w:val="00340082"/>
    <w:rsid w:val="0034077C"/>
    <w:rsid w:val="00342226"/>
    <w:rsid w:val="003432A0"/>
    <w:rsid w:val="003441F1"/>
    <w:rsid w:val="00353521"/>
    <w:rsid w:val="00354769"/>
    <w:rsid w:val="00354B9F"/>
    <w:rsid w:val="00355BA9"/>
    <w:rsid w:val="00355BCB"/>
    <w:rsid w:val="00356730"/>
    <w:rsid w:val="00356FA3"/>
    <w:rsid w:val="00357331"/>
    <w:rsid w:val="00360871"/>
    <w:rsid w:val="003637BE"/>
    <w:rsid w:val="00363E24"/>
    <w:rsid w:val="003736B7"/>
    <w:rsid w:val="00375489"/>
    <w:rsid w:val="00375B1D"/>
    <w:rsid w:val="00375C36"/>
    <w:rsid w:val="00377B23"/>
    <w:rsid w:val="00377E12"/>
    <w:rsid w:val="003812A3"/>
    <w:rsid w:val="00381BBE"/>
    <w:rsid w:val="003844D9"/>
    <w:rsid w:val="0038457D"/>
    <w:rsid w:val="00386FF5"/>
    <w:rsid w:val="00387F4C"/>
    <w:rsid w:val="003900B9"/>
    <w:rsid w:val="00390C4B"/>
    <w:rsid w:val="00390E77"/>
    <w:rsid w:val="00391543"/>
    <w:rsid w:val="00391717"/>
    <w:rsid w:val="00391733"/>
    <w:rsid w:val="00391A42"/>
    <w:rsid w:val="00391DDA"/>
    <w:rsid w:val="00394557"/>
    <w:rsid w:val="0039685D"/>
    <w:rsid w:val="003A7AED"/>
    <w:rsid w:val="003B267D"/>
    <w:rsid w:val="003B26A4"/>
    <w:rsid w:val="003B2806"/>
    <w:rsid w:val="003B5130"/>
    <w:rsid w:val="003B550A"/>
    <w:rsid w:val="003B57C6"/>
    <w:rsid w:val="003B6F63"/>
    <w:rsid w:val="003B7116"/>
    <w:rsid w:val="003B7378"/>
    <w:rsid w:val="003B7FE0"/>
    <w:rsid w:val="003C145E"/>
    <w:rsid w:val="003C18BE"/>
    <w:rsid w:val="003C27DE"/>
    <w:rsid w:val="003C3839"/>
    <w:rsid w:val="003C79BF"/>
    <w:rsid w:val="003D06B6"/>
    <w:rsid w:val="003D1B9A"/>
    <w:rsid w:val="003D2350"/>
    <w:rsid w:val="003D31A2"/>
    <w:rsid w:val="003E1546"/>
    <w:rsid w:val="003E1B41"/>
    <w:rsid w:val="003E3036"/>
    <w:rsid w:val="003E4D38"/>
    <w:rsid w:val="003E4FED"/>
    <w:rsid w:val="003E7887"/>
    <w:rsid w:val="003E7DD7"/>
    <w:rsid w:val="003E7E09"/>
    <w:rsid w:val="003F4327"/>
    <w:rsid w:val="003F6B6F"/>
    <w:rsid w:val="0040036B"/>
    <w:rsid w:val="004004B0"/>
    <w:rsid w:val="0040254D"/>
    <w:rsid w:val="00402ECC"/>
    <w:rsid w:val="00403B61"/>
    <w:rsid w:val="0040569A"/>
    <w:rsid w:val="00405F32"/>
    <w:rsid w:val="00410501"/>
    <w:rsid w:val="00410FA5"/>
    <w:rsid w:val="004159E8"/>
    <w:rsid w:val="00421CB5"/>
    <w:rsid w:val="00422AF0"/>
    <w:rsid w:val="004233B7"/>
    <w:rsid w:val="004262F4"/>
    <w:rsid w:val="00426929"/>
    <w:rsid w:val="00427A2A"/>
    <w:rsid w:val="00432B11"/>
    <w:rsid w:val="00433679"/>
    <w:rsid w:val="00433D79"/>
    <w:rsid w:val="00433EDF"/>
    <w:rsid w:val="00434946"/>
    <w:rsid w:val="00435BAA"/>
    <w:rsid w:val="00437D62"/>
    <w:rsid w:val="00441365"/>
    <w:rsid w:val="00443F1C"/>
    <w:rsid w:val="004473F9"/>
    <w:rsid w:val="00447A3E"/>
    <w:rsid w:val="00447ABA"/>
    <w:rsid w:val="00447D04"/>
    <w:rsid w:val="004512ED"/>
    <w:rsid w:val="00451521"/>
    <w:rsid w:val="004516A3"/>
    <w:rsid w:val="00451A4E"/>
    <w:rsid w:val="00453393"/>
    <w:rsid w:val="00456E04"/>
    <w:rsid w:val="0045735B"/>
    <w:rsid w:val="0045741B"/>
    <w:rsid w:val="004601D6"/>
    <w:rsid w:val="004602B4"/>
    <w:rsid w:val="0046114B"/>
    <w:rsid w:val="00461353"/>
    <w:rsid w:val="004620DD"/>
    <w:rsid w:val="0046310A"/>
    <w:rsid w:val="00464A0F"/>
    <w:rsid w:val="00466941"/>
    <w:rsid w:val="00466A7D"/>
    <w:rsid w:val="00467A53"/>
    <w:rsid w:val="00467C8D"/>
    <w:rsid w:val="00467CD0"/>
    <w:rsid w:val="00473143"/>
    <w:rsid w:val="004732C1"/>
    <w:rsid w:val="00477DFC"/>
    <w:rsid w:val="0048153F"/>
    <w:rsid w:val="00481859"/>
    <w:rsid w:val="00481BA9"/>
    <w:rsid w:val="00482CBA"/>
    <w:rsid w:val="00483388"/>
    <w:rsid w:val="004833C7"/>
    <w:rsid w:val="00483735"/>
    <w:rsid w:val="0048529A"/>
    <w:rsid w:val="00486724"/>
    <w:rsid w:val="00487C95"/>
    <w:rsid w:val="00492B22"/>
    <w:rsid w:val="00494FA2"/>
    <w:rsid w:val="00497261"/>
    <w:rsid w:val="004A0E75"/>
    <w:rsid w:val="004A14DB"/>
    <w:rsid w:val="004A2A3D"/>
    <w:rsid w:val="004A3249"/>
    <w:rsid w:val="004A3562"/>
    <w:rsid w:val="004A6DC5"/>
    <w:rsid w:val="004B4C0E"/>
    <w:rsid w:val="004B681C"/>
    <w:rsid w:val="004B6B84"/>
    <w:rsid w:val="004B76A2"/>
    <w:rsid w:val="004C09D4"/>
    <w:rsid w:val="004C2E85"/>
    <w:rsid w:val="004C3EBE"/>
    <w:rsid w:val="004C43FC"/>
    <w:rsid w:val="004C54CE"/>
    <w:rsid w:val="004C64BB"/>
    <w:rsid w:val="004C6D64"/>
    <w:rsid w:val="004D023E"/>
    <w:rsid w:val="004D0AD9"/>
    <w:rsid w:val="004D0C57"/>
    <w:rsid w:val="004D0EFB"/>
    <w:rsid w:val="004D1720"/>
    <w:rsid w:val="004D2030"/>
    <w:rsid w:val="004D40A6"/>
    <w:rsid w:val="004D50B3"/>
    <w:rsid w:val="004E205F"/>
    <w:rsid w:val="004E3414"/>
    <w:rsid w:val="004E366E"/>
    <w:rsid w:val="004E5182"/>
    <w:rsid w:val="004E7A18"/>
    <w:rsid w:val="004F2123"/>
    <w:rsid w:val="004F32E6"/>
    <w:rsid w:val="004F3BE6"/>
    <w:rsid w:val="004F61CA"/>
    <w:rsid w:val="004F6523"/>
    <w:rsid w:val="0050043C"/>
    <w:rsid w:val="00502B9A"/>
    <w:rsid w:val="00503590"/>
    <w:rsid w:val="0050437B"/>
    <w:rsid w:val="0050462B"/>
    <w:rsid w:val="00511A3A"/>
    <w:rsid w:val="005121C0"/>
    <w:rsid w:val="0051300F"/>
    <w:rsid w:val="0051469C"/>
    <w:rsid w:val="00520A99"/>
    <w:rsid w:val="00522FE0"/>
    <w:rsid w:val="0052311D"/>
    <w:rsid w:val="00524CC3"/>
    <w:rsid w:val="0052704C"/>
    <w:rsid w:val="00527D58"/>
    <w:rsid w:val="00530880"/>
    <w:rsid w:val="0053111F"/>
    <w:rsid w:val="00531D2D"/>
    <w:rsid w:val="005329AF"/>
    <w:rsid w:val="0053393C"/>
    <w:rsid w:val="00534492"/>
    <w:rsid w:val="00534774"/>
    <w:rsid w:val="00535E54"/>
    <w:rsid w:val="00536970"/>
    <w:rsid w:val="0053698E"/>
    <w:rsid w:val="00537696"/>
    <w:rsid w:val="00542190"/>
    <w:rsid w:val="005434D0"/>
    <w:rsid w:val="00543C1A"/>
    <w:rsid w:val="00543C25"/>
    <w:rsid w:val="00545697"/>
    <w:rsid w:val="00545AAD"/>
    <w:rsid w:val="00546087"/>
    <w:rsid w:val="00546507"/>
    <w:rsid w:val="00547269"/>
    <w:rsid w:val="005509EC"/>
    <w:rsid w:val="00551EB1"/>
    <w:rsid w:val="0055441E"/>
    <w:rsid w:val="0055503B"/>
    <w:rsid w:val="0055593A"/>
    <w:rsid w:val="005563A2"/>
    <w:rsid w:val="0055708D"/>
    <w:rsid w:val="00561C66"/>
    <w:rsid w:val="00562AC4"/>
    <w:rsid w:val="00571138"/>
    <w:rsid w:val="00571EBE"/>
    <w:rsid w:val="00572036"/>
    <w:rsid w:val="005757A6"/>
    <w:rsid w:val="005777A6"/>
    <w:rsid w:val="00580011"/>
    <w:rsid w:val="0058292E"/>
    <w:rsid w:val="00583493"/>
    <w:rsid w:val="00583BC6"/>
    <w:rsid w:val="00587E3B"/>
    <w:rsid w:val="0059023E"/>
    <w:rsid w:val="0059388B"/>
    <w:rsid w:val="00593E5C"/>
    <w:rsid w:val="005940FA"/>
    <w:rsid w:val="00595A8D"/>
    <w:rsid w:val="005A0109"/>
    <w:rsid w:val="005A4130"/>
    <w:rsid w:val="005A4974"/>
    <w:rsid w:val="005A4F89"/>
    <w:rsid w:val="005A5714"/>
    <w:rsid w:val="005A6D47"/>
    <w:rsid w:val="005A6FED"/>
    <w:rsid w:val="005A7F6A"/>
    <w:rsid w:val="005B53CA"/>
    <w:rsid w:val="005B5759"/>
    <w:rsid w:val="005C2EC6"/>
    <w:rsid w:val="005C32A3"/>
    <w:rsid w:val="005C640E"/>
    <w:rsid w:val="005D0E30"/>
    <w:rsid w:val="005D1685"/>
    <w:rsid w:val="005D4DE6"/>
    <w:rsid w:val="005D6A9C"/>
    <w:rsid w:val="005D6E60"/>
    <w:rsid w:val="005E0019"/>
    <w:rsid w:val="005E2184"/>
    <w:rsid w:val="005E53D2"/>
    <w:rsid w:val="005E6361"/>
    <w:rsid w:val="005E779B"/>
    <w:rsid w:val="005E7A00"/>
    <w:rsid w:val="005F34CC"/>
    <w:rsid w:val="005F3B56"/>
    <w:rsid w:val="005F3C24"/>
    <w:rsid w:val="005F7A76"/>
    <w:rsid w:val="005F7D2C"/>
    <w:rsid w:val="00600ABC"/>
    <w:rsid w:val="00601358"/>
    <w:rsid w:val="006016B3"/>
    <w:rsid w:val="006035ED"/>
    <w:rsid w:val="00604FA2"/>
    <w:rsid w:val="0060504C"/>
    <w:rsid w:val="00605992"/>
    <w:rsid w:val="006059E7"/>
    <w:rsid w:val="0061081A"/>
    <w:rsid w:val="00611652"/>
    <w:rsid w:val="00612716"/>
    <w:rsid w:val="00615C28"/>
    <w:rsid w:val="00621342"/>
    <w:rsid w:val="006214C9"/>
    <w:rsid w:val="00621E13"/>
    <w:rsid w:val="00622846"/>
    <w:rsid w:val="00623019"/>
    <w:rsid w:val="006243E2"/>
    <w:rsid w:val="00630A9C"/>
    <w:rsid w:val="006336A5"/>
    <w:rsid w:val="00634D2B"/>
    <w:rsid w:val="00635E10"/>
    <w:rsid w:val="006409F4"/>
    <w:rsid w:val="00640B26"/>
    <w:rsid w:val="00640BA1"/>
    <w:rsid w:val="00642A3C"/>
    <w:rsid w:val="006431AA"/>
    <w:rsid w:val="00643558"/>
    <w:rsid w:val="00643D43"/>
    <w:rsid w:val="00644504"/>
    <w:rsid w:val="00646535"/>
    <w:rsid w:val="006500D8"/>
    <w:rsid w:val="006502EB"/>
    <w:rsid w:val="00651E5E"/>
    <w:rsid w:val="00651EAF"/>
    <w:rsid w:val="006536C0"/>
    <w:rsid w:val="00654CEE"/>
    <w:rsid w:val="006577E2"/>
    <w:rsid w:val="00657859"/>
    <w:rsid w:val="00657B18"/>
    <w:rsid w:val="00661310"/>
    <w:rsid w:val="0066134E"/>
    <w:rsid w:val="0066190A"/>
    <w:rsid w:val="00661B2C"/>
    <w:rsid w:val="00661CEF"/>
    <w:rsid w:val="00663477"/>
    <w:rsid w:val="00665431"/>
    <w:rsid w:val="006673D9"/>
    <w:rsid w:val="00670C31"/>
    <w:rsid w:val="00670D99"/>
    <w:rsid w:val="0067118A"/>
    <w:rsid w:val="0067123E"/>
    <w:rsid w:val="00673046"/>
    <w:rsid w:val="00674DA6"/>
    <w:rsid w:val="006757B6"/>
    <w:rsid w:val="0067631F"/>
    <w:rsid w:val="00676C72"/>
    <w:rsid w:val="00676DBE"/>
    <w:rsid w:val="006804E6"/>
    <w:rsid w:val="00681751"/>
    <w:rsid w:val="00681758"/>
    <w:rsid w:val="00681914"/>
    <w:rsid w:val="00681FF3"/>
    <w:rsid w:val="00682600"/>
    <w:rsid w:val="00683B02"/>
    <w:rsid w:val="0068533F"/>
    <w:rsid w:val="00687972"/>
    <w:rsid w:val="00687AE7"/>
    <w:rsid w:val="006911FD"/>
    <w:rsid w:val="006935F1"/>
    <w:rsid w:val="006936C7"/>
    <w:rsid w:val="00693711"/>
    <w:rsid w:val="0069427E"/>
    <w:rsid w:val="006943EB"/>
    <w:rsid w:val="006A0878"/>
    <w:rsid w:val="006A17C8"/>
    <w:rsid w:val="006A235B"/>
    <w:rsid w:val="006A250D"/>
    <w:rsid w:val="006B04C2"/>
    <w:rsid w:val="006B1F3A"/>
    <w:rsid w:val="006B22CB"/>
    <w:rsid w:val="006B3665"/>
    <w:rsid w:val="006B392F"/>
    <w:rsid w:val="006B4526"/>
    <w:rsid w:val="006B4C1C"/>
    <w:rsid w:val="006B50AA"/>
    <w:rsid w:val="006B726C"/>
    <w:rsid w:val="006B7916"/>
    <w:rsid w:val="006C0BC4"/>
    <w:rsid w:val="006C1E0F"/>
    <w:rsid w:val="006C3BD6"/>
    <w:rsid w:val="006C4508"/>
    <w:rsid w:val="006D001F"/>
    <w:rsid w:val="006D1551"/>
    <w:rsid w:val="006D2466"/>
    <w:rsid w:val="006D32A9"/>
    <w:rsid w:val="006D3424"/>
    <w:rsid w:val="006D5059"/>
    <w:rsid w:val="006D6A71"/>
    <w:rsid w:val="006D6F0E"/>
    <w:rsid w:val="006D7081"/>
    <w:rsid w:val="006E0C7F"/>
    <w:rsid w:val="006E3D34"/>
    <w:rsid w:val="006E52BA"/>
    <w:rsid w:val="006E6FC0"/>
    <w:rsid w:val="006E71BB"/>
    <w:rsid w:val="006E7662"/>
    <w:rsid w:val="006F1196"/>
    <w:rsid w:val="006F5EA5"/>
    <w:rsid w:val="007006A1"/>
    <w:rsid w:val="00702A0C"/>
    <w:rsid w:val="00702E71"/>
    <w:rsid w:val="007046A8"/>
    <w:rsid w:val="0070492E"/>
    <w:rsid w:val="0070700F"/>
    <w:rsid w:val="00711683"/>
    <w:rsid w:val="0071176A"/>
    <w:rsid w:val="00711B14"/>
    <w:rsid w:val="00712E30"/>
    <w:rsid w:val="00713613"/>
    <w:rsid w:val="007144AB"/>
    <w:rsid w:val="007157B0"/>
    <w:rsid w:val="00715BC2"/>
    <w:rsid w:val="00720A02"/>
    <w:rsid w:val="00720CDD"/>
    <w:rsid w:val="007217A5"/>
    <w:rsid w:val="00722B78"/>
    <w:rsid w:val="00722D35"/>
    <w:rsid w:val="00722F61"/>
    <w:rsid w:val="0072309B"/>
    <w:rsid w:val="007233A0"/>
    <w:rsid w:val="00723425"/>
    <w:rsid w:val="00724876"/>
    <w:rsid w:val="00732963"/>
    <w:rsid w:val="007344BA"/>
    <w:rsid w:val="00737349"/>
    <w:rsid w:val="00737384"/>
    <w:rsid w:val="00750090"/>
    <w:rsid w:val="00750A45"/>
    <w:rsid w:val="00750BC3"/>
    <w:rsid w:val="00751CBC"/>
    <w:rsid w:val="00752FCB"/>
    <w:rsid w:val="00756077"/>
    <w:rsid w:val="0076044A"/>
    <w:rsid w:val="00760A5E"/>
    <w:rsid w:val="007626A5"/>
    <w:rsid w:val="00765BE4"/>
    <w:rsid w:val="00767322"/>
    <w:rsid w:val="00767CFB"/>
    <w:rsid w:val="007705D3"/>
    <w:rsid w:val="00771755"/>
    <w:rsid w:val="00772170"/>
    <w:rsid w:val="00774424"/>
    <w:rsid w:val="0077455A"/>
    <w:rsid w:val="0077584E"/>
    <w:rsid w:val="00775889"/>
    <w:rsid w:val="00775A7E"/>
    <w:rsid w:val="00777525"/>
    <w:rsid w:val="00784CA3"/>
    <w:rsid w:val="0079152C"/>
    <w:rsid w:val="00791DCB"/>
    <w:rsid w:val="007923A1"/>
    <w:rsid w:val="007925A2"/>
    <w:rsid w:val="0079375D"/>
    <w:rsid w:val="00793E9F"/>
    <w:rsid w:val="007942B9"/>
    <w:rsid w:val="00794499"/>
    <w:rsid w:val="007944A2"/>
    <w:rsid w:val="0079732B"/>
    <w:rsid w:val="007A1879"/>
    <w:rsid w:val="007A187E"/>
    <w:rsid w:val="007A4F56"/>
    <w:rsid w:val="007A4F5C"/>
    <w:rsid w:val="007A7428"/>
    <w:rsid w:val="007B02E9"/>
    <w:rsid w:val="007B07DA"/>
    <w:rsid w:val="007B0AFA"/>
    <w:rsid w:val="007B276B"/>
    <w:rsid w:val="007B3535"/>
    <w:rsid w:val="007B38CA"/>
    <w:rsid w:val="007B5E84"/>
    <w:rsid w:val="007B6955"/>
    <w:rsid w:val="007C066A"/>
    <w:rsid w:val="007C08B2"/>
    <w:rsid w:val="007C101A"/>
    <w:rsid w:val="007C48CB"/>
    <w:rsid w:val="007C4EBE"/>
    <w:rsid w:val="007C618B"/>
    <w:rsid w:val="007C6DDF"/>
    <w:rsid w:val="007C7C58"/>
    <w:rsid w:val="007D0BFB"/>
    <w:rsid w:val="007D3D7D"/>
    <w:rsid w:val="007D3EC3"/>
    <w:rsid w:val="007D6EC0"/>
    <w:rsid w:val="007D6F3E"/>
    <w:rsid w:val="007D7164"/>
    <w:rsid w:val="007E0D63"/>
    <w:rsid w:val="007E2738"/>
    <w:rsid w:val="007E52D8"/>
    <w:rsid w:val="007E5FB5"/>
    <w:rsid w:val="007E70F3"/>
    <w:rsid w:val="007F1AF1"/>
    <w:rsid w:val="00800388"/>
    <w:rsid w:val="008020F4"/>
    <w:rsid w:val="0080302F"/>
    <w:rsid w:val="008040A2"/>
    <w:rsid w:val="008066EA"/>
    <w:rsid w:val="00806980"/>
    <w:rsid w:val="008102E0"/>
    <w:rsid w:val="0081233D"/>
    <w:rsid w:val="00812384"/>
    <w:rsid w:val="00812F45"/>
    <w:rsid w:val="00814A36"/>
    <w:rsid w:val="00816E98"/>
    <w:rsid w:val="00816EFA"/>
    <w:rsid w:val="00817E79"/>
    <w:rsid w:val="008203F7"/>
    <w:rsid w:val="00821C6F"/>
    <w:rsid w:val="0082552D"/>
    <w:rsid w:val="00826096"/>
    <w:rsid w:val="00826665"/>
    <w:rsid w:val="00830724"/>
    <w:rsid w:val="00831189"/>
    <w:rsid w:val="00832BB9"/>
    <w:rsid w:val="00832E94"/>
    <w:rsid w:val="008335F6"/>
    <w:rsid w:val="00833A69"/>
    <w:rsid w:val="00835DCC"/>
    <w:rsid w:val="008365FB"/>
    <w:rsid w:val="008374A5"/>
    <w:rsid w:val="00841533"/>
    <w:rsid w:val="00841A5A"/>
    <w:rsid w:val="00841EFC"/>
    <w:rsid w:val="0084209B"/>
    <w:rsid w:val="008424F2"/>
    <w:rsid w:val="0084379A"/>
    <w:rsid w:val="0084387B"/>
    <w:rsid w:val="008455DD"/>
    <w:rsid w:val="00846B8E"/>
    <w:rsid w:val="00852CFC"/>
    <w:rsid w:val="008530BD"/>
    <w:rsid w:val="00853F1F"/>
    <w:rsid w:val="00854077"/>
    <w:rsid w:val="008564A1"/>
    <w:rsid w:val="00856D71"/>
    <w:rsid w:val="0086009E"/>
    <w:rsid w:val="00860A66"/>
    <w:rsid w:val="00861569"/>
    <w:rsid w:val="0086174C"/>
    <w:rsid w:val="00863E31"/>
    <w:rsid w:val="008644FC"/>
    <w:rsid w:val="00865A13"/>
    <w:rsid w:val="00867328"/>
    <w:rsid w:val="00870CEB"/>
    <w:rsid w:val="0087205A"/>
    <w:rsid w:val="0087366F"/>
    <w:rsid w:val="00873C1D"/>
    <w:rsid w:val="00876075"/>
    <w:rsid w:val="00876254"/>
    <w:rsid w:val="0087788F"/>
    <w:rsid w:val="00877BE8"/>
    <w:rsid w:val="00880F67"/>
    <w:rsid w:val="00882112"/>
    <w:rsid w:val="00882DA2"/>
    <w:rsid w:val="00885924"/>
    <w:rsid w:val="008866C4"/>
    <w:rsid w:val="008875E0"/>
    <w:rsid w:val="00887C07"/>
    <w:rsid w:val="00890376"/>
    <w:rsid w:val="00890D0F"/>
    <w:rsid w:val="008923E1"/>
    <w:rsid w:val="00892850"/>
    <w:rsid w:val="00895B5C"/>
    <w:rsid w:val="008961C6"/>
    <w:rsid w:val="008A0A52"/>
    <w:rsid w:val="008A276D"/>
    <w:rsid w:val="008A38FB"/>
    <w:rsid w:val="008A3EE0"/>
    <w:rsid w:val="008A43BC"/>
    <w:rsid w:val="008A5504"/>
    <w:rsid w:val="008A5FF0"/>
    <w:rsid w:val="008A61AC"/>
    <w:rsid w:val="008A77A1"/>
    <w:rsid w:val="008B0071"/>
    <w:rsid w:val="008B2F41"/>
    <w:rsid w:val="008B3392"/>
    <w:rsid w:val="008B3593"/>
    <w:rsid w:val="008B43B2"/>
    <w:rsid w:val="008B57BF"/>
    <w:rsid w:val="008B61AC"/>
    <w:rsid w:val="008B7C62"/>
    <w:rsid w:val="008C13EA"/>
    <w:rsid w:val="008C3424"/>
    <w:rsid w:val="008D356A"/>
    <w:rsid w:val="008D3D26"/>
    <w:rsid w:val="008D3EC2"/>
    <w:rsid w:val="008D41AC"/>
    <w:rsid w:val="008D42DC"/>
    <w:rsid w:val="008D43CB"/>
    <w:rsid w:val="008D61DA"/>
    <w:rsid w:val="008E0D11"/>
    <w:rsid w:val="008E23EB"/>
    <w:rsid w:val="008E3831"/>
    <w:rsid w:val="008E6866"/>
    <w:rsid w:val="008F1262"/>
    <w:rsid w:val="008F1304"/>
    <w:rsid w:val="008F26E9"/>
    <w:rsid w:val="008F4CB1"/>
    <w:rsid w:val="008F4DD7"/>
    <w:rsid w:val="008F7E4F"/>
    <w:rsid w:val="009019A9"/>
    <w:rsid w:val="00902600"/>
    <w:rsid w:val="00902D6F"/>
    <w:rsid w:val="00903CF3"/>
    <w:rsid w:val="009055FD"/>
    <w:rsid w:val="00905933"/>
    <w:rsid w:val="00907453"/>
    <w:rsid w:val="009110E1"/>
    <w:rsid w:val="00911D45"/>
    <w:rsid w:val="00912E5D"/>
    <w:rsid w:val="00913830"/>
    <w:rsid w:val="00913E0A"/>
    <w:rsid w:val="00916538"/>
    <w:rsid w:val="00916A88"/>
    <w:rsid w:val="00920ECD"/>
    <w:rsid w:val="00925164"/>
    <w:rsid w:val="00930374"/>
    <w:rsid w:val="00932CE8"/>
    <w:rsid w:val="00932FD4"/>
    <w:rsid w:val="009332F9"/>
    <w:rsid w:val="009341D8"/>
    <w:rsid w:val="009346AC"/>
    <w:rsid w:val="00945252"/>
    <w:rsid w:val="00950312"/>
    <w:rsid w:val="0095463C"/>
    <w:rsid w:val="00955D95"/>
    <w:rsid w:val="009608DC"/>
    <w:rsid w:val="0096184A"/>
    <w:rsid w:val="0096252C"/>
    <w:rsid w:val="00962CC8"/>
    <w:rsid w:val="00965405"/>
    <w:rsid w:val="009704A0"/>
    <w:rsid w:val="0097149D"/>
    <w:rsid w:val="0097369D"/>
    <w:rsid w:val="00973EBF"/>
    <w:rsid w:val="00974689"/>
    <w:rsid w:val="00974E9D"/>
    <w:rsid w:val="009776A4"/>
    <w:rsid w:val="00977E84"/>
    <w:rsid w:val="00981943"/>
    <w:rsid w:val="00982C6B"/>
    <w:rsid w:val="00983117"/>
    <w:rsid w:val="00983A5F"/>
    <w:rsid w:val="00984BBE"/>
    <w:rsid w:val="009867F8"/>
    <w:rsid w:val="009900CF"/>
    <w:rsid w:val="00991D94"/>
    <w:rsid w:val="00992218"/>
    <w:rsid w:val="00993C3A"/>
    <w:rsid w:val="00993C3E"/>
    <w:rsid w:val="00994946"/>
    <w:rsid w:val="00995CB7"/>
    <w:rsid w:val="009A1458"/>
    <w:rsid w:val="009A2736"/>
    <w:rsid w:val="009A5B13"/>
    <w:rsid w:val="009A7ECC"/>
    <w:rsid w:val="009B0369"/>
    <w:rsid w:val="009B0C92"/>
    <w:rsid w:val="009B2698"/>
    <w:rsid w:val="009B48FF"/>
    <w:rsid w:val="009B6213"/>
    <w:rsid w:val="009B7D9A"/>
    <w:rsid w:val="009C12DC"/>
    <w:rsid w:val="009C1981"/>
    <w:rsid w:val="009C1B3F"/>
    <w:rsid w:val="009C303F"/>
    <w:rsid w:val="009C3500"/>
    <w:rsid w:val="009D0912"/>
    <w:rsid w:val="009D107A"/>
    <w:rsid w:val="009D32C6"/>
    <w:rsid w:val="009D4D8E"/>
    <w:rsid w:val="009D609E"/>
    <w:rsid w:val="009E060B"/>
    <w:rsid w:val="009E0939"/>
    <w:rsid w:val="009E0D5C"/>
    <w:rsid w:val="009E0D85"/>
    <w:rsid w:val="009E28D8"/>
    <w:rsid w:val="009E2C05"/>
    <w:rsid w:val="009E3CF2"/>
    <w:rsid w:val="009E40CA"/>
    <w:rsid w:val="009E67D1"/>
    <w:rsid w:val="009E6E11"/>
    <w:rsid w:val="009F0FB2"/>
    <w:rsid w:val="00A02E93"/>
    <w:rsid w:val="00A02F04"/>
    <w:rsid w:val="00A030AE"/>
    <w:rsid w:val="00A0358C"/>
    <w:rsid w:val="00A03AB7"/>
    <w:rsid w:val="00A04597"/>
    <w:rsid w:val="00A1291B"/>
    <w:rsid w:val="00A14465"/>
    <w:rsid w:val="00A1484F"/>
    <w:rsid w:val="00A15D78"/>
    <w:rsid w:val="00A16358"/>
    <w:rsid w:val="00A20902"/>
    <w:rsid w:val="00A23DDE"/>
    <w:rsid w:val="00A2444A"/>
    <w:rsid w:val="00A261FC"/>
    <w:rsid w:val="00A277C1"/>
    <w:rsid w:val="00A27E63"/>
    <w:rsid w:val="00A324D5"/>
    <w:rsid w:val="00A37F3A"/>
    <w:rsid w:val="00A4047C"/>
    <w:rsid w:val="00A42A8F"/>
    <w:rsid w:val="00A434A3"/>
    <w:rsid w:val="00A43EC2"/>
    <w:rsid w:val="00A44206"/>
    <w:rsid w:val="00A442AC"/>
    <w:rsid w:val="00A443D1"/>
    <w:rsid w:val="00A44950"/>
    <w:rsid w:val="00A4513E"/>
    <w:rsid w:val="00A47398"/>
    <w:rsid w:val="00A47C02"/>
    <w:rsid w:val="00A5410A"/>
    <w:rsid w:val="00A546B9"/>
    <w:rsid w:val="00A54E7B"/>
    <w:rsid w:val="00A568AF"/>
    <w:rsid w:val="00A56ADF"/>
    <w:rsid w:val="00A57A23"/>
    <w:rsid w:val="00A57DFB"/>
    <w:rsid w:val="00A61E62"/>
    <w:rsid w:val="00A62528"/>
    <w:rsid w:val="00A62634"/>
    <w:rsid w:val="00A626C3"/>
    <w:rsid w:val="00A62730"/>
    <w:rsid w:val="00A65132"/>
    <w:rsid w:val="00A71433"/>
    <w:rsid w:val="00A73034"/>
    <w:rsid w:val="00A730E2"/>
    <w:rsid w:val="00A7465C"/>
    <w:rsid w:val="00A75A11"/>
    <w:rsid w:val="00A75C9D"/>
    <w:rsid w:val="00A769DA"/>
    <w:rsid w:val="00A773E7"/>
    <w:rsid w:val="00A7785E"/>
    <w:rsid w:val="00A77EC2"/>
    <w:rsid w:val="00A8094F"/>
    <w:rsid w:val="00A8138D"/>
    <w:rsid w:val="00A8201A"/>
    <w:rsid w:val="00A8506E"/>
    <w:rsid w:val="00A86131"/>
    <w:rsid w:val="00A90F5F"/>
    <w:rsid w:val="00A91FF0"/>
    <w:rsid w:val="00A922C2"/>
    <w:rsid w:val="00A95FF8"/>
    <w:rsid w:val="00A97124"/>
    <w:rsid w:val="00AA1514"/>
    <w:rsid w:val="00AA67BF"/>
    <w:rsid w:val="00AB125B"/>
    <w:rsid w:val="00AB2112"/>
    <w:rsid w:val="00AB2210"/>
    <w:rsid w:val="00AB43C1"/>
    <w:rsid w:val="00AB5D63"/>
    <w:rsid w:val="00AB5D96"/>
    <w:rsid w:val="00AB6EBE"/>
    <w:rsid w:val="00AC055B"/>
    <w:rsid w:val="00AC1A13"/>
    <w:rsid w:val="00AC4504"/>
    <w:rsid w:val="00AC5612"/>
    <w:rsid w:val="00AC68A6"/>
    <w:rsid w:val="00AC69F3"/>
    <w:rsid w:val="00AD051A"/>
    <w:rsid w:val="00AD0A4C"/>
    <w:rsid w:val="00AD0ECE"/>
    <w:rsid w:val="00AD15E6"/>
    <w:rsid w:val="00AD1604"/>
    <w:rsid w:val="00AD172D"/>
    <w:rsid w:val="00AD19F9"/>
    <w:rsid w:val="00AD22C1"/>
    <w:rsid w:val="00AD362D"/>
    <w:rsid w:val="00AD5868"/>
    <w:rsid w:val="00AD6FA8"/>
    <w:rsid w:val="00AE17D6"/>
    <w:rsid w:val="00AE1C01"/>
    <w:rsid w:val="00AE216B"/>
    <w:rsid w:val="00AE3979"/>
    <w:rsid w:val="00AF05B5"/>
    <w:rsid w:val="00AF0834"/>
    <w:rsid w:val="00AF13DB"/>
    <w:rsid w:val="00AF154F"/>
    <w:rsid w:val="00AF2D60"/>
    <w:rsid w:val="00AF35AD"/>
    <w:rsid w:val="00AF598C"/>
    <w:rsid w:val="00B02FD3"/>
    <w:rsid w:val="00B055BC"/>
    <w:rsid w:val="00B109CC"/>
    <w:rsid w:val="00B10F21"/>
    <w:rsid w:val="00B11BA6"/>
    <w:rsid w:val="00B11F80"/>
    <w:rsid w:val="00B12F4C"/>
    <w:rsid w:val="00B136AB"/>
    <w:rsid w:val="00B158B9"/>
    <w:rsid w:val="00B17A2D"/>
    <w:rsid w:val="00B17C19"/>
    <w:rsid w:val="00B212AA"/>
    <w:rsid w:val="00B21E26"/>
    <w:rsid w:val="00B23ED1"/>
    <w:rsid w:val="00B31EAB"/>
    <w:rsid w:val="00B357C2"/>
    <w:rsid w:val="00B37C78"/>
    <w:rsid w:val="00B40363"/>
    <w:rsid w:val="00B411FF"/>
    <w:rsid w:val="00B42627"/>
    <w:rsid w:val="00B433B0"/>
    <w:rsid w:val="00B44214"/>
    <w:rsid w:val="00B45DA5"/>
    <w:rsid w:val="00B47E0D"/>
    <w:rsid w:val="00B47EF1"/>
    <w:rsid w:val="00B5117E"/>
    <w:rsid w:val="00B5131A"/>
    <w:rsid w:val="00B525DD"/>
    <w:rsid w:val="00B537DE"/>
    <w:rsid w:val="00B63035"/>
    <w:rsid w:val="00B6451B"/>
    <w:rsid w:val="00B661FA"/>
    <w:rsid w:val="00B666AF"/>
    <w:rsid w:val="00B7090B"/>
    <w:rsid w:val="00B71113"/>
    <w:rsid w:val="00B71E1A"/>
    <w:rsid w:val="00B72F10"/>
    <w:rsid w:val="00B747E3"/>
    <w:rsid w:val="00B75AAD"/>
    <w:rsid w:val="00B75FB2"/>
    <w:rsid w:val="00B765A3"/>
    <w:rsid w:val="00B80B21"/>
    <w:rsid w:val="00B81A2B"/>
    <w:rsid w:val="00B81EDA"/>
    <w:rsid w:val="00B821BB"/>
    <w:rsid w:val="00B85C8F"/>
    <w:rsid w:val="00B90996"/>
    <w:rsid w:val="00B9121F"/>
    <w:rsid w:val="00B913BC"/>
    <w:rsid w:val="00B91488"/>
    <w:rsid w:val="00B94736"/>
    <w:rsid w:val="00B97A85"/>
    <w:rsid w:val="00BA001A"/>
    <w:rsid w:val="00BA0E25"/>
    <w:rsid w:val="00BA1742"/>
    <w:rsid w:val="00BA1D06"/>
    <w:rsid w:val="00BA5596"/>
    <w:rsid w:val="00BA5648"/>
    <w:rsid w:val="00BB13DF"/>
    <w:rsid w:val="00BB1D74"/>
    <w:rsid w:val="00BB2ECC"/>
    <w:rsid w:val="00BB53BF"/>
    <w:rsid w:val="00BC2E65"/>
    <w:rsid w:val="00BD00D7"/>
    <w:rsid w:val="00BD111C"/>
    <w:rsid w:val="00BD3359"/>
    <w:rsid w:val="00BD61DE"/>
    <w:rsid w:val="00BE0AD3"/>
    <w:rsid w:val="00BE17AB"/>
    <w:rsid w:val="00BE23FE"/>
    <w:rsid w:val="00BE58CB"/>
    <w:rsid w:val="00BF0388"/>
    <w:rsid w:val="00BF1BD3"/>
    <w:rsid w:val="00BF240B"/>
    <w:rsid w:val="00BF4B18"/>
    <w:rsid w:val="00BF5E20"/>
    <w:rsid w:val="00C00655"/>
    <w:rsid w:val="00C03547"/>
    <w:rsid w:val="00C05109"/>
    <w:rsid w:val="00C06549"/>
    <w:rsid w:val="00C117A2"/>
    <w:rsid w:val="00C156F9"/>
    <w:rsid w:val="00C15A12"/>
    <w:rsid w:val="00C167CC"/>
    <w:rsid w:val="00C16B65"/>
    <w:rsid w:val="00C2353B"/>
    <w:rsid w:val="00C237F6"/>
    <w:rsid w:val="00C263F2"/>
    <w:rsid w:val="00C269D3"/>
    <w:rsid w:val="00C27E88"/>
    <w:rsid w:val="00C30CCB"/>
    <w:rsid w:val="00C3218F"/>
    <w:rsid w:val="00C33EF1"/>
    <w:rsid w:val="00C33F8A"/>
    <w:rsid w:val="00C34B5E"/>
    <w:rsid w:val="00C35005"/>
    <w:rsid w:val="00C3742A"/>
    <w:rsid w:val="00C41823"/>
    <w:rsid w:val="00C41D27"/>
    <w:rsid w:val="00C41DF5"/>
    <w:rsid w:val="00C43623"/>
    <w:rsid w:val="00C43BA0"/>
    <w:rsid w:val="00C44501"/>
    <w:rsid w:val="00C4481A"/>
    <w:rsid w:val="00C44B81"/>
    <w:rsid w:val="00C46186"/>
    <w:rsid w:val="00C465EC"/>
    <w:rsid w:val="00C46CDC"/>
    <w:rsid w:val="00C53F8B"/>
    <w:rsid w:val="00C54002"/>
    <w:rsid w:val="00C56080"/>
    <w:rsid w:val="00C569FA"/>
    <w:rsid w:val="00C56EC2"/>
    <w:rsid w:val="00C6016A"/>
    <w:rsid w:val="00C61747"/>
    <w:rsid w:val="00C62081"/>
    <w:rsid w:val="00C6266A"/>
    <w:rsid w:val="00C62E99"/>
    <w:rsid w:val="00C66169"/>
    <w:rsid w:val="00C66FD5"/>
    <w:rsid w:val="00C704E4"/>
    <w:rsid w:val="00C72D3A"/>
    <w:rsid w:val="00C734C9"/>
    <w:rsid w:val="00C73BBC"/>
    <w:rsid w:val="00C746AB"/>
    <w:rsid w:val="00C751AB"/>
    <w:rsid w:val="00C75D62"/>
    <w:rsid w:val="00C806A9"/>
    <w:rsid w:val="00C809CC"/>
    <w:rsid w:val="00C846EF"/>
    <w:rsid w:val="00C96E94"/>
    <w:rsid w:val="00CA0186"/>
    <w:rsid w:val="00CA0B0D"/>
    <w:rsid w:val="00CA13A8"/>
    <w:rsid w:val="00CA13AC"/>
    <w:rsid w:val="00CA1554"/>
    <w:rsid w:val="00CA3114"/>
    <w:rsid w:val="00CA4B98"/>
    <w:rsid w:val="00CA5688"/>
    <w:rsid w:val="00CB0C12"/>
    <w:rsid w:val="00CB313B"/>
    <w:rsid w:val="00CB35B7"/>
    <w:rsid w:val="00CB4360"/>
    <w:rsid w:val="00CB4E82"/>
    <w:rsid w:val="00CB56D8"/>
    <w:rsid w:val="00CB58D4"/>
    <w:rsid w:val="00CB5FFA"/>
    <w:rsid w:val="00CB6059"/>
    <w:rsid w:val="00CB6917"/>
    <w:rsid w:val="00CB7D83"/>
    <w:rsid w:val="00CC120A"/>
    <w:rsid w:val="00CC3124"/>
    <w:rsid w:val="00CC3E51"/>
    <w:rsid w:val="00CC49B4"/>
    <w:rsid w:val="00CC4D8F"/>
    <w:rsid w:val="00CC5C0F"/>
    <w:rsid w:val="00CD20F9"/>
    <w:rsid w:val="00CD256A"/>
    <w:rsid w:val="00CD61BF"/>
    <w:rsid w:val="00CD6B8F"/>
    <w:rsid w:val="00CE1E7F"/>
    <w:rsid w:val="00CE27D4"/>
    <w:rsid w:val="00CE36EC"/>
    <w:rsid w:val="00CE49A1"/>
    <w:rsid w:val="00CE552E"/>
    <w:rsid w:val="00CE5FA2"/>
    <w:rsid w:val="00CE6C93"/>
    <w:rsid w:val="00CE7119"/>
    <w:rsid w:val="00CE7D49"/>
    <w:rsid w:val="00CF11A1"/>
    <w:rsid w:val="00CF12BC"/>
    <w:rsid w:val="00CF203C"/>
    <w:rsid w:val="00CF2DCF"/>
    <w:rsid w:val="00CF445B"/>
    <w:rsid w:val="00CF634C"/>
    <w:rsid w:val="00D016C9"/>
    <w:rsid w:val="00D07C8E"/>
    <w:rsid w:val="00D10DE7"/>
    <w:rsid w:val="00D1198A"/>
    <w:rsid w:val="00D1226F"/>
    <w:rsid w:val="00D1493D"/>
    <w:rsid w:val="00D15382"/>
    <w:rsid w:val="00D15630"/>
    <w:rsid w:val="00D163C3"/>
    <w:rsid w:val="00D17B23"/>
    <w:rsid w:val="00D17C6A"/>
    <w:rsid w:val="00D17EB2"/>
    <w:rsid w:val="00D17EBC"/>
    <w:rsid w:val="00D20061"/>
    <w:rsid w:val="00D22D5D"/>
    <w:rsid w:val="00D276F2"/>
    <w:rsid w:val="00D302F8"/>
    <w:rsid w:val="00D31641"/>
    <w:rsid w:val="00D345FD"/>
    <w:rsid w:val="00D36D30"/>
    <w:rsid w:val="00D406D1"/>
    <w:rsid w:val="00D419C8"/>
    <w:rsid w:val="00D44139"/>
    <w:rsid w:val="00D455E6"/>
    <w:rsid w:val="00D461DE"/>
    <w:rsid w:val="00D470A0"/>
    <w:rsid w:val="00D472FD"/>
    <w:rsid w:val="00D54A3A"/>
    <w:rsid w:val="00D56943"/>
    <w:rsid w:val="00D56F06"/>
    <w:rsid w:val="00D57997"/>
    <w:rsid w:val="00D61537"/>
    <w:rsid w:val="00D6159D"/>
    <w:rsid w:val="00D63460"/>
    <w:rsid w:val="00D63639"/>
    <w:rsid w:val="00D6504F"/>
    <w:rsid w:val="00D65106"/>
    <w:rsid w:val="00D65ED3"/>
    <w:rsid w:val="00D66246"/>
    <w:rsid w:val="00D70CF4"/>
    <w:rsid w:val="00D70FF8"/>
    <w:rsid w:val="00D71688"/>
    <w:rsid w:val="00D727B4"/>
    <w:rsid w:val="00D73179"/>
    <w:rsid w:val="00D7322A"/>
    <w:rsid w:val="00D760BF"/>
    <w:rsid w:val="00D76CA2"/>
    <w:rsid w:val="00D8052A"/>
    <w:rsid w:val="00D81F49"/>
    <w:rsid w:val="00D82212"/>
    <w:rsid w:val="00D835E4"/>
    <w:rsid w:val="00D839BD"/>
    <w:rsid w:val="00D8581F"/>
    <w:rsid w:val="00D85DF3"/>
    <w:rsid w:val="00D877AC"/>
    <w:rsid w:val="00D917D4"/>
    <w:rsid w:val="00D91E1F"/>
    <w:rsid w:val="00D93FC5"/>
    <w:rsid w:val="00D953A0"/>
    <w:rsid w:val="00D96278"/>
    <w:rsid w:val="00D96D8C"/>
    <w:rsid w:val="00DA1080"/>
    <w:rsid w:val="00DA338E"/>
    <w:rsid w:val="00DA3D37"/>
    <w:rsid w:val="00DA4F96"/>
    <w:rsid w:val="00DB0EAD"/>
    <w:rsid w:val="00DB337D"/>
    <w:rsid w:val="00DB4257"/>
    <w:rsid w:val="00DB56F6"/>
    <w:rsid w:val="00DB7F71"/>
    <w:rsid w:val="00DC0ADD"/>
    <w:rsid w:val="00DC260A"/>
    <w:rsid w:val="00DC3443"/>
    <w:rsid w:val="00DC5726"/>
    <w:rsid w:val="00DC6A68"/>
    <w:rsid w:val="00DC7AC4"/>
    <w:rsid w:val="00DD016C"/>
    <w:rsid w:val="00DD24A7"/>
    <w:rsid w:val="00DD53E3"/>
    <w:rsid w:val="00DD748F"/>
    <w:rsid w:val="00DE0375"/>
    <w:rsid w:val="00DE1BD0"/>
    <w:rsid w:val="00DE2729"/>
    <w:rsid w:val="00DE399D"/>
    <w:rsid w:val="00DE5EDC"/>
    <w:rsid w:val="00DE6916"/>
    <w:rsid w:val="00DE695B"/>
    <w:rsid w:val="00DF016B"/>
    <w:rsid w:val="00DF0A65"/>
    <w:rsid w:val="00DF178F"/>
    <w:rsid w:val="00DF28B9"/>
    <w:rsid w:val="00DF2A31"/>
    <w:rsid w:val="00DF2C2C"/>
    <w:rsid w:val="00DF2FD5"/>
    <w:rsid w:val="00DF4A07"/>
    <w:rsid w:val="00DF77C6"/>
    <w:rsid w:val="00E0032A"/>
    <w:rsid w:val="00E01BD6"/>
    <w:rsid w:val="00E02FA7"/>
    <w:rsid w:val="00E043CE"/>
    <w:rsid w:val="00E052F1"/>
    <w:rsid w:val="00E06A28"/>
    <w:rsid w:val="00E10C8B"/>
    <w:rsid w:val="00E10E0F"/>
    <w:rsid w:val="00E11EFD"/>
    <w:rsid w:val="00E12623"/>
    <w:rsid w:val="00E12709"/>
    <w:rsid w:val="00E129EC"/>
    <w:rsid w:val="00E16B33"/>
    <w:rsid w:val="00E2101D"/>
    <w:rsid w:val="00E22582"/>
    <w:rsid w:val="00E23BC7"/>
    <w:rsid w:val="00E24527"/>
    <w:rsid w:val="00E267E2"/>
    <w:rsid w:val="00E32A10"/>
    <w:rsid w:val="00E333E0"/>
    <w:rsid w:val="00E336A6"/>
    <w:rsid w:val="00E33F36"/>
    <w:rsid w:val="00E35DFC"/>
    <w:rsid w:val="00E37A50"/>
    <w:rsid w:val="00E40F05"/>
    <w:rsid w:val="00E4227A"/>
    <w:rsid w:val="00E44846"/>
    <w:rsid w:val="00E45BAE"/>
    <w:rsid w:val="00E46B03"/>
    <w:rsid w:val="00E47127"/>
    <w:rsid w:val="00E4752C"/>
    <w:rsid w:val="00E613BF"/>
    <w:rsid w:val="00E61EC0"/>
    <w:rsid w:val="00E62B7F"/>
    <w:rsid w:val="00E62BF3"/>
    <w:rsid w:val="00E6461D"/>
    <w:rsid w:val="00E67195"/>
    <w:rsid w:val="00E67B03"/>
    <w:rsid w:val="00E71CF7"/>
    <w:rsid w:val="00E760D0"/>
    <w:rsid w:val="00E77283"/>
    <w:rsid w:val="00E776AB"/>
    <w:rsid w:val="00E80C0A"/>
    <w:rsid w:val="00E83C89"/>
    <w:rsid w:val="00E86EF7"/>
    <w:rsid w:val="00E922FB"/>
    <w:rsid w:val="00E92F10"/>
    <w:rsid w:val="00E934E8"/>
    <w:rsid w:val="00E9406D"/>
    <w:rsid w:val="00E94E8B"/>
    <w:rsid w:val="00E95F1E"/>
    <w:rsid w:val="00E9674D"/>
    <w:rsid w:val="00E969FA"/>
    <w:rsid w:val="00E97E4B"/>
    <w:rsid w:val="00EA1B69"/>
    <w:rsid w:val="00EA428C"/>
    <w:rsid w:val="00EA498D"/>
    <w:rsid w:val="00EA4A09"/>
    <w:rsid w:val="00EA514C"/>
    <w:rsid w:val="00EA5BB8"/>
    <w:rsid w:val="00EA5F7F"/>
    <w:rsid w:val="00EA77E9"/>
    <w:rsid w:val="00EB2898"/>
    <w:rsid w:val="00EB743A"/>
    <w:rsid w:val="00EC0091"/>
    <w:rsid w:val="00EC0F50"/>
    <w:rsid w:val="00EC3086"/>
    <w:rsid w:val="00EC4EDE"/>
    <w:rsid w:val="00EC69F1"/>
    <w:rsid w:val="00ED3400"/>
    <w:rsid w:val="00ED38E2"/>
    <w:rsid w:val="00ED5D4A"/>
    <w:rsid w:val="00ED63EF"/>
    <w:rsid w:val="00ED75CD"/>
    <w:rsid w:val="00EE2287"/>
    <w:rsid w:val="00EE57CD"/>
    <w:rsid w:val="00EE5C9D"/>
    <w:rsid w:val="00EE74D3"/>
    <w:rsid w:val="00EE7BE4"/>
    <w:rsid w:val="00EF1BBF"/>
    <w:rsid w:val="00EF2915"/>
    <w:rsid w:val="00EF3BDA"/>
    <w:rsid w:val="00EF4D0B"/>
    <w:rsid w:val="00EF4F01"/>
    <w:rsid w:val="00EF5CD4"/>
    <w:rsid w:val="00EF698A"/>
    <w:rsid w:val="00EF70C6"/>
    <w:rsid w:val="00F02EB8"/>
    <w:rsid w:val="00F07292"/>
    <w:rsid w:val="00F073F9"/>
    <w:rsid w:val="00F127B7"/>
    <w:rsid w:val="00F136EB"/>
    <w:rsid w:val="00F1606F"/>
    <w:rsid w:val="00F16070"/>
    <w:rsid w:val="00F17E2C"/>
    <w:rsid w:val="00F20C76"/>
    <w:rsid w:val="00F22C7C"/>
    <w:rsid w:val="00F23BE8"/>
    <w:rsid w:val="00F2616C"/>
    <w:rsid w:val="00F27550"/>
    <w:rsid w:val="00F27919"/>
    <w:rsid w:val="00F30AF4"/>
    <w:rsid w:val="00F30E8E"/>
    <w:rsid w:val="00F32C11"/>
    <w:rsid w:val="00F335EB"/>
    <w:rsid w:val="00F34701"/>
    <w:rsid w:val="00F405DC"/>
    <w:rsid w:val="00F413D5"/>
    <w:rsid w:val="00F416B0"/>
    <w:rsid w:val="00F45222"/>
    <w:rsid w:val="00F4693D"/>
    <w:rsid w:val="00F50778"/>
    <w:rsid w:val="00F51201"/>
    <w:rsid w:val="00F5174B"/>
    <w:rsid w:val="00F54237"/>
    <w:rsid w:val="00F54D2A"/>
    <w:rsid w:val="00F56247"/>
    <w:rsid w:val="00F57B95"/>
    <w:rsid w:val="00F61D42"/>
    <w:rsid w:val="00F62949"/>
    <w:rsid w:val="00F63004"/>
    <w:rsid w:val="00F6436B"/>
    <w:rsid w:val="00F6456D"/>
    <w:rsid w:val="00F67B93"/>
    <w:rsid w:val="00F70D60"/>
    <w:rsid w:val="00F71E3A"/>
    <w:rsid w:val="00F7286A"/>
    <w:rsid w:val="00F767CF"/>
    <w:rsid w:val="00F7740A"/>
    <w:rsid w:val="00F77C49"/>
    <w:rsid w:val="00F801C2"/>
    <w:rsid w:val="00F8235D"/>
    <w:rsid w:val="00F823FE"/>
    <w:rsid w:val="00F83232"/>
    <w:rsid w:val="00F841C2"/>
    <w:rsid w:val="00F85903"/>
    <w:rsid w:val="00F87691"/>
    <w:rsid w:val="00F9410D"/>
    <w:rsid w:val="00F96A9B"/>
    <w:rsid w:val="00FA27AB"/>
    <w:rsid w:val="00FA2A4D"/>
    <w:rsid w:val="00FA4D7F"/>
    <w:rsid w:val="00FA5188"/>
    <w:rsid w:val="00FA6D71"/>
    <w:rsid w:val="00FB240F"/>
    <w:rsid w:val="00FB47D7"/>
    <w:rsid w:val="00FB6311"/>
    <w:rsid w:val="00FC042C"/>
    <w:rsid w:val="00FC17D4"/>
    <w:rsid w:val="00FC2224"/>
    <w:rsid w:val="00FC58CC"/>
    <w:rsid w:val="00FC5C6C"/>
    <w:rsid w:val="00FC7282"/>
    <w:rsid w:val="00FC7D56"/>
    <w:rsid w:val="00FD1DE2"/>
    <w:rsid w:val="00FD1FD2"/>
    <w:rsid w:val="00FD3D54"/>
    <w:rsid w:val="00FD4C96"/>
    <w:rsid w:val="00FD5273"/>
    <w:rsid w:val="00FD70BE"/>
    <w:rsid w:val="00FE0991"/>
    <w:rsid w:val="00FE1431"/>
    <w:rsid w:val="00FE25DC"/>
    <w:rsid w:val="00FE2A9F"/>
    <w:rsid w:val="00FF0FC6"/>
    <w:rsid w:val="00FF2D36"/>
    <w:rsid w:val="00FF3DF2"/>
    <w:rsid w:val="00FF4B1B"/>
    <w:rsid w:val="00FF6694"/>
    <w:rsid w:val="00FF6C19"/>
    <w:rsid w:val="65A51D31"/>
    <w:rsid w:val="67D548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nhideWhenUsed="0" w:uiPriority="99" w:semiHidden="0" w:name="Date"/>
    <w:lsdException w:uiPriority="99" w:name="Body Text First Indent"/>
    <w:lsdException w:uiPriority="99" w:name="Body Text First Indent 2"/>
    <w:lsdException w:qFormat="1"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宋体"/>
      <w:bCs/>
      <w:sz w:val="21"/>
      <w:szCs w:val="21"/>
      <w:lang w:val="en-US" w:eastAsia="zh-CN" w:bidi="ar-SA"/>
    </w:rPr>
  </w:style>
  <w:style w:type="paragraph" w:styleId="2">
    <w:name w:val="heading 1"/>
    <w:basedOn w:val="1"/>
    <w:next w:val="1"/>
    <w:link w:val="44"/>
    <w:qFormat/>
    <w:uiPriority w:val="99"/>
    <w:pPr>
      <w:keepNext/>
      <w:keepLines/>
      <w:widowControl w:val="0"/>
      <w:spacing w:before="60" w:after="60" w:line="360" w:lineRule="auto"/>
      <w:jc w:val="center"/>
      <w:outlineLvl w:val="0"/>
    </w:pPr>
    <w:rPr>
      <w:rFonts w:ascii="Calibri" w:hAnsi="Calibri" w:eastAsia="黑体" w:cs="Times New Roman"/>
      <w:b/>
      <w:bCs w:val="0"/>
      <w:kern w:val="44"/>
      <w:sz w:val="28"/>
      <w:szCs w:val="44"/>
    </w:rPr>
  </w:style>
  <w:style w:type="paragraph" w:styleId="3">
    <w:name w:val="heading 2"/>
    <w:basedOn w:val="1"/>
    <w:next w:val="1"/>
    <w:link w:val="45"/>
    <w:qFormat/>
    <w:uiPriority w:val="0"/>
    <w:pPr>
      <w:keepNext/>
      <w:keepLines/>
      <w:widowControl w:val="0"/>
      <w:spacing w:before="60" w:after="60"/>
      <w:jc w:val="both"/>
      <w:outlineLvl w:val="1"/>
    </w:pPr>
    <w:rPr>
      <w:rFonts w:ascii="Arial" w:hAnsi="Arial" w:cs="Times New Roman"/>
      <w:b/>
      <w:bCs w:val="0"/>
      <w:kern w:val="2"/>
    </w:rPr>
  </w:style>
  <w:style w:type="paragraph" w:styleId="4">
    <w:name w:val="heading 3"/>
    <w:basedOn w:val="1"/>
    <w:next w:val="1"/>
    <w:link w:val="46"/>
    <w:qFormat/>
    <w:uiPriority w:val="9"/>
    <w:pPr>
      <w:keepNext/>
      <w:keepLines/>
      <w:widowControl w:val="0"/>
      <w:spacing w:before="60" w:after="60"/>
      <w:jc w:val="both"/>
      <w:outlineLvl w:val="2"/>
    </w:pPr>
    <w:rPr>
      <w:rFonts w:ascii="Calibri" w:hAnsi="Calibri" w:cs="Times New Roman"/>
      <w:b/>
      <w:bCs w:val="0"/>
      <w:kern w:val="2"/>
      <w:szCs w:val="32"/>
    </w:rPr>
  </w:style>
  <w:style w:type="paragraph" w:styleId="5">
    <w:name w:val="heading 4"/>
    <w:basedOn w:val="1"/>
    <w:next w:val="1"/>
    <w:link w:val="47"/>
    <w:qFormat/>
    <w:uiPriority w:val="9"/>
    <w:pPr>
      <w:keepNext/>
      <w:keepLines/>
      <w:widowControl w:val="0"/>
      <w:spacing w:before="60" w:after="60"/>
      <w:jc w:val="both"/>
      <w:outlineLvl w:val="3"/>
    </w:pPr>
    <w:rPr>
      <w:rFonts w:ascii="Cambria" w:hAnsi="Cambria" w:cs="Times New Roman"/>
      <w:b/>
      <w:bCs w:val="0"/>
      <w:kern w:val="2"/>
      <w:szCs w:val="28"/>
    </w:rPr>
  </w:style>
  <w:style w:type="paragraph" w:styleId="6">
    <w:name w:val="heading 5"/>
    <w:basedOn w:val="1"/>
    <w:next w:val="1"/>
    <w:link w:val="48"/>
    <w:qFormat/>
    <w:uiPriority w:val="9"/>
    <w:pPr>
      <w:keepNext/>
      <w:keepLines/>
      <w:widowControl w:val="0"/>
      <w:spacing w:before="60" w:after="60"/>
      <w:jc w:val="both"/>
      <w:outlineLvl w:val="4"/>
    </w:pPr>
    <w:rPr>
      <w:rFonts w:ascii="Calibri" w:hAnsi="Calibri" w:cs="Times New Roman"/>
      <w:b/>
      <w:bCs w:val="0"/>
      <w:kern w:val="2"/>
      <w:szCs w:val="28"/>
    </w:rPr>
  </w:style>
  <w:style w:type="paragraph" w:styleId="7">
    <w:name w:val="heading 6"/>
    <w:basedOn w:val="1"/>
    <w:next w:val="1"/>
    <w:link w:val="73"/>
    <w:unhideWhenUsed/>
    <w:qFormat/>
    <w:uiPriority w:val="9"/>
    <w:pPr>
      <w:keepNext/>
      <w:keepLines/>
      <w:spacing w:before="60" w:after="60"/>
      <w:outlineLvl w:val="5"/>
    </w:pPr>
    <w:rPr>
      <w:rFonts w:asciiTheme="majorHAnsi" w:hAnsiTheme="majorHAnsi" w:cstheme="majorBidi"/>
      <w:b/>
      <w:bCs w:val="0"/>
    </w:rPr>
  </w:style>
  <w:style w:type="paragraph" w:styleId="8">
    <w:name w:val="heading 7"/>
    <w:basedOn w:val="1"/>
    <w:next w:val="1"/>
    <w:link w:val="79"/>
    <w:unhideWhenUsed/>
    <w:qFormat/>
    <w:uiPriority w:val="9"/>
    <w:pPr>
      <w:keepNext/>
      <w:keepLines/>
      <w:spacing w:before="240" w:after="64" w:line="320" w:lineRule="auto"/>
      <w:outlineLvl w:val="6"/>
    </w:pPr>
    <w:rPr>
      <w:b/>
      <w:bCs w:val="0"/>
      <w:sz w:val="24"/>
    </w:rPr>
  </w:style>
  <w:style w:type="character" w:default="1" w:styleId="39">
    <w:name w:val="Default Paragraph Font"/>
    <w:semiHidden/>
    <w:unhideWhenUsed/>
    <w:uiPriority w:val="1"/>
  </w:style>
  <w:style w:type="table" w:default="1" w:styleId="37">
    <w:name w:val="Normal Table"/>
    <w:semiHidden/>
    <w:unhideWhenUsed/>
    <w:uiPriority w:val="99"/>
    <w:tblPr>
      <w:tblCellMar>
        <w:top w:w="0" w:type="dxa"/>
        <w:left w:w="108" w:type="dxa"/>
        <w:bottom w:w="0" w:type="dxa"/>
        <w:right w:w="108" w:type="dxa"/>
      </w:tblCellMar>
    </w:tblPr>
  </w:style>
  <w:style w:type="paragraph" w:styleId="9">
    <w:name w:val="toc 7"/>
    <w:basedOn w:val="1"/>
    <w:next w:val="1"/>
    <w:autoRedefine/>
    <w:unhideWhenUsed/>
    <w:qFormat/>
    <w:uiPriority w:val="39"/>
    <w:pPr>
      <w:ind w:left="1260"/>
    </w:pPr>
    <w:rPr>
      <w:rFonts w:asciiTheme="minorHAnsi" w:hAnsiTheme="minorHAnsi" w:cstheme="minorHAnsi"/>
      <w:bCs w:val="0"/>
      <w:sz w:val="18"/>
      <w:szCs w:val="18"/>
    </w:rPr>
  </w:style>
  <w:style w:type="paragraph" w:styleId="10">
    <w:name w:val="Note Heading"/>
    <w:basedOn w:val="1"/>
    <w:next w:val="1"/>
    <w:link w:val="64"/>
    <w:qFormat/>
    <w:uiPriority w:val="99"/>
    <w:pPr>
      <w:widowControl w:val="0"/>
      <w:jc w:val="center"/>
    </w:pPr>
    <w:rPr>
      <w:rFonts w:cs="Times New Roman"/>
      <w:kern w:val="2"/>
    </w:rPr>
  </w:style>
  <w:style w:type="paragraph" w:styleId="11">
    <w:name w:val="Normal Indent"/>
    <w:basedOn w:val="1"/>
    <w:qFormat/>
    <w:uiPriority w:val="0"/>
    <w:pPr>
      <w:widowControl w:val="0"/>
      <w:ind w:firstLine="420" w:firstLineChars="200"/>
      <w:jc w:val="both"/>
    </w:pPr>
    <w:rPr>
      <w:rFonts w:cs="Times New Roman"/>
      <w:kern w:val="2"/>
    </w:rPr>
  </w:style>
  <w:style w:type="paragraph" w:styleId="12">
    <w:name w:val="Document Map"/>
    <w:basedOn w:val="1"/>
    <w:link w:val="69"/>
    <w:semiHidden/>
    <w:unhideWhenUsed/>
    <w:qFormat/>
    <w:uiPriority w:val="99"/>
    <w:pPr>
      <w:widowControl w:val="0"/>
      <w:jc w:val="both"/>
    </w:pPr>
    <w:rPr>
      <w:rFonts w:hAnsi="Calibri" w:cs="Times New Roman"/>
      <w:kern w:val="2"/>
      <w:sz w:val="18"/>
      <w:szCs w:val="18"/>
    </w:rPr>
  </w:style>
  <w:style w:type="paragraph" w:styleId="13">
    <w:name w:val="toa heading"/>
    <w:basedOn w:val="1"/>
    <w:next w:val="1"/>
    <w:semiHidden/>
    <w:qFormat/>
    <w:uiPriority w:val="0"/>
    <w:pPr>
      <w:widowControl w:val="0"/>
      <w:spacing w:before="120"/>
      <w:jc w:val="both"/>
    </w:pPr>
    <w:rPr>
      <w:rFonts w:ascii="Arial" w:hAnsi="Arial" w:cs="Times New Roman"/>
      <w:b/>
      <w:bCs w:val="0"/>
      <w:kern w:val="2"/>
    </w:rPr>
  </w:style>
  <w:style w:type="paragraph" w:styleId="14">
    <w:name w:val="annotation text"/>
    <w:basedOn w:val="1"/>
    <w:link w:val="50"/>
    <w:qFormat/>
    <w:uiPriority w:val="0"/>
    <w:pPr>
      <w:widowControl w:val="0"/>
    </w:pPr>
    <w:rPr>
      <w:rFonts w:cs="Times New Roman"/>
      <w:kern w:val="2"/>
    </w:rPr>
  </w:style>
  <w:style w:type="paragraph" w:styleId="15">
    <w:name w:val="Salutation"/>
    <w:basedOn w:val="1"/>
    <w:next w:val="1"/>
    <w:link w:val="52"/>
    <w:qFormat/>
    <w:uiPriority w:val="99"/>
    <w:pPr>
      <w:widowControl w:val="0"/>
      <w:jc w:val="both"/>
    </w:pPr>
    <w:rPr>
      <w:rFonts w:cs="Times New Roman"/>
      <w:kern w:val="2"/>
    </w:rPr>
  </w:style>
  <w:style w:type="paragraph" w:styleId="16">
    <w:name w:val="List Bullet 3"/>
    <w:basedOn w:val="1"/>
    <w:qFormat/>
    <w:uiPriority w:val="0"/>
    <w:pPr>
      <w:widowControl w:val="0"/>
      <w:tabs>
        <w:tab w:val="left" w:pos="1200"/>
      </w:tabs>
      <w:jc w:val="both"/>
    </w:pPr>
    <w:rPr>
      <w:rFonts w:cs="Times New Roman"/>
      <w:kern w:val="2"/>
    </w:rPr>
  </w:style>
  <w:style w:type="paragraph" w:styleId="17">
    <w:name w:val="Body Text"/>
    <w:basedOn w:val="1"/>
    <w:link w:val="61"/>
    <w:qFormat/>
    <w:uiPriority w:val="99"/>
    <w:pPr>
      <w:widowControl w:val="0"/>
      <w:spacing w:after="120"/>
      <w:jc w:val="both"/>
    </w:pPr>
    <w:rPr>
      <w:rFonts w:cs="Times New Roman"/>
      <w:kern w:val="2"/>
    </w:rPr>
  </w:style>
  <w:style w:type="paragraph" w:styleId="18">
    <w:name w:val="toc 5"/>
    <w:basedOn w:val="1"/>
    <w:next w:val="1"/>
    <w:autoRedefine/>
    <w:unhideWhenUsed/>
    <w:qFormat/>
    <w:uiPriority w:val="39"/>
    <w:pPr>
      <w:ind w:left="840"/>
    </w:pPr>
    <w:rPr>
      <w:rFonts w:asciiTheme="minorHAnsi" w:hAnsiTheme="minorHAnsi" w:cstheme="minorHAnsi"/>
      <w:bCs w:val="0"/>
      <w:sz w:val="18"/>
      <w:szCs w:val="18"/>
    </w:rPr>
  </w:style>
  <w:style w:type="paragraph" w:styleId="19">
    <w:name w:val="toc 3"/>
    <w:basedOn w:val="1"/>
    <w:next w:val="1"/>
    <w:autoRedefine/>
    <w:unhideWhenUsed/>
    <w:qFormat/>
    <w:uiPriority w:val="39"/>
    <w:pPr>
      <w:ind w:left="420"/>
    </w:pPr>
    <w:rPr>
      <w:rFonts w:asciiTheme="minorHAnsi" w:hAnsiTheme="minorHAnsi" w:cstheme="minorHAnsi"/>
      <w:bCs w:val="0"/>
      <w:i/>
      <w:iCs/>
      <w:sz w:val="20"/>
      <w:szCs w:val="20"/>
    </w:rPr>
  </w:style>
  <w:style w:type="paragraph" w:styleId="20">
    <w:name w:val="Plain Text"/>
    <w:basedOn w:val="1"/>
    <w:link w:val="59"/>
    <w:qFormat/>
    <w:uiPriority w:val="0"/>
    <w:pPr>
      <w:widowControl w:val="0"/>
      <w:jc w:val="both"/>
    </w:pPr>
    <w:rPr>
      <w:rFonts w:hAnsi="Courier New" w:cs="Times New Roman"/>
      <w:kern w:val="2"/>
      <w:szCs w:val="20"/>
    </w:rPr>
  </w:style>
  <w:style w:type="paragraph" w:styleId="21">
    <w:name w:val="toc 8"/>
    <w:basedOn w:val="1"/>
    <w:next w:val="1"/>
    <w:autoRedefine/>
    <w:unhideWhenUsed/>
    <w:qFormat/>
    <w:uiPriority w:val="39"/>
    <w:pPr>
      <w:ind w:left="1470"/>
    </w:pPr>
    <w:rPr>
      <w:rFonts w:asciiTheme="minorHAnsi" w:hAnsiTheme="minorHAnsi" w:cstheme="minorHAnsi"/>
      <w:bCs w:val="0"/>
      <w:sz w:val="18"/>
      <w:szCs w:val="18"/>
    </w:rPr>
  </w:style>
  <w:style w:type="paragraph" w:styleId="22">
    <w:name w:val="Date"/>
    <w:basedOn w:val="1"/>
    <w:next w:val="1"/>
    <w:link w:val="63"/>
    <w:qFormat/>
    <w:uiPriority w:val="99"/>
    <w:pPr>
      <w:widowControl w:val="0"/>
      <w:ind w:left="100" w:leftChars="2500"/>
      <w:jc w:val="both"/>
    </w:pPr>
    <w:rPr>
      <w:rFonts w:cs="Times New Roman"/>
      <w:kern w:val="2"/>
    </w:rPr>
  </w:style>
  <w:style w:type="paragraph" w:styleId="23">
    <w:name w:val="endnote text"/>
    <w:basedOn w:val="1"/>
    <w:link w:val="74"/>
    <w:semiHidden/>
    <w:unhideWhenUsed/>
    <w:qFormat/>
    <w:uiPriority w:val="99"/>
    <w:pPr>
      <w:snapToGrid w:val="0"/>
    </w:pPr>
  </w:style>
  <w:style w:type="paragraph" w:styleId="24">
    <w:name w:val="Balloon Text"/>
    <w:basedOn w:val="1"/>
    <w:link w:val="51"/>
    <w:unhideWhenUsed/>
    <w:qFormat/>
    <w:uiPriority w:val="99"/>
    <w:pPr>
      <w:widowControl w:val="0"/>
      <w:jc w:val="both"/>
    </w:pPr>
    <w:rPr>
      <w:rFonts w:ascii="Calibri" w:hAnsi="Calibri" w:cs="Times New Roman"/>
      <w:kern w:val="2"/>
      <w:sz w:val="18"/>
      <w:szCs w:val="18"/>
    </w:rPr>
  </w:style>
  <w:style w:type="paragraph" w:styleId="25">
    <w:name w:val="footer"/>
    <w:basedOn w:val="1"/>
    <w:link w:val="58"/>
    <w:unhideWhenUsed/>
    <w:qFormat/>
    <w:uiPriority w:val="99"/>
    <w:pPr>
      <w:widowControl w:val="0"/>
      <w:tabs>
        <w:tab w:val="center" w:pos="4153"/>
        <w:tab w:val="right" w:pos="8306"/>
      </w:tabs>
      <w:snapToGrid w:val="0"/>
    </w:pPr>
    <w:rPr>
      <w:rFonts w:ascii="Calibri" w:hAnsi="Calibri" w:cs="Times New Roman"/>
      <w:kern w:val="2"/>
      <w:sz w:val="18"/>
      <w:szCs w:val="18"/>
    </w:rPr>
  </w:style>
  <w:style w:type="paragraph" w:styleId="26">
    <w:name w:val="header"/>
    <w:basedOn w:val="1"/>
    <w:link w:val="57"/>
    <w:unhideWhenUsed/>
    <w:qFormat/>
    <w:uiPriority w:val="99"/>
    <w:pPr>
      <w:widowControl w:val="0"/>
      <w:pBdr>
        <w:bottom w:val="single" w:color="auto" w:sz="6" w:space="1"/>
      </w:pBdr>
      <w:tabs>
        <w:tab w:val="center" w:pos="4153"/>
        <w:tab w:val="right" w:pos="8306"/>
      </w:tabs>
      <w:snapToGrid w:val="0"/>
      <w:jc w:val="center"/>
    </w:pPr>
    <w:rPr>
      <w:rFonts w:ascii="Calibri" w:hAnsi="Calibri" w:cs="Times New Roman"/>
      <w:kern w:val="2"/>
      <w:sz w:val="18"/>
      <w:szCs w:val="18"/>
    </w:rPr>
  </w:style>
  <w:style w:type="paragraph" w:styleId="27">
    <w:name w:val="toc 1"/>
    <w:basedOn w:val="1"/>
    <w:next w:val="1"/>
    <w:autoRedefine/>
    <w:qFormat/>
    <w:uiPriority w:val="39"/>
    <w:pPr>
      <w:spacing w:line="360" w:lineRule="auto"/>
      <w:ind w:left="200" w:hanging="200" w:hangingChars="200"/>
    </w:pPr>
    <w:rPr>
      <w:rFonts w:cstheme="minorHAnsi"/>
      <w:b/>
      <w:caps/>
      <w:szCs w:val="20"/>
    </w:rPr>
  </w:style>
  <w:style w:type="paragraph" w:styleId="28">
    <w:name w:val="toc 4"/>
    <w:basedOn w:val="1"/>
    <w:next w:val="1"/>
    <w:autoRedefine/>
    <w:unhideWhenUsed/>
    <w:qFormat/>
    <w:uiPriority w:val="39"/>
    <w:pPr>
      <w:ind w:left="630"/>
    </w:pPr>
    <w:rPr>
      <w:rFonts w:asciiTheme="minorHAnsi" w:hAnsiTheme="minorHAnsi" w:cstheme="minorHAnsi"/>
      <w:bCs w:val="0"/>
      <w:sz w:val="18"/>
      <w:szCs w:val="18"/>
    </w:rPr>
  </w:style>
  <w:style w:type="paragraph" w:styleId="29">
    <w:name w:val="footnote text"/>
    <w:basedOn w:val="1"/>
    <w:link w:val="107"/>
    <w:semiHidden/>
    <w:unhideWhenUsed/>
    <w:qFormat/>
    <w:uiPriority w:val="99"/>
    <w:pPr>
      <w:widowControl w:val="0"/>
      <w:snapToGrid w:val="0"/>
    </w:pPr>
    <w:rPr>
      <w:rFonts w:ascii="Calibri" w:hAnsi="Calibri" w:cs="Times New Roman"/>
      <w:bCs w:val="0"/>
      <w:kern w:val="2"/>
      <w:sz w:val="18"/>
      <w:szCs w:val="18"/>
    </w:rPr>
  </w:style>
  <w:style w:type="paragraph" w:styleId="30">
    <w:name w:val="toc 6"/>
    <w:basedOn w:val="1"/>
    <w:next w:val="1"/>
    <w:autoRedefine/>
    <w:unhideWhenUsed/>
    <w:qFormat/>
    <w:uiPriority w:val="39"/>
    <w:pPr>
      <w:ind w:left="1050"/>
    </w:pPr>
    <w:rPr>
      <w:rFonts w:asciiTheme="minorHAnsi" w:hAnsiTheme="minorHAnsi" w:cstheme="minorHAnsi"/>
      <w:bCs w:val="0"/>
      <w:sz w:val="18"/>
      <w:szCs w:val="18"/>
    </w:rPr>
  </w:style>
  <w:style w:type="paragraph" w:styleId="31">
    <w:name w:val="toc 2"/>
    <w:basedOn w:val="1"/>
    <w:next w:val="1"/>
    <w:autoRedefine/>
    <w:qFormat/>
    <w:uiPriority w:val="39"/>
    <w:pPr>
      <w:ind w:left="210"/>
    </w:pPr>
    <w:rPr>
      <w:rFonts w:asciiTheme="minorHAnsi" w:hAnsiTheme="minorHAnsi" w:cstheme="minorHAnsi"/>
      <w:bCs w:val="0"/>
      <w:smallCaps/>
      <w:sz w:val="20"/>
      <w:szCs w:val="20"/>
    </w:rPr>
  </w:style>
  <w:style w:type="paragraph" w:styleId="32">
    <w:name w:val="toc 9"/>
    <w:basedOn w:val="1"/>
    <w:next w:val="1"/>
    <w:autoRedefine/>
    <w:unhideWhenUsed/>
    <w:qFormat/>
    <w:uiPriority w:val="39"/>
    <w:pPr>
      <w:ind w:left="1680"/>
    </w:pPr>
    <w:rPr>
      <w:rFonts w:asciiTheme="minorHAnsi" w:hAnsiTheme="minorHAnsi" w:cstheme="minorHAnsi"/>
      <w:bCs w:val="0"/>
      <w:sz w:val="18"/>
      <w:szCs w:val="18"/>
    </w:rPr>
  </w:style>
  <w:style w:type="paragraph" w:styleId="33">
    <w:name w:val="Normal (Web)"/>
    <w:basedOn w:val="1"/>
    <w:qFormat/>
    <w:uiPriority w:val="99"/>
    <w:pPr>
      <w:spacing w:before="100" w:beforeAutospacing="1" w:after="100" w:afterAutospacing="1"/>
    </w:pPr>
    <w:rPr>
      <w:sz w:val="24"/>
    </w:rPr>
  </w:style>
  <w:style w:type="paragraph" w:styleId="34">
    <w:name w:val="index 1"/>
    <w:basedOn w:val="1"/>
    <w:next w:val="1"/>
    <w:autoRedefine/>
    <w:semiHidden/>
    <w:qFormat/>
    <w:uiPriority w:val="0"/>
    <w:pPr>
      <w:ind w:firstLine="420" w:firstLineChars="200"/>
    </w:pPr>
    <w:rPr>
      <w:rFonts w:cs="Times New Roman"/>
      <w:color w:val="000000"/>
    </w:rPr>
  </w:style>
  <w:style w:type="paragraph" w:styleId="35">
    <w:name w:val="Title"/>
    <w:basedOn w:val="1"/>
    <w:next w:val="1"/>
    <w:link w:val="71"/>
    <w:qFormat/>
    <w:uiPriority w:val="10"/>
    <w:pPr>
      <w:widowControl w:val="0"/>
      <w:spacing w:before="240" w:after="60"/>
      <w:jc w:val="center"/>
      <w:outlineLvl w:val="0"/>
    </w:pPr>
    <w:rPr>
      <w:rFonts w:asciiTheme="majorHAnsi" w:hAnsiTheme="majorHAnsi" w:cstheme="majorBidi"/>
      <w:b/>
      <w:bCs w:val="0"/>
      <w:kern w:val="2"/>
      <w:sz w:val="32"/>
      <w:szCs w:val="32"/>
    </w:rPr>
  </w:style>
  <w:style w:type="paragraph" w:styleId="36">
    <w:name w:val="annotation subject"/>
    <w:basedOn w:val="14"/>
    <w:next w:val="14"/>
    <w:link w:val="56"/>
    <w:unhideWhenUsed/>
    <w:qFormat/>
    <w:uiPriority w:val="99"/>
    <w:rPr>
      <w:rFonts w:ascii="Calibri" w:hAnsi="Calibri"/>
      <w:b/>
      <w:bCs w:val="0"/>
      <w:szCs w:val="22"/>
    </w:rPr>
  </w:style>
  <w:style w:type="table" w:styleId="38">
    <w:name w:val="Table Grid"/>
    <w:basedOn w:val="3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endnote reference"/>
    <w:basedOn w:val="39"/>
    <w:semiHidden/>
    <w:unhideWhenUsed/>
    <w:qFormat/>
    <w:uiPriority w:val="99"/>
    <w:rPr>
      <w:vertAlign w:val="superscript"/>
    </w:rPr>
  </w:style>
  <w:style w:type="character" w:styleId="41">
    <w:name w:val="Hyperlink"/>
    <w:basedOn w:val="39"/>
    <w:qFormat/>
    <w:uiPriority w:val="99"/>
    <w:rPr>
      <w:rFonts w:cs="Times New Roman"/>
      <w:color w:val="0000FF"/>
      <w:u w:val="single"/>
    </w:rPr>
  </w:style>
  <w:style w:type="character" w:styleId="42">
    <w:name w:val="annotation reference"/>
    <w:basedOn w:val="39"/>
    <w:qFormat/>
    <w:uiPriority w:val="99"/>
    <w:rPr>
      <w:rFonts w:eastAsia="宋体" w:cs="Times New Roman"/>
      <w:kern w:val="2"/>
      <w:sz w:val="21"/>
      <w:szCs w:val="21"/>
      <w:lang w:val="en-US" w:eastAsia="zh-CN" w:bidi="ar-SA"/>
    </w:rPr>
  </w:style>
  <w:style w:type="character" w:styleId="43">
    <w:name w:val="footnote reference"/>
    <w:semiHidden/>
    <w:unhideWhenUsed/>
    <w:qFormat/>
    <w:uiPriority w:val="99"/>
    <w:rPr>
      <w:vertAlign w:val="superscript"/>
    </w:rPr>
  </w:style>
  <w:style w:type="character" w:customStyle="1" w:styleId="44">
    <w:name w:val="标题 1 字符"/>
    <w:basedOn w:val="39"/>
    <w:link w:val="2"/>
    <w:qFormat/>
    <w:uiPriority w:val="99"/>
    <w:rPr>
      <w:rFonts w:eastAsia="黑体"/>
      <w:b/>
      <w:kern w:val="44"/>
      <w:sz w:val="28"/>
      <w:szCs w:val="44"/>
    </w:rPr>
  </w:style>
  <w:style w:type="character" w:customStyle="1" w:styleId="45">
    <w:name w:val="标题 2 字符"/>
    <w:basedOn w:val="39"/>
    <w:link w:val="3"/>
    <w:qFormat/>
    <w:uiPriority w:val="0"/>
    <w:rPr>
      <w:rFonts w:ascii="Arial" w:hAnsi="Arial" w:cs="Times New Roman"/>
      <w:b/>
      <w:kern w:val="2"/>
    </w:rPr>
  </w:style>
  <w:style w:type="character" w:customStyle="1" w:styleId="46">
    <w:name w:val="标题 3 字符"/>
    <w:basedOn w:val="39"/>
    <w:link w:val="4"/>
    <w:qFormat/>
    <w:uiPriority w:val="9"/>
    <w:rPr>
      <w:b/>
      <w:kern w:val="2"/>
      <w:sz w:val="21"/>
      <w:szCs w:val="32"/>
    </w:rPr>
  </w:style>
  <w:style w:type="character" w:customStyle="1" w:styleId="47">
    <w:name w:val="标题 4 字符"/>
    <w:basedOn w:val="39"/>
    <w:link w:val="5"/>
    <w:qFormat/>
    <w:uiPriority w:val="9"/>
    <w:rPr>
      <w:rFonts w:ascii="Cambria" w:hAnsi="Cambria"/>
      <w:b/>
      <w:kern w:val="2"/>
      <w:sz w:val="21"/>
      <w:szCs w:val="28"/>
    </w:rPr>
  </w:style>
  <w:style w:type="character" w:customStyle="1" w:styleId="48">
    <w:name w:val="标题 5 字符"/>
    <w:basedOn w:val="39"/>
    <w:link w:val="6"/>
    <w:qFormat/>
    <w:uiPriority w:val="9"/>
    <w:rPr>
      <w:b/>
      <w:kern w:val="2"/>
      <w:sz w:val="21"/>
      <w:szCs w:val="28"/>
    </w:rPr>
  </w:style>
  <w:style w:type="paragraph" w:customStyle="1" w:styleId="49">
    <w:name w:val="TOC 标题1"/>
    <w:basedOn w:val="2"/>
    <w:next w:val="1"/>
    <w:qFormat/>
    <w:uiPriority w:val="39"/>
    <w:pPr>
      <w:widowControl/>
      <w:spacing w:before="480" w:after="0" w:line="276" w:lineRule="auto"/>
      <w:outlineLvl w:val="9"/>
    </w:pPr>
    <w:rPr>
      <w:rFonts w:ascii="Cambria" w:hAnsi="Cambria" w:eastAsia="宋体"/>
      <w:color w:val="365F91"/>
      <w:kern w:val="0"/>
      <w:szCs w:val="28"/>
    </w:rPr>
  </w:style>
  <w:style w:type="character" w:customStyle="1" w:styleId="50">
    <w:name w:val="批注文字 字符"/>
    <w:basedOn w:val="39"/>
    <w:link w:val="14"/>
    <w:qFormat/>
    <w:uiPriority w:val="0"/>
    <w:rPr>
      <w:rFonts w:ascii="Times New Roman" w:hAnsi="Times New Roman" w:eastAsia="宋体" w:cs="Times New Roman"/>
      <w:szCs w:val="21"/>
    </w:rPr>
  </w:style>
  <w:style w:type="character" w:customStyle="1" w:styleId="51">
    <w:name w:val="批注框文本 字符"/>
    <w:basedOn w:val="39"/>
    <w:link w:val="24"/>
    <w:qFormat/>
    <w:uiPriority w:val="99"/>
    <w:rPr>
      <w:rFonts w:ascii="Calibri" w:hAnsi="Calibri" w:eastAsia="宋体" w:cs="Times New Roman"/>
      <w:sz w:val="18"/>
      <w:szCs w:val="18"/>
    </w:rPr>
  </w:style>
  <w:style w:type="character" w:customStyle="1" w:styleId="52">
    <w:name w:val="称呼 字符"/>
    <w:basedOn w:val="39"/>
    <w:link w:val="15"/>
    <w:qFormat/>
    <w:uiPriority w:val="99"/>
    <w:rPr>
      <w:rFonts w:ascii="Times New Roman" w:hAnsi="Times New Roman" w:eastAsia="宋体" w:cs="Times New Roman"/>
      <w:szCs w:val="21"/>
    </w:rPr>
  </w:style>
  <w:style w:type="character" w:customStyle="1" w:styleId="53">
    <w:name w:val="notnullcss1"/>
    <w:basedOn w:val="39"/>
    <w:qFormat/>
    <w:uiPriority w:val="99"/>
    <w:rPr>
      <w:rFonts w:eastAsia="宋体" w:cs="Times New Roman"/>
      <w:color w:val="FF0000"/>
      <w:kern w:val="2"/>
      <w:sz w:val="24"/>
      <w:szCs w:val="24"/>
      <w:lang w:val="en-US" w:eastAsia="zh-CN" w:bidi="ar-SA"/>
    </w:rPr>
  </w:style>
  <w:style w:type="paragraph" w:customStyle="1" w:styleId="54">
    <w:name w:val="xl61"/>
    <w:basedOn w:val="1"/>
    <w:qFormat/>
    <w:uiPriority w:val="99"/>
    <w:pPr>
      <w:spacing w:before="100" w:after="100"/>
      <w:jc w:val="right"/>
    </w:pPr>
    <w:rPr>
      <w:rFonts w:ascii="Arial Unicode MS" w:eastAsia="Arial Unicode MS" w:cs="Times New Roman"/>
      <w:sz w:val="18"/>
      <w:szCs w:val="18"/>
    </w:rPr>
  </w:style>
  <w:style w:type="paragraph" w:styleId="55">
    <w:name w:val="List Paragraph"/>
    <w:basedOn w:val="1"/>
    <w:qFormat/>
    <w:uiPriority w:val="34"/>
    <w:pPr>
      <w:widowControl w:val="0"/>
      <w:ind w:firstLine="420" w:firstLineChars="200"/>
      <w:jc w:val="both"/>
    </w:pPr>
    <w:rPr>
      <w:rFonts w:ascii="Calibri" w:hAnsi="Calibri" w:cs="Times New Roman"/>
      <w:kern w:val="2"/>
      <w:szCs w:val="22"/>
    </w:rPr>
  </w:style>
  <w:style w:type="character" w:customStyle="1" w:styleId="56">
    <w:name w:val="批注主题 字符"/>
    <w:basedOn w:val="50"/>
    <w:link w:val="36"/>
    <w:qFormat/>
    <w:uiPriority w:val="99"/>
    <w:rPr>
      <w:rFonts w:ascii="Calibri" w:hAnsi="Calibri" w:eastAsia="宋体" w:cs="Times New Roman"/>
      <w:b/>
      <w:szCs w:val="21"/>
    </w:rPr>
  </w:style>
  <w:style w:type="character" w:customStyle="1" w:styleId="57">
    <w:name w:val="页眉 字符"/>
    <w:basedOn w:val="39"/>
    <w:link w:val="26"/>
    <w:qFormat/>
    <w:uiPriority w:val="99"/>
    <w:rPr>
      <w:rFonts w:ascii="Calibri" w:hAnsi="Calibri" w:eastAsia="宋体" w:cs="Times New Roman"/>
      <w:sz w:val="18"/>
      <w:szCs w:val="18"/>
    </w:rPr>
  </w:style>
  <w:style w:type="character" w:customStyle="1" w:styleId="58">
    <w:name w:val="页脚 字符"/>
    <w:basedOn w:val="39"/>
    <w:link w:val="25"/>
    <w:qFormat/>
    <w:uiPriority w:val="99"/>
    <w:rPr>
      <w:rFonts w:ascii="Calibri" w:hAnsi="Calibri" w:eastAsia="宋体" w:cs="Times New Roman"/>
      <w:sz w:val="18"/>
      <w:szCs w:val="18"/>
    </w:rPr>
  </w:style>
  <w:style w:type="character" w:customStyle="1" w:styleId="59">
    <w:name w:val="纯文本 字符"/>
    <w:basedOn w:val="39"/>
    <w:link w:val="20"/>
    <w:qFormat/>
    <w:uiPriority w:val="0"/>
    <w:rPr>
      <w:rFonts w:ascii="宋体" w:hAnsi="Courier New" w:eastAsia="宋体" w:cs="Times New Roman"/>
      <w:szCs w:val="20"/>
    </w:rPr>
  </w:style>
  <w:style w:type="character" w:customStyle="1" w:styleId="60">
    <w:name w:val="headline-content2"/>
    <w:basedOn w:val="39"/>
    <w:qFormat/>
    <w:uiPriority w:val="0"/>
    <w:rPr>
      <w:rFonts w:eastAsia="宋体" w:cs="Times New Roman"/>
      <w:kern w:val="2"/>
      <w:sz w:val="24"/>
      <w:szCs w:val="24"/>
      <w:lang w:val="en-US" w:eastAsia="zh-CN" w:bidi="ar-SA"/>
    </w:rPr>
  </w:style>
  <w:style w:type="character" w:customStyle="1" w:styleId="61">
    <w:name w:val="正文文本 字符"/>
    <w:basedOn w:val="39"/>
    <w:link w:val="17"/>
    <w:qFormat/>
    <w:uiPriority w:val="99"/>
    <w:rPr>
      <w:rFonts w:ascii="Times New Roman" w:hAnsi="Times New Roman" w:eastAsia="宋体" w:cs="Times New Roman"/>
      <w:szCs w:val="21"/>
    </w:rPr>
  </w:style>
  <w:style w:type="paragraph" w:customStyle="1" w:styleId="62">
    <w:name w:val="write2"/>
    <w:basedOn w:val="1"/>
    <w:qFormat/>
    <w:uiPriority w:val="99"/>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character" w:customStyle="1" w:styleId="63">
    <w:name w:val="日期 字符"/>
    <w:basedOn w:val="39"/>
    <w:link w:val="22"/>
    <w:qFormat/>
    <w:uiPriority w:val="99"/>
    <w:rPr>
      <w:rFonts w:ascii="Times New Roman" w:hAnsi="Times New Roman" w:eastAsia="宋体" w:cs="Times New Roman"/>
      <w:szCs w:val="21"/>
    </w:rPr>
  </w:style>
  <w:style w:type="character" w:customStyle="1" w:styleId="64">
    <w:name w:val="注释标题 字符"/>
    <w:basedOn w:val="39"/>
    <w:link w:val="10"/>
    <w:qFormat/>
    <w:uiPriority w:val="99"/>
    <w:rPr>
      <w:rFonts w:ascii="Times New Roman" w:hAnsi="Times New Roman" w:eastAsia="宋体" w:cs="Times New Roman"/>
      <w:szCs w:val="21"/>
    </w:rPr>
  </w:style>
  <w:style w:type="paragraph" w:customStyle="1" w:styleId="65">
    <w:name w:val="标题5"/>
    <w:basedOn w:val="1"/>
    <w:qFormat/>
    <w:uiPriority w:val="0"/>
    <w:pPr>
      <w:keepNext/>
      <w:keepLines/>
      <w:widowControl w:val="0"/>
      <w:spacing w:before="60" w:after="60"/>
      <w:ind w:hanging="420" w:hangingChars="200"/>
      <w:jc w:val="both"/>
      <w:outlineLvl w:val="4"/>
    </w:pPr>
    <w:rPr>
      <w:rFonts w:cs="Times New Roman"/>
      <w:b/>
      <w:bCs w:val="0"/>
      <w:kern w:val="2"/>
    </w:rPr>
  </w:style>
  <w:style w:type="paragraph" w:customStyle="1" w:styleId="66">
    <w:name w:val="修订1"/>
    <w:hidden/>
    <w:semiHidden/>
    <w:qFormat/>
    <w:uiPriority w:val="99"/>
    <w:rPr>
      <w:rFonts w:ascii="Times New Roman" w:hAnsi="Times New Roman" w:eastAsia="宋体" w:cs="宋体"/>
      <w:bCs/>
      <w:kern w:val="2"/>
      <w:sz w:val="21"/>
      <w:szCs w:val="22"/>
      <w:lang w:val="en-US" w:eastAsia="zh-CN" w:bidi="ar-SA"/>
    </w:rPr>
  </w:style>
  <w:style w:type="character" w:customStyle="1" w:styleId="67">
    <w:name w:val="正文的样式 Char"/>
    <w:basedOn w:val="39"/>
    <w:link w:val="68"/>
    <w:qFormat/>
    <w:uiPriority w:val="0"/>
    <w:rPr>
      <w:kern w:val="2"/>
      <w:sz w:val="21"/>
      <w:szCs w:val="24"/>
    </w:rPr>
  </w:style>
  <w:style w:type="paragraph" w:customStyle="1" w:styleId="68">
    <w:name w:val="正文的样式"/>
    <w:basedOn w:val="1"/>
    <w:link w:val="67"/>
    <w:qFormat/>
    <w:uiPriority w:val="0"/>
    <w:pPr>
      <w:widowControl w:val="0"/>
      <w:spacing w:before="100" w:after="100"/>
      <w:jc w:val="both"/>
    </w:pPr>
    <w:rPr>
      <w:rFonts w:ascii="Calibri" w:hAnsi="Calibri" w:cs="Times New Roman"/>
      <w:kern w:val="2"/>
    </w:rPr>
  </w:style>
  <w:style w:type="character" w:customStyle="1" w:styleId="69">
    <w:name w:val="文档结构图 字符"/>
    <w:basedOn w:val="39"/>
    <w:link w:val="12"/>
    <w:semiHidden/>
    <w:qFormat/>
    <w:uiPriority w:val="99"/>
    <w:rPr>
      <w:rFonts w:ascii="宋体"/>
      <w:kern w:val="2"/>
      <w:sz w:val="18"/>
      <w:szCs w:val="18"/>
    </w:rPr>
  </w:style>
  <w:style w:type="character" w:styleId="70">
    <w:name w:val="Placeholder Text"/>
    <w:basedOn w:val="39"/>
    <w:qFormat/>
    <w:uiPriority w:val="99"/>
    <w:rPr>
      <w:color w:val="auto"/>
    </w:rPr>
  </w:style>
  <w:style w:type="character" w:customStyle="1" w:styleId="71">
    <w:name w:val="标题 字符"/>
    <w:basedOn w:val="39"/>
    <w:link w:val="35"/>
    <w:qFormat/>
    <w:uiPriority w:val="10"/>
    <w:rPr>
      <w:rFonts w:asciiTheme="majorHAnsi" w:hAnsiTheme="majorHAnsi" w:cstheme="majorBidi"/>
      <w:b/>
      <w:kern w:val="2"/>
      <w:sz w:val="32"/>
      <w:szCs w:val="32"/>
    </w:rPr>
  </w:style>
  <w:style w:type="paragraph" w:styleId="72">
    <w:name w:val="No Spacing"/>
    <w:qFormat/>
    <w:uiPriority w:val="1"/>
    <w:pPr>
      <w:widowControl w:val="0"/>
      <w:jc w:val="both"/>
    </w:pPr>
    <w:rPr>
      <w:rFonts w:ascii="Times New Roman" w:hAnsi="Times New Roman" w:eastAsia="宋体" w:cs="宋体"/>
      <w:bCs/>
      <w:kern w:val="2"/>
      <w:sz w:val="21"/>
      <w:szCs w:val="22"/>
      <w:lang w:val="en-US" w:eastAsia="zh-CN" w:bidi="ar-SA"/>
    </w:rPr>
  </w:style>
  <w:style w:type="character" w:customStyle="1" w:styleId="73">
    <w:name w:val="标题 6 字符"/>
    <w:basedOn w:val="39"/>
    <w:link w:val="7"/>
    <w:qFormat/>
    <w:uiPriority w:val="9"/>
    <w:rPr>
      <w:rFonts w:asciiTheme="majorHAnsi" w:hAnsiTheme="majorHAnsi" w:cstheme="majorBidi"/>
      <w:b/>
      <w:sz w:val="21"/>
      <w:szCs w:val="24"/>
    </w:rPr>
  </w:style>
  <w:style w:type="character" w:customStyle="1" w:styleId="74">
    <w:name w:val="尾注文本 字符"/>
    <w:basedOn w:val="39"/>
    <w:link w:val="23"/>
    <w:semiHidden/>
    <w:qFormat/>
    <w:uiPriority w:val="99"/>
    <w:rPr>
      <w:rFonts w:ascii="宋体" w:hAnsi="宋体" w:cs="宋体"/>
      <w:sz w:val="21"/>
      <w:szCs w:val="24"/>
    </w:rPr>
  </w:style>
  <w:style w:type="character" w:customStyle="1" w:styleId="75">
    <w:name w:val="批注主题 Char1"/>
    <w:basedOn w:val="50"/>
    <w:semiHidden/>
    <w:qFormat/>
    <w:uiPriority w:val="99"/>
    <w:rPr>
      <w:rFonts w:ascii="Times New Roman" w:hAnsi="Times New Roman" w:eastAsia="宋体" w:cs="Times New Roman"/>
      <w:b/>
      <w:szCs w:val="21"/>
    </w:rPr>
  </w:style>
  <w:style w:type="paragraph" w:customStyle="1" w:styleId="76">
    <w:name w:val="标题  3"/>
    <w:basedOn w:val="1"/>
    <w:next w:val="1"/>
    <w:link w:val="77"/>
    <w:qFormat/>
    <w:uiPriority w:val="0"/>
    <w:pPr>
      <w:keepNext/>
      <w:keepLines/>
      <w:widowControl w:val="0"/>
      <w:spacing w:before="100" w:beforeAutospacing="1" w:after="100" w:afterAutospacing="1" w:line="415" w:lineRule="auto"/>
      <w:jc w:val="both"/>
    </w:pPr>
    <w:rPr>
      <w:rFonts w:cs="Times New Roman"/>
      <w:b/>
      <w:kern w:val="2"/>
    </w:rPr>
  </w:style>
  <w:style w:type="character" w:customStyle="1" w:styleId="77">
    <w:name w:val="标题  3 Char"/>
    <w:basedOn w:val="39"/>
    <w:link w:val="76"/>
    <w:qFormat/>
    <w:uiPriority w:val="0"/>
    <w:rPr>
      <w:rFonts w:ascii="Times New Roman" w:hAnsi="Times New Roman"/>
      <w:b/>
      <w:kern w:val="2"/>
      <w:sz w:val="21"/>
      <w:szCs w:val="24"/>
    </w:rPr>
  </w:style>
  <w:style w:type="character" w:customStyle="1" w:styleId="78">
    <w:name w:val="批注主题 字符1"/>
    <w:basedOn w:val="50"/>
    <w:semiHidden/>
    <w:qFormat/>
    <w:uiPriority w:val="99"/>
    <w:rPr>
      <w:rFonts w:ascii="Times New Roman" w:hAnsi="Times New Roman" w:eastAsia="宋体" w:cs="Times New Roman"/>
      <w:b/>
      <w:szCs w:val="21"/>
    </w:rPr>
  </w:style>
  <w:style w:type="character" w:customStyle="1" w:styleId="79">
    <w:name w:val="标题 7 字符"/>
    <w:basedOn w:val="39"/>
    <w:link w:val="8"/>
    <w:qFormat/>
    <w:uiPriority w:val="9"/>
    <w:rPr>
      <w:rFonts w:ascii="宋体" w:hAnsi="宋体" w:cs="宋体"/>
      <w:b/>
      <w:sz w:val="24"/>
      <w:szCs w:val="24"/>
    </w:rPr>
  </w:style>
  <w:style w:type="character" w:customStyle="1" w:styleId="80">
    <w:name w:val="span_"/>
    <w:basedOn w:val="39"/>
    <w:qFormat/>
    <w:uiPriority w:val="0"/>
  </w:style>
  <w:style w:type="character" w:customStyle="1" w:styleId="81">
    <w:name w:val="标题 4 Char"/>
    <w:qFormat/>
    <w:uiPriority w:val="9"/>
    <w:rPr>
      <w:rFonts w:ascii="Cambria" w:hAnsi="Cambria"/>
      <w:b/>
      <w:kern w:val="2"/>
      <w:sz w:val="21"/>
      <w:szCs w:val="28"/>
    </w:rPr>
  </w:style>
  <w:style w:type="paragraph" w:customStyle="1" w:styleId="82">
    <w:name w:val="4"/>
    <w:basedOn w:val="1"/>
    <w:next w:val="55"/>
    <w:qFormat/>
    <w:uiPriority w:val="34"/>
    <w:pPr>
      <w:widowControl w:val="0"/>
      <w:ind w:firstLine="420" w:firstLineChars="200"/>
      <w:jc w:val="both"/>
    </w:pPr>
    <w:rPr>
      <w:rFonts w:ascii="Calibri" w:hAnsi="Calibri" w:cs="Times New Roman"/>
      <w:kern w:val="2"/>
      <w:szCs w:val="22"/>
    </w:rPr>
  </w:style>
  <w:style w:type="table" w:customStyle="1" w:styleId="83">
    <w:name w:val="无格式表格 21"/>
    <w:basedOn w:val="37"/>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84">
    <w:name w:val="3"/>
    <w:basedOn w:val="1"/>
    <w:next w:val="55"/>
    <w:qFormat/>
    <w:uiPriority w:val="34"/>
    <w:pPr>
      <w:widowControl w:val="0"/>
      <w:ind w:firstLine="420" w:firstLineChars="200"/>
      <w:jc w:val="both"/>
    </w:pPr>
    <w:rPr>
      <w:rFonts w:ascii="Calibri" w:hAnsi="Calibri" w:cs="Times New Roman"/>
      <w:kern w:val="2"/>
      <w:szCs w:val="22"/>
    </w:rPr>
  </w:style>
  <w:style w:type="character" w:customStyle="1" w:styleId="85">
    <w:name w:val="标题 3 Char"/>
    <w:qFormat/>
    <w:uiPriority w:val="9"/>
    <w:rPr>
      <w:b/>
      <w:kern w:val="2"/>
      <w:sz w:val="21"/>
      <w:szCs w:val="32"/>
    </w:rPr>
  </w:style>
  <w:style w:type="paragraph" w:customStyle="1" w:styleId="86">
    <w:name w:val="2"/>
    <w:basedOn w:val="1"/>
    <w:next w:val="55"/>
    <w:qFormat/>
    <w:uiPriority w:val="34"/>
    <w:pPr>
      <w:widowControl w:val="0"/>
      <w:ind w:firstLine="420" w:firstLineChars="200"/>
      <w:jc w:val="both"/>
    </w:pPr>
    <w:rPr>
      <w:rFonts w:ascii="Calibri" w:hAnsi="Calibri" w:cs="Times New Roman"/>
      <w:kern w:val="2"/>
      <w:szCs w:val="22"/>
    </w:rPr>
  </w:style>
  <w:style w:type="paragraph" w:customStyle="1" w:styleId="87">
    <w:name w:val="1"/>
    <w:basedOn w:val="1"/>
    <w:next w:val="55"/>
    <w:qFormat/>
    <w:uiPriority w:val="34"/>
    <w:pPr>
      <w:widowControl w:val="0"/>
      <w:ind w:firstLine="420" w:firstLineChars="200"/>
      <w:jc w:val="both"/>
    </w:pPr>
    <w:rPr>
      <w:rFonts w:ascii="Calibri" w:hAnsi="Calibri" w:cs="Times New Roman"/>
      <w:kern w:val="2"/>
      <w:szCs w:val="22"/>
    </w:rPr>
  </w:style>
  <w:style w:type="paragraph" w:customStyle="1" w:styleId="88">
    <w:name w:val="Table Paragraph"/>
    <w:basedOn w:val="1"/>
    <w:qFormat/>
    <w:uiPriority w:val="1"/>
    <w:pPr>
      <w:widowControl w:val="0"/>
      <w:autoSpaceDE w:val="0"/>
      <w:autoSpaceDN w:val="0"/>
      <w:spacing w:after="160" w:line="259" w:lineRule="auto"/>
    </w:pPr>
    <w:rPr>
      <w:rFonts w:ascii="Noto Sans CJK JP Regular" w:hAnsi="Noto Sans CJK JP Regular" w:eastAsia="Noto Sans CJK JP Regular" w:cs="Noto Sans CJK JP Regular"/>
      <w:sz w:val="22"/>
      <w:szCs w:val="22"/>
      <w:lang w:eastAsia="en-US"/>
    </w:rPr>
  </w:style>
  <w:style w:type="character" w:customStyle="1" w:styleId="89">
    <w:name w:val="批注文字 Char"/>
    <w:qFormat/>
    <w:uiPriority w:val="0"/>
    <w:rPr>
      <w:rFonts w:ascii="Times New Roman" w:hAnsi="Times New Roman"/>
      <w:kern w:val="2"/>
      <w:sz w:val="21"/>
      <w:szCs w:val="21"/>
    </w:rPr>
  </w:style>
  <w:style w:type="character" w:customStyle="1" w:styleId="90">
    <w:name w:val="标题 5 Char"/>
    <w:qFormat/>
    <w:uiPriority w:val="9"/>
    <w:rPr>
      <w:b/>
      <w:kern w:val="2"/>
      <w:sz w:val="21"/>
      <w:szCs w:val="28"/>
    </w:rPr>
  </w:style>
  <w:style w:type="paragraph" w:customStyle="1" w:styleId="91">
    <w:name w:val="6"/>
    <w:basedOn w:val="1"/>
    <w:next w:val="55"/>
    <w:qFormat/>
    <w:uiPriority w:val="34"/>
    <w:pPr>
      <w:widowControl w:val="0"/>
      <w:ind w:firstLine="420" w:firstLineChars="200"/>
      <w:jc w:val="both"/>
    </w:pPr>
    <w:rPr>
      <w:rFonts w:ascii="Calibri" w:hAnsi="Calibri" w:cs="Times New Roman"/>
      <w:kern w:val="2"/>
      <w:szCs w:val="22"/>
    </w:rPr>
  </w:style>
  <w:style w:type="character" w:customStyle="1" w:styleId="92">
    <w:name w:val="批注文字 Char1"/>
    <w:qFormat/>
    <w:uiPriority w:val="0"/>
    <w:rPr>
      <w:rFonts w:ascii="Times New Roman" w:hAnsi="Times New Roman"/>
      <w:kern w:val="2"/>
      <w:sz w:val="21"/>
      <w:szCs w:val="21"/>
    </w:rPr>
  </w:style>
  <w:style w:type="character" w:customStyle="1" w:styleId="93">
    <w:name w:val="标题 3 Char1"/>
    <w:qFormat/>
    <w:uiPriority w:val="9"/>
    <w:rPr>
      <w:b/>
      <w:kern w:val="2"/>
      <w:sz w:val="21"/>
      <w:szCs w:val="32"/>
    </w:rPr>
  </w:style>
  <w:style w:type="character" w:customStyle="1" w:styleId="94">
    <w:name w:val="标题 2 Char"/>
    <w:qFormat/>
    <w:uiPriority w:val="0"/>
    <w:rPr>
      <w:rFonts w:ascii="Arial" w:hAnsi="Arial"/>
      <w:b/>
      <w:kern w:val="2"/>
      <w:sz w:val="21"/>
      <w:szCs w:val="21"/>
    </w:rPr>
  </w:style>
  <w:style w:type="character" w:customStyle="1" w:styleId="95">
    <w:name w:val="标题 4 Char1"/>
    <w:qFormat/>
    <w:uiPriority w:val="9"/>
    <w:rPr>
      <w:rFonts w:ascii="Cambria" w:hAnsi="Cambria"/>
      <w:b/>
      <w:kern w:val="2"/>
      <w:sz w:val="21"/>
      <w:szCs w:val="28"/>
    </w:rPr>
  </w:style>
  <w:style w:type="character" w:customStyle="1" w:styleId="96">
    <w:name w:val="标题 5 Char1"/>
    <w:qFormat/>
    <w:uiPriority w:val="9"/>
    <w:rPr>
      <w:b/>
      <w:kern w:val="2"/>
      <w:sz w:val="21"/>
      <w:szCs w:val="28"/>
    </w:rPr>
  </w:style>
  <w:style w:type="paragraph" w:customStyle="1" w:styleId="97">
    <w:name w:val="5"/>
    <w:basedOn w:val="1"/>
    <w:next w:val="55"/>
    <w:qFormat/>
    <w:uiPriority w:val="34"/>
    <w:pPr>
      <w:widowControl w:val="0"/>
      <w:ind w:firstLine="420" w:firstLineChars="200"/>
      <w:jc w:val="both"/>
    </w:pPr>
    <w:rPr>
      <w:rFonts w:ascii="Calibri" w:hAnsi="Calibri" w:cs="Times New Roman"/>
      <w:kern w:val="2"/>
      <w:szCs w:val="22"/>
    </w:rPr>
  </w:style>
  <w:style w:type="character" w:customStyle="1" w:styleId="98">
    <w:name w:val="批注文字 Char2"/>
    <w:qFormat/>
    <w:uiPriority w:val="99"/>
    <w:rPr>
      <w:rFonts w:ascii="Times New Roman" w:hAnsi="Times New Roman"/>
      <w:kern w:val="2"/>
      <w:sz w:val="21"/>
      <w:szCs w:val="21"/>
    </w:rPr>
  </w:style>
  <w:style w:type="character" w:customStyle="1" w:styleId="99">
    <w:name w:val="批注文字 Char3"/>
    <w:qFormat/>
    <w:uiPriority w:val="0"/>
    <w:rPr>
      <w:rFonts w:ascii="Times New Roman" w:hAnsi="Times New Roman" w:cs="Times New Roman"/>
      <w:kern w:val="2"/>
      <w:sz w:val="21"/>
      <w:szCs w:val="21"/>
    </w:rPr>
  </w:style>
  <w:style w:type="character" w:customStyle="1" w:styleId="100">
    <w:name w:val="称呼 Char"/>
    <w:qFormat/>
    <w:uiPriority w:val="99"/>
    <w:rPr>
      <w:rFonts w:ascii="Times New Roman" w:hAnsi="Times New Roman"/>
      <w:kern w:val="2"/>
      <w:sz w:val="21"/>
      <w:szCs w:val="21"/>
    </w:rPr>
  </w:style>
  <w:style w:type="character" w:customStyle="1" w:styleId="101">
    <w:name w:val="fontstyle01"/>
    <w:qFormat/>
    <w:uiPriority w:val="0"/>
    <w:rPr>
      <w:rFonts w:hint="default" w:ascii="FZLTSK--GBK1-0" w:hAnsi="FZLTSK--GBK1-0"/>
      <w:bCs/>
      <w:color w:val="000000"/>
      <w:sz w:val="20"/>
      <w:szCs w:val="20"/>
    </w:rPr>
  </w:style>
  <w:style w:type="character" w:customStyle="1" w:styleId="102">
    <w:name w:val="批注文字 字符1"/>
    <w:semiHidden/>
    <w:qFormat/>
    <w:locked/>
    <w:uiPriority w:val="99"/>
    <w:rPr>
      <w:rFonts w:ascii="Times New Roman" w:hAnsi="Times New Roman"/>
      <w:kern w:val="2"/>
      <w:sz w:val="21"/>
      <w:szCs w:val="21"/>
    </w:rPr>
  </w:style>
  <w:style w:type="character" w:customStyle="1" w:styleId="103">
    <w:name w:val="标题 2 Char1"/>
    <w:qFormat/>
    <w:uiPriority w:val="0"/>
    <w:rPr>
      <w:rFonts w:ascii="Arial" w:hAnsi="Arial"/>
      <w:b/>
      <w:kern w:val="2"/>
      <w:sz w:val="21"/>
      <w:szCs w:val="21"/>
    </w:rPr>
  </w:style>
  <w:style w:type="character" w:customStyle="1" w:styleId="104">
    <w:name w:val="标题 5 Char2"/>
    <w:qFormat/>
    <w:uiPriority w:val="9"/>
    <w:rPr>
      <w:b/>
      <w:kern w:val="2"/>
      <w:sz w:val="21"/>
      <w:szCs w:val="28"/>
    </w:rPr>
  </w:style>
  <w:style w:type="character" w:customStyle="1" w:styleId="105">
    <w:name w:val="标题 3 Char2"/>
    <w:qFormat/>
    <w:uiPriority w:val="9"/>
    <w:rPr>
      <w:b/>
      <w:kern w:val="2"/>
      <w:sz w:val="21"/>
      <w:szCs w:val="32"/>
    </w:rPr>
  </w:style>
  <w:style w:type="character" w:customStyle="1" w:styleId="106">
    <w:name w:val="标题 3 Char3"/>
    <w:qFormat/>
    <w:uiPriority w:val="9"/>
    <w:rPr>
      <w:b/>
      <w:kern w:val="2"/>
      <w:sz w:val="21"/>
      <w:szCs w:val="32"/>
    </w:rPr>
  </w:style>
  <w:style w:type="character" w:customStyle="1" w:styleId="107">
    <w:name w:val="脚注文本 字符"/>
    <w:basedOn w:val="39"/>
    <w:link w:val="29"/>
    <w:semiHidden/>
    <w:qFormat/>
    <w:uiPriority w:val="99"/>
    <w:rPr>
      <w:rFonts w:ascii="Calibri" w:hAnsi="Calibri"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70qd\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11111111111111111111111111111"/>
        <w:style w:val=""/>
        <w:category>
          <w:name w:val="常规"/>
          <w:gallery w:val="placeholder"/>
        </w:category>
        <w:types>
          <w:type w:val="bbPlcHdr"/>
        </w:types>
        <w:behaviors>
          <w:behavior w:val="content"/>
        </w:behaviors>
        <w:description w:val=""/>
        <w:guid w:val="{B960C2E6-8E28-4930-AAD5-AA36AFD6E523}"/>
      </w:docPartPr>
      <w:docPartBody>
        <w:p w14:paraId="7678B261">
          <w:pPr>
            <w:rPr>
              <w:rFonts w:hint="eastAsia"/>
            </w:rPr>
          </w:pPr>
          <w:r>
            <w:rPr>
              <w:rStyle w:val="4"/>
              <w:rFonts w:hint="eastAsia"/>
            </w:rPr>
            <w:t>　</w:t>
          </w:r>
        </w:p>
      </w:docPartBody>
    </w:docPart>
    <w:docPart>
      <w:docPartPr>
        <w:name w:val="GBC22222222222222222222222222222"/>
        <w:style w:val=""/>
        <w:category>
          <w:name w:val="常规"/>
          <w:gallery w:val="placeholder"/>
        </w:category>
        <w:types>
          <w:type w:val="bbPlcHdr"/>
        </w:types>
        <w:behaviors>
          <w:behavior w:val="content"/>
        </w:behaviors>
        <w:description w:val=""/>
        <w:guid w:val="{54795268-88DE-4BB2-A320-6C6C52CBF450}"/>
      </w:docPartPr>
      <w:docPartBody>
        <w:p w14:paraId="5906C5A9">
          <w:pPr>
            <w:rPr>
              <w:rFonts w:hint="eastAsia"/>
            </w:rPr>
          </w:pPr>
          <w:r>
            <w:rPr>
              <w:rStyle w:val="4"/>
              <w:color w:val="333399"/>
              <w:u w:val="single"/>
            </w:rPr>
            <w:t>　　　</w:t>
          </w:r>
        </w:p>
      </w:docPartBody>
    </w:docPart>
    <w:docPart>
      <w:docPartPr>
        <w:name w:val="95E82A14754D465D9A345785211FB914"/>
        <w:style w:val=""/>
        <w:category>
          <w:name w:val="常规"/>
          <w:gallery w:val="placeholder"/>
        </w:category>
        <w:types>
          <w:type w:val="bbPlcHdr"/>
        </w:types>
        <w:behaviors>
          <w:behavior w:val="content"/>
        </w:behaviors>
        <w:description w:val=""/>
        <w:guid w:val="{DE5E70FB-B665-48CE-B6F5-FA333DB055F2}"/>
      </w:docPartPr>
      <w:docPartBody>
        <w:p w14:paraId="4CCD3038">
          <w:pPr>
            <w:pStyle w:val="5"/>
            <w:rPr>
              <w:rFonts w:hint="eastAsia"/>
            </w:rPr>
          </w:pPr>
          <w:r>
            <w:rPr>
              <w:rStyle w:val="4"/>
              <w:color w:val="333399"/>
              <w:u w:val="single"/>
            </w:rPr>
            <w:t>　　　</w:t>
          </w:r>
        </w:p>
      </w:docPartBody>
    </w:docPart>
    <w:docPart>
      <w:docPartPr>
        <w:name w:val="7F22127486B042A390D37F6660EFE2F7"/>
        <w:style w:val=""/>
        <w:category>
          <w:name w:val="常规"/>
          <w:gallery w:val="placeholder"/>
        </w:category>
        <w:types>
          <w:type w:val="bbPlcHdr"/>
        </w:types>
        <w:behaviors>
          <w:behavior w:val="content"/>
        </w:behaviors>
        <w:description w:val=""/>
        <w:guid w:val="{F04018C5-9D5B-4AA0-B1C1-360CBE04E425}"/>
      </w:docPartPr>
      <w:docPartBody>
        <w:p w14:paraId="73AC1279">
          <w:pPr>
            <w:pStyle w:val="6"/>
            <w:rPr>
              <w:rFonts w:hint="eastAsia"/>
            </w:rPr>
          </w:pPr>
          <w:r>
            <w:rPr>
              <w:rStyle w:val="4"/>
              <w:color w:val="333399"/>
              <w:u w:val="single"/>
            </w:rPr>
            <w:t>　　　</w:t>
          </w:r>
        </w:p>
      </w:docPartBody>
    </w:docPart>
    <w:docPart>
      <w:docPartPr>
        <w:name w:val="0894EF79B8CA4323BBB43A3CD5CFF5F3"/>
        <w:style w:val=""/>
        <w:category>
          <w:name w:val="常规"/>
          <w:gallery w:val="placeholder"/>
        </w:category>
        <w:types>
          <w:type w:val="bbPlcHdr"/>
        </w:types>
        <w:behaviors>
          <w:behavior w:val="content"/>
        </w:behaviors>
        <w:description w:val=""/>
        <w:guid w:val="{A28A1491-15B7-4391-ACA7-8FC84701529F}"/>
      </w:docPartPr>
      <w:docPartBody>
        <w:p w14:paraId="19EF48F6">
          <w:pPr>
            <w:pStyle w:val="7"/>
            <w:rPr>
              <w:rFonts w:hint="eastAsia"/>
            </w:rPr>
          </w:pPr>
          <w:r>
            <w:rPr>
              <w:rStyle w:val="4"/>
              <w:color w:val="333399"/>
              <w:u w:val="single"/>
            </w:rPr>
            <w:t>　　　</w:t>
          </w:r>
        </w:p>
      </w:docPartBody>
    </w:docPart>
    <w:docPart>
      <w:docPartPr>
        <w:name w:val="BEAC0488BF174F79840A0BC29F3B06E0"/>
        <w:style w:val=""/>
        <w:category>
          <w:name w:val="常规"/>
          <w:gallery w:val="placeholder"/>
        </w:category>
        <w:types>
          <w:type w:val="bbPlcHdr"/>
        </w:types>
        <w:behaviors>
          <w:behavior w:val="content"/>
        </w:behaviors>
        <w:description w:val=""/>
        <w:guid w:val="{3BB4C6EA-4100-4627-A2D2-7B0F2AB7CE22}"/>
      </w:docPartPr>
      <w:docPartBody>
        <w:p w14:paraId="6A96160A">
          <w:pPr>
            <w:pStyle w:val="8"/>
            <w:rPr>
              <w:rFonts w:hint="eastAsia"/>
            </w:rPr>
          </w:pPr>
          <w:r>
            <w:rPr>
              <w:rStyle w:val="4"/>
              <w:color w:val="333399"/>
              <w:u w:val="single"/>
            </w:rPr>
            <w:t>　　　</w:t>
          </w:r>
        </w:p>
      </w:docPartBody>
    </w:docPart>
    <w:docPart>
      <w:docPartPr>
        <w:name w:val="6A59C7CD68E54F05AA9924077F9C83FC"/>
        <w:style w:val=""/>
        <w:category>
          <w:name w:val="常规"/>
          <w:gallery w:val="placeholder"/>
        </w:category>
        <w:types>
          <w:type w:val="bbPlcHdr"/>
        </w:types>
        <w:behaviors>
          <w:behavior w:val="content"/>
        </w:behaviors>
        <w:description w:val=""/>
        <w:guid w:val="{AF8DE64E-972F-4349-B7D6-58E96B1A09E0}"/>
      </w:docPartPr>
      <w:docPartBody>
        <w:p w14:paraId="2EE932FD">
          <w:pPr>
            <w:pStyle w:val="9"/>
            <w:rPr>
              <w:rFonts w:hint="eastAsia"/>
            </w:rPr>
          </w:pPr>
          <w:r>
            <w:rPr>
              <w:rStyle w:val="4"/>
              <w:color w:val="333399"/>
              <w:u w:val="single"/>
            </w:rPr>
            <w:t>　　　</w:t>
          </w:r>
        </w:p>
      </w:docPartBody>
    </w:docPart>
    <w:docPart>
      <w:docPartPr>
        <w:name w:val="E81A94F281794D32ADEBDC383B0BADB2"/>
        <w:style w:val=""/>
        <w:category>
          <w:name w:val="常规"/>
          <w:gallery w:val="placeholder"/>
        </w:category>
        <w:types>
          <w:type w:val="bbPlcHdr"/>
        </w:types>
        <w:behaviors>
          <w:behavior w:val="content"/>
        </w:behaviors>
        <w:description w:val=""/>
        <w:guid w:val="{A9B82E69-3F94-4AD8-BD6D-C4CB55172D25}"/>
      </w:docPartPr>
      <w:docPartBody>
        <w:p w14:paraId="78C6BCAE">
          <w:pPr>
            <w:pStyle w:val="10"/>
            <w:rPr>
              <w:rFonts w:hint="eastAsia"/>
            </w:rPr>
          </w:pPr>
          <w:r>
            <w:rPr>
              <w:rStyle w:val="4"/>
              <w:color w:val="333399"/>
              <w:u w:val="single"/>
            </w:rPr>
            <w:t>　　　</w:t>
          </w:r>
        </w:p>
      </w:docPartBody>
    </w:docPart>
    <w:docPart>
      <w:docPartPr>
        <w:name w:val="91B682EE9E7A422F9853045CA4A7CF0E"/>
        <w:style w:val=""/>
        <w:category>
          <w:name w:val="常规"/>
          <w:gallery w:val="placeholder"/>
        </w:category>
        <w:types>
          <w:type w:val="bbPlcHdr"/>
        </w:types>
        <w:behaviors>
          <w:behavior w:val="content"/>
        </w:behaviors>
        <w:description w:val=""/>
        <w:guid w:val="{C37E4CE9-1EB1-4CA1-8DDE-F9AB4281749F}"/>
      </w:docPartPr>
      <w:docPartBody>
        <w:p w14:paraId="1E4128D5">
          <w:pPr>
            <w:pStyle w:val="11"/>
            <w:rPr>
              <w:rFonts w:hint="eastAsia"/>
            </w:rPr>
          </w:pPr>
          <w:r>
            <w:rPr>
              <w:rStyle w:val="4"/>
              <w:color w:val="333399"/>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A6A"/>
    <w:rsid w:val="00006D50"/>
    <w:rsid w:val="0004357B"/>
    <w:rsid w:val="0004752C"/>
    <w:rsid w:val="0009652C"/>
    <w:rsid w:val="000A2562"/>
    <w:rsid w:val="00132986"/>
    <w:rsid w:val="00155765"/>
    <w:rsid w:val="0018045B"/>
    <w:rsid w:val="001902E1"/>
    <w:rsid w:val="001957FA"/>
    <w:rsid w:val="00197F96"/>
    <w:rsid w:val="001B7E8B"/>
    <w:rsid w:val="001C7F03"/>
    <w:rsid w:val="001D6C17"/>
    <w:rsid w:val="00202814"/>
    <w:rsid w:val="00220D1C"/>
    <w:rsid w:val="00221208"/>
    <w:rsid w:val="00224CB7"/>
    <w:rsid w:val="002301B4"/>
    <w:rsid w:val="00232B94"/>
    <w:rsid w:val="0025067A"/>
    <w:rsid w:val="00292BD5"/>
    <w:rsid w:val="002944EB"/>
    <w:rsid w:val="002B0B34"/>
    <w:rsid w:val="002B18CE"/>
    <w:rsid w:val="002D5F63"/>
    <w:rsid w:val="002D69B0"/>
    <w:rsid w:val="002E01E5"/>
    <w:rsid w:val="002F00CA"/>
    <w:rsid w:val="00305FB4"/>
    <w:rsid w:val="00353914"/>
    <w:rsid w:val="00386993"/>
    <w:rsid w:val="003900B9"/>
    <w:rsid w:val="003B0EEF"/>
    <w:rsid w:val="00402ECC"/>
    <w:rsid w:val="004359B4"/>
    <w:rsid w:val="0048144A"/>
    <w:rsid w:val="00483DE6"/>
    <w:rsid w:val="00530E36"/>
    <w:rsid w:val="00545697"/>
    <w:rsid w:val="005A0E8D"/>
    <w:rsid w:val="005A48CC"/>
    <w:rsid w:val="005A6D47"/>
    <w:rsid w:val="005A7F4C"/>
    <w:rsid w:val="005B729C"/>
    <w:rsid w:val="005C293B"/>
    <w:rsid w:val="005D4C6D"/>
    <w:rsid w:val="005E2184"/>
    <w:rsid w:val="00607B84"/>
    <w:rsid w:val="00621342"/>
    <w:rsid w:val="00621C97"/>
    <w:rsid w:val="006A1554"/>
    <w:rsid w:val="006A6263"/>
    <w:rsid w:val="006A62D6"/>
    <w:rsid w:val="006C3124"/>
    <w:rsid w:val="007105A9"/>
    <w:rsid w:val="00720A02"/>
    <w:rsid w:val="00724E50"/>
    <w:rsid w:val="0074384F"/>
    <w:rsid w:val="00757CBC"/>
    <w:rsid w:val="0076044A"/>
    <w:rsid w:val="00767133"/>
    <w:rsid w:val="007705E2"/>
    <w:rsid w:val="00777720"/>
    <w:rsid w:val="0079375D"/>
    <w:rsid w:val="007B0CDB"/>
    <w:rsid w:val="007E19AB"/>
    <w:rsid w:val="007F7AD4"/>
    <w:rsid w:val="00800388"/>
    <w:rsid w:val="00821A98"/>
    <w:rsid w:val="00873C1D"/>
    <w:rsid w:val="0087753F"/>
    <w:rsid w:val="00886DF4"/>
    <w:rsid w:val="008C58CD"/>
    <w:rsid w:val="008C6CB1"/>
    <w:rsid w:val="008E6866"/>
    <w:rsid w:val="00916538"/>
    <w:rsid w:val="00945A6A"/>
    <w:rsid w:val="00A1380C"/>
    <w:rsid w:val="00A35C91"/>
    <w:rsid w:val="00A4395B"/>
    <w:rsid w:val="00A71433"/>
    <w:rsid w:val="00AA3471"/>
    <w:rsid w:val="00AA6D45"/>
    <w:rsid w:val="00AB2210"/>
    <w:rsid w:val="00B267CC"/>
    <w:rsid w:val="00B4126A"/>
    <w:rsid w:val="00B5402C"/>
    <w:rsid w:val="00B5460F"/>
    <w:rsid w:val="00BD00D7"/>
    <w:rsid w:val="00BD5048"/>
    <w:rsid w:val="00C00665"/>
    <w:rsid w:val="00C94C60"/>
    <w:rsid w:val="00CD61BF"/>
    <w:rsid w:val="00D36D30"/>
    <w:rsid w:val="00D7575C"/>
    <w:rsid w:val="00D94C9A"/>
    <w:rsid w:val="00D96948"/>
    <w:rsid w:val="00DA338E"/>
    <w:rsid w:val="00DB34B5"/>
    <w:rsid w:val="00DE4D19"/>
    <w:rsid w:val="00DE6916"/>
    <w:rsid w:val="00E36AD9"/>
    <w:rsid w:val="00E47D25"/>
    <w:rsid w:val="00E77283"/>
    <w:rsid w:val="00E814C4"/>
    <w:rsid w:val="00EA2251"/>
    <w:rsid w:val="00F07292"/>
    <w:rsid w:val="00F22C7C"/>
    <w:rsid w:val="00F249CE"/>
    <w:rsid w:val="00F405DC"/>
    <w:rsid w:val="00F51201"/>
    <w:rsid w:val="00F67B93"/>
    <w:rsid w:val="00F874B3"/>
    <w:rsid w:val="00FB240F"/>
    <w:rsid w:val="00FB47D7"/>
    <w:rsid w:val="00FC03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semiHidden="0" w:name="Placeholder Text"/>
  </w:latentStyles>
  <w:style w:type="paragraph" w:default="1" w:styleId="1">
    <w:name w:val="Normal"/>
    <w:qFormat/>
    <w:uiPriority w:val="0"/>
    <w:pPr>
      <w:widowControl w:val="0"/>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qFormat/>
    <w:uiPriority w:val="99"/>
    <w:rPr>
      <w:color w:val="808080"/>
    </w:rPr>
  </w:style>
  <w:style w:type="paragraph" w:customStyle="1" w:styleId="5">
    <w:name w:val="95E82A14754D465D9A345785211FB91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7F22127486B042A390D37F6660EFE2F7"/>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0894EF79B8CA4323BBB43A3CD5CFF5F3"/>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8">
    <w:name w:val="BEAC0488BF174F79840A0BC29F3B06E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9">
    <w:name w:val="6A59C7CD68E54F05AA9924077F9C83FC"/>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0">
    <w:name w:val="E81A94F281794D32ADEBDC383B0BADB2"/>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1">
    <w:name w:val="91B682EE9E7A422F9853045CA4A7CF0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template xmlns:t="http://mapping.word.org/2012/template">
  <t:sse><![CDATA[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]]></t:sse>
</t:template>
</file>

<file path=customXml/item2.xml><?xml version="1.0" encoding="utf-8"?>
<sc:sections xmlns:sc="http://mapping.word.org/2014/section/customiz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xmlns:bond="bond">
  <clcid-cgi:GongSiFaDingZhongWenMingCheng xmlns:clcid-cgi="clcid-cgi">山东好当家海洋发展股份有限公司</clcid-cgi:GongSiFaDingZhongWenMingCheng>
  <clcid-mr:GongSiFuZeRenXingMing xmlns:clcid-mr="clcid-mr">唐传勤</clcid-mr:GongSiFuZeRenXingMing>
  <clcid-mr:ZhuGuanKuaiJiGongZuoFuZeRenXingMing xmlns:clcid-mr="clcid-mr">宋荣超</clcid-mr:ZhuGuanKuaiJiGongZuoFuZeRenXingMing>
  <clcid-mr:KuaiJiJiGouFuZeRenXingMing xmlns:clcid-mr="clcid-mr">张小嫘</clcid-mr:KuaiJiJiGouFuZeRenXingMing>
  <clcid-cgi:GongSiFaDingDaiBiaoRen xmlns:clcid-cgi="clcid-cgi"/>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
  <clcid-pte:FeiJingChangXingSunYiXiangMuZhongShaoShuGuDongQuanYiYingXiangEShuoMing xmlns:clcid-pte="clcid-pte"/>
  <clcid-pte:FeiJingChangXingSunYiDeKouChuXiangMuDuiSuoDeShuiDeYingXiang xmlns:clcid-pte="clcid-pte"/>
  <clcid-pte:FeiJingChangXingSunYiDeKouChuXiangMuDuiSuoDeShuiDeYingXiangShuoMing xmlns:clcid-pte="clcid-pte"/>
  <clcid-pte:KouChuDeFeiJingChangXingSunYiHeJi xmlns:clcid-pte="clcid-pte"/>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ShiFouShiYongTuFaHuanJingShiJianYingJiYuAn/>
  <clcid-mr:DuiBaoGaoCunZaiYiYiDeDongShiXingMing/>
  <bond:DanWeiFeiJingYingXingWangLaiZhanKuanHeZiJinChaiJie>100000000</bond:DanWeiFeiJingYingXingWangLaiZhanKuanHeZiJinChaiJie>
  <bond:DanWeiMuGongSiYouXiZhaiWu>亿元</bond:DanWeiMuGongSiYouXiZhaiWu>
  <bond:DanWeiYouXiZhaiWu>亿元</bond:DanWeiYouXiZhaiWu>
  <bond:DanWeiFaXingRenJingWaiShiChangFaXingZhaiQuan>亿元</bond:DanWeiFaXingRenJingWaiShiChangFaXingZhaiQuan>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FeiJingChangXingSunYiXiangMu/>
  <clcid-pte:DanDuJinXingJianZhiCeShiDeYingShouKuanXiangHeTongZiChanJianZhiZhunBeiZhuanHuiDeShuoMingFeiJingChangXingSunYiXiangMu/>
  <clcid-pte:YinQuXiaoXiuGaiGuQuanJiLiJiHuaYiCiXingQueRenDeGuFenZhiFuFeiYong/>
  <clcid-pte:DuiYuXianJinJieSuanDeGuFenZhiFuZaiKeXingQuanRiZhiHouYingFuZhiGongXinChouDeGongYunJiaZhiBianDongChanShengDeSunYi/>
  <bond:BiZhongFeiJingYingXingWangLaiZhanKuanHeZiJinChaiJie>人民币</bond:BiZhongFeiJingYingXingWangLaiZhanKuanHeZiJinChaiJie>
  <bond:JingWaiZhaiQuan/>
  <bond:BiZhongFaXingRenJingWaiShiChangFaXingZhaiQuan>人民币</bond:BiZhongFaXingRenJingWaiShiChangFaXingZhaiQuan>
  <bond:DanWeiZhuYaoZiChanHeFuZhaiBianDongQingKuang>亿元</bond:DanWeiZhuYaoZiChanHeFuZhaiBianDongQingKuang>
  <bond:BiZhongZhuYaoZiChanHeFuZhaiBianDongQingKuang>人民币</bond:BiZhongZhuYaoZiChanHeFuZhaiBianDongQingKuang>
</b:binding>
</file>

<file path=customXml/item5.xml><?xml version="1.0" encoding="utf-8"?>
<m:mapping xmlns:m="http://mapping.word.org/2012/mapping">
  <m:sm4><![CDATA[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]]></m:sm4>
</m:mapping>
</file>

<file path=customXml/itemProps1.xml><?xml version="1.0" encoding="utf-8"?>
<ds:datastoreItem xmlns:ds="http://schemas.openxmlformats.org/officeDocument/2006/customXml" ds:itemID="{B11FDA73-0567-401C-B61A-A8A68FF60ED1}">
  <ds:schemaRefs/>
</ds:datastoreItem>
</file>

<file path=customXml/itemProps2.xml><?xml version="1.0" encoding="utf-8"?>
<ds:datastoreItem xmlns:ds="http://schemas.openxmlformats.org/officeDocument/2006/customXml" ds:itemID="{1F37729E-89F6-4D70-BC0B-8EF77515B409}">
  <ds:schemaRefs/>
</ds:datastoreItem>
</file>

<file path=customXml/itemProps3.xml><?xml version="1.0" encoding="utf-8"?>
<ds:datastoreItem xmlns:ds="http://schemas.openxmlformats.org/officeDocument/2006/customXml" ds:itemID="{7059183A-28BB-49B9-84FC-8FCD9583D7A1}">
  <ds:schemaRefs/>
</ds:datastoreItem>
</file>

<file path=customXml/itemProps4.xml><?xml version="1.0" encoding="utf-8"?>
<ds:datastoreItem xmlns:ds="http://schemas.openxmlformats.org/officeDocument/2006/customXml" ds:itemID="{89EBAB94-44A0-46A2-B712-30D997D04A6D}">
  <ds:schemaRefs/>
</ds:datastoreItem>
</file>

<file path=customXml/itemProps5.xml><?xml version="1.0" encoding="utf-8"?>
<ds:datastoreItem xmlns:ds="http://schemas.openxmlformats.org/officeDocument/2006/customXml" ds:itemID="{30FF0CF0-E11E-4383-B283-904591633BBC}">
  <ds:schemaRefs/>
</ds:datastoreItem>
</file>

<file path=docProps/app.xml><?xml version="1.0" encoding="utf-8"?>
<Properties xmlns="http://schemas.openxmlformats.org/officeDocument/2006/extended-properties" xmlns:vt="http://schemas.openxmlformats.org/officeDocument/2006/docPropsVTypes">
  <Template>SSEReport</Template>
  <Company>Sky123.Org</Company>
  <Pages>175</Pages>
  <Words>1365</Words>
  <Characters>1417</Characters>
  <Lines>12259</Lines>
  <Paragraphs>12325</Paragraphs>
  <TotalTime>10586</TotalTime>
  <ScaleCrop>false</ScaleCrop>
  <LinksUpToDate>false</LinksUpToDate>
  <CharactersWithSpaces>1478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2026-07-02T23:52:00Z</dcterms:created>
  <dc:creator>m70qd</dc:creator>
  <cp:lastModifiedBy>行者</cp:lastModifiedBy>
  <cp:lastPrinted>2026-08-05T01:07:00Z</cp:lastPrinted>
  <dcterms:modified xsi:type="dcterms:W3CDTF">2026-08-06T09:34:46Z</dcterms:modified>
  <cp:revision>1313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eyJoZGlkIjoiNGQ4NDc3Y2I3NjBlYzYyMTdiZTYyZTRlOTI4NjhiZmEiLCJ1c2VySWQiOiIyNjQ5ODE4NDgifQ==</vt:lpwstr>
  </property>
  <property fmtid="{D5CDD505-2E9C-101B-9397-08002B2CF9AE}" pid="3" name="KSOProductBuildVer">
    <vt:lpwstr>2052-12.1.0.28043</vt:lpwstr>
  </property>
  <property fmtid="{D5CDD505-2E9C-101B-9397-08002B2CF9AE}" pid="4" name="ICV">
    <vt:lpwstr>0EB7E43B43BF4018B9E51F313E6719E2_12</vt:lpwstr>
  </property>
</Properties>
</file>