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09C12E">
      <w:pPr>
        <w:spacing w:line="360" w:lineRule="auto"/>
        <w:rPr>
          <w:rFonts w:hint="default" w:ascii="黑体" w:eastAsia="黑体"/>
          <w:sz w:val="24"/>
          <w:lang w:val="en-US" w:eastAsia="zh-CN"/>
        </w:rPr>
      </w:pPr>
      <w:r>
        <w:rPr>
          <w:rFonts w:hint="eastAsia" w:ascii="黑体" w:eastAsia="黑体"/>
          <w:sz w:val="24"/>
        </w:rPr>
        <w:t>证券代码：600467       股票简称：好 当 家        公告编号：临202</w:t>
      </w:r>
      <w:r>
        <w:rPr>
          <w:rFonts w:hint="eastAsia" w:ascii="黑体" w:eastAsia="黑体"/>
          <w:sz w:val="24"/>
          <w:lang w:val="en-US" w:eastAsia="zh-CN"/>
        </w:rPr>
        <w:t>6</w:t>
      </w:r>
      <w:r>
        <w:rPr>
          <w:rFonts w:hint="eastAsia" w:ascii="黑体" w:eastAsia="黑体"/>
          <w:sz w:val="24"/>
        </w:rPr>
        <w:t>-0</w:t>
      </w:r>
      <w:r>
        <w:rPr>
          <w:rFonts w:hint="eastAsia" w:ascii="黑体" w:eastAsia="黑体"/>
          <w:sz w:val="24"/>
          <w:lang w:val="en-US" w:eastAsia="zh-CN"/>
        </w:rPr>
        <w:t>32</w:t>
      </w:r>
    </w:p>
    <w:p w14:paraId="1C44C393">
      <w:pPr>
        <w:spacing w:line="360" w:lineRule="auto"/>
        <w:jc w:val="center"/>
        <w:rPr>
          <w:rFonts w:ascii="黑体" w:eastAsia="黑体"/>
          <w:b/>
          <w:sz w:val="36"/>
          <w:szCs w:val="36"/>
        </w:rPr>
      </w:pPr>
    </w:p>
    <w:p w14:paraId="150FAB48">
      <w:pPr>
        <w:spacing w:line="360" w:lineRule="auto"/>
        <w:jc w:val="center"/>
        <w:rPr>
          <w:rFonts w:ascii="黑体" w:eastAsia="黑体"/>
          <w:b/>
          <w:sz w:val="36"/>
          <w:szCs w:val="36"/>
        </w:rPr>
      </w:pPr>
      <w:r>
        <w:rPr>
          <w:rFonts w:hint="eastAsia" w:ascii="黑体" w:eastAsia="黑体"/>
          <w:b/>
          <w:sz w:val="36"/>
          <w:szCs w:val="36"/>
        </w:rPr>
        <w:t>山东好当家海洋发展股份有限公司</w:t>
      </w:r>
    </w:p>
    <w:p w14:paraId="152AAA92">
      <w:pPr>
        <w:pStyle w:val="4"/>
        <w:jc w:val="center"/>
        <w:rPr>
          <w:rFonts w:ascii="黑体" w:eastAsia="黑体"/>
          <w:b/>
          <w:sz w:val="36"/>
          <w:szCs w:val="36"/>
        </w:rPr>
      </w:pPr>
      <w:r>
        <w:rPr>
          <w:rFonts w:hint="eastAsia" w:ascii="黑体" w:eastAsia="黑体"/>
          <w:b/>
          <w:sz w:val="36"/>
          <w:szCs w:val="36"/>
        </w:rPr>
        <w:t>关于控股股东进行股票</w:t>
      </w:r>
      <w:r>
        <w:rPr>
          <w:rFonts w:hint="eastAsia" w:ascii="黑体" w:eastAsia="黑体"/>
          <w:b/>
          <w:sz w:val="36"/>
          <w:szCs w:val="36"/>
          <w:lang w:val="en-US" w:eastAsia="zh-CN"/>
        </w:rPr>
        <w:t>解除</w:t>
      </w:r>
      <w:r>
        <w:rPr>
          <w:rFonts w:hint="eastAsia" w:ascii="黑体" w:eastAsia="黑体"/>
          <w:b/>
          <w:sz w:val="36"/>
          <w:szCs w:val="36"/>
        </w:rPr>
        <w:t>质押</w:t>
      </w:r>
      <w:r>
        <w:rPr>
          <w:rFonts w:hint="eastAsia" w:ascii="黑体" w:eastAsia="黑体"/>
          <w:b/>
          <w:sz w:val="36"/>
          <w:szCs w:val="36"/>
          <w:lang w:val="en-US" w:eastAsia="zh-CN"/>
        </w:rPr>
        <w:t>及质押</w:t>
      </w:r>
      <w:r>
        <w:rPr>
          <w:rFonts w:hint="eastAsia" w:ascii="黑体" w:eastAsia="黑体"/>
          <w:b/>
          <w:sz w:val="36"/>
          <w:szCs w:val="36"/>
        </w:rPr>
        <w:t>的公告</w:t>
      </w:r>
    </w:p>
    <w:p w14:paraId="20DE6C79">
      <w:pPr>
        <w:spacing w:line="360" w:lineRule="auto"/>
        <w:jc w:val="center"/>
        <w:rPr>
          <w:rFonts w:ascii="黑体" w:eastAsia="黑体"/>
          <w:sz w:val="24"/>
        </w:rPr>
      </w:pPr>
    </w:p>
    <w:p w14:paraId="0FF411BC">
      <w:pPr>
        <w:adjustRightInd w:val="0"/>
        <w:spacing w:line="440" w:lineRule="exact"/>
        <w:ind w:firstLine="420" w:firstLineChars="200"/>
        <w:rPr>
          <w:szCs w:val="21"/>
        </w:rPr>
      </w:pPr>
      <w:r>
        <w:rPr>
          <w:rFonts w:hint="eastAsia"/>
          <w:szCs w:val="21"/>
        </w:rPr>
        <w:t>本公司董事会及全体董事保证本公告内容不存在任何虚假记载、误导性陈述或者重大遗漏，并对其内容的真实性、准确性和完整性承担个别及连带责任。</w:t>
      </w:r>
    </w:p>
    <w:p w14:paraId="2159207B">
      <w:pPr>
        <w:adjustRightInd w:val="0"/>
        <w:spacing w:line="440" w:lineRule="exact"/>
        <w:ind w:firstLine="420" w:firstLineChars="200"/>
        <w:rPr>
          <w:szCs w:val="21"/>
        </w:rPr>
      </w:pPr>
    </w:p>
    <w:p w14:paraId="733FD796">
      <w:pPr>
        <w:pStyle w:val="4"/>
        <w:spacing w:line="500" w:lineRule="exact"/>
        <w:ind w:firstLine="482" w:firstLineChars="200"/>
        <w:rPr>
          <w:rFonts w:hint="eastAsia" w:ascii="宋体" w:hAnsi="宋体" w:eastAsia="宋体"/>
          <w:b/>
        </w:rPr>
      </w:pPr>
      <w:r>
        <w:rPr>
          <w:rFonts w:hint="eastAsia" w:ascii="宋体" w:hAnsi="宋体" w:eastAsia="宋体"/>
          <w:b/>
        </w:rPr>
        <w:t>重要内容提示：</w:t>
      </w:r>
    </w:p>
    <w:p w14:paraId="733E8B94">
      <w:pPr>
        <w:pStyle w:val="4"/>
        <w:spacing w:line="500" w:lineRule="exact"/>
        <w:ind w:firstLine="482" w:firstLineChars="200"/>
        <w:rPr>
          <w:rFonts w:hint="eastAsia" w:ascii="宋体" w:hAnsi="宋体" w:eastAsia="宋体"/>
          <w:b/>
          <w:highlight w:val="none"/>
        </w:rPr>
      </w:pPr>
      <w:r>
        <w:rPr>
          <w:rFonts w:hint="eastAsia" w:ascii="宋体" w:hAnsi="宋体" w:eastAsia="宋体"/>
          <w:b/>
        </w:rPr>
        <w:t>●</w:t>
      </w:r>
      <w:r>
        <w:rPr>
          <w:rFonts w:hint="eastAsia" w:ascii="宋体" w:hAnsi="宋体" w:eastAsia="宋体"/>
        </w:rPr>
        <w:t>山东好当家海洋发展股份有限公司（以下简称“公司”）控股股东好当家集团有限公司（以下简称“好当家集团”）持有公司的股</w:t>
      </w:r>
      <w:r>
        <w:rPr>
          <w:rFonts w:hint="eastAsia" w:ascii="宋体" w:hAnsi="宋体" w:eastAsia="宋体"/>
          <w:highlight w:val="none"/>
        </w:rPr>
        <w:t>份总数为</w:t>
      </w:r>
      <w:r>
        <w:rPr>
          <w:rFonts w:ascii="宋体" w:hAnsi="宋体" w:eastAsia="宋体"/>
          <w:color w:val="auto"/>
          <w:highlight w:val="none"/>
        </w:rPr>
        <w:t>5</w:t>
      </w:r>
      <w:r>
        <w:rPr>
          <w:rFonts w:hint="eastAsia" w:ascii="宋体" w:hAnsi="宋体" w:eastAsia="宋体"/>
          <w:color w:val="auto"/>
          <w:highlight w:val="none"/>
          <w:lang w:val="en-US" w:eastAsia="zh-CN"/>
        </w:rPr>
        <w:t>34</w:t>
      </w:r>
      <w:r>
        <w:rPr>
          <w:rFonts w:ascii="宋体" w:hAnsi="宋体" w:eastAsia="宋体"/>
          <w:color w:val="auto"/>
          <w:highlight w:val="none"/>
        </w:rPr>
        <w:t>,</w:t>
      </w:r>
      <w:r>
        <w:rPr>
          <w:rFonts w:hint="eastAsia" w:ascii="宋体" w:hAnsi="宋体" w:eastAsia="宋体"/>
          <w:color w:val="auto"/>
          <w:highlight w:val="none"/>
          <w:lang w:val="en-US" w:eastAsia="zh-CN"/>
        </w:rPr>
        <w:t>950</w:t>
      </w:r>
      <w:r>
        <w:rPr>
          <w:rFonts w:ascii="宋体" w:hAnsi="宋体" w:eastAsia="宋体"/>
          <w:color w:val="auto"/>
          <w:highlight w:val="none"/>
        </w:rPr>
        <w:t>,</w:t>
      </w:r>
      <w:r>
        <w:rPr>
          <w:rFonts w:hint="eastAsia" w:ascii="宋体" w:hAnsi="宋体" w:eastAsia="宋体"/>
          <w:color w:val="auto"/>
          <w:highlight w:val="none"/>
          <w:lang w:val="en-US" w:eastAsia="zh-CN"/>
        </w:rPr>
        <w:t>9</w:t>
      </w:r>
      <w:r>
        <w:rPr>
          <w:rFonts w:hint="eastAsia" w:ascii="宋体" w:hAnsi="宋体" w:eastAsia="宋体"/>
          <w:color w:val="auto"/>
          <w:highlight w:val="none"/>
        </w:rPr>
        <w:t>90股，占公司总股本1</w:t>
      </w:r>
      <w:r>
        <w:rPr>
          <w:rFonts w:ascii="宋体" w:hAnsi="宋体" w:eastAsia="宋体"/>
          <w:color w:val="auto"/>
          <w:highlight w:val="none"/>
        </w:rPr>
        <w:t>,</w:t>
      </w:r>
      <w:r>
        <w:rPr>
          <w:rFonts w:hint="eastAsia" w:ascii="宋体" w:hAnsi="宋体" w:eastAsia="宋体"/>
          <w:color w:val="auto"/>
          <w:highlight w:val="none"/>
        </w:rPr>
        <w:t>460</w:t>
      </w:r>
      <w:r>
        <w:rPr>
          <w:rFonts w:ascii="宋体" w:hAnsi="宋体" w:eastAsia="宋体"/>
          <w:color w:val="auto"/>
          <w:highlight w:val="none"/>
        </w:rPr>
        <w:t>,</w:t>
      </w:r>
      <w:r>
        <w:rPr>
          <w:rFonts w:hint="eastAsia" w:ascii="宋体" w:hAnsi="宋体" w:eastAsia="宋体"/>
          <w:color w:val="auto"/>
          <w:highlight w:val="none"/>
        </w:rPr>
        <w:t>994</w:t>
      </w:r>
      <w:r>
        <w:rPr>
          <w:rFonts w:ascii="宋体" w:hAnsi="宋体" w:eastAsia="宋体"/>
          <w:color w:val="auto"/>
          <w:highlight w:val="none"/>
        </w:rPr>
        <w:t>,</w:t>
      </w:r>
      <w:r>
        <w:rPr>
          <w:rFonts w:hint="eastAsia" w:ascii="宋体" w:hAnsi="宋体" w:eastAsia="宋体"/>
          <w:color w:val="auto"/>
          <w:highlight w:val="none"/>
        </w:rPr>
        <w:t>304股的</w:t>
      </w:r>
      <w:r>
        <w:rPr>
          <w:rFonts w:ascii="宋体" w:hAnsi="宋体" w:eastAsia="宋体"/>
          <w:color w:val="auto"/>
          <w:highlight w:val="none"/>
        </w:rPr>
        <w:t>3</w:t>
      </w:r>
      <w:r>
        <w:rPr>
          <w:rFonts w:hint="eastAsia" w:ascii="宋体" w:hAnsi="宋体" w:eastAsia="宋体"/>
          <w:color w:val="auto"/>
          <w:highlight w:val="none"/>
          <w:lang w:val="en-US" w:eastAsia="zh-CN"/>
        </w:rPr>
        <w:t>6</w:t>
      </w:r>
      <w:r>
        <w:rPr>
          <w:rFonts w:ascii="宋体" w:hAnsi="宋体" w:eastAsia="宋体"/>
          <w:color w:val="auto"/>
          <w:highlight w:val="none"/>
        </w:rPr>
        <w:t>.</w:t>
      </w:r>
      <w:r>
        <w:rPr>
          <w:rFonts w:hint="eastAsia" w:ascii="宋体" w:hAnsi="宋体" w:eastAsia="宋体"/>
          <w:color w:val="auto"/>
          <w:highlight w:val="none"/>
          <w:lang w:val="en-US" w:eastAsia="zh-CN"/>
        </w:rPr>
        <w:t>62</w:t>
      </w:r>
      <w:r>
        <w:rPr>
          <w:rFonts w:ascii="宋体" w:hAnsi="宋体" w:eastAsia="宋体"/>
          <w:color w:val="auto"/>
          <w:highlight w:val="none"/>
        </w:rPr>
        <w:t>%</w:t>
      </w:r>
      <w:r>
        <w:rPr>
          <w:rFonts w:hint="eastAsia" w:ascii="宋体" w:hAnsi="宋体" w:eastAsia="宋体"/>
          <w:color w:val="auto"/>
          <w:highlight w:val="none"/>
        </w:rPr>
        <w:t>。</w:t>
      </w:r>
    </w:p>
    <w:p w14:paraId="417D90CC">
      <w:pPr>
        <w:pStyle w:val="4"/>
        <w:spacing w:line="500" w:lineRule="exact"/>
        <w:ind w:firstLine="482" w:firstLineChars="200"/>
        <w:rPr>
          <w:rFonts w:hint="eastAsia" w:ascii="宋体" w:hAnsi="宋体" w:eastAsia="宋体"/>
          <w:color w:val="auto"/>
          <w:highlight w:val="none"/>
        </w:rPr>
      </w:pPr>
      <w:r>
        <w:rPr>
          <w:rFonts w:hint="eastAsia" w:ascii="宋体" w:hAnsi="宋体" w:eastAsia="宋体"/>
          <w:b/>
          <w:highlight w:val="none"/>
        </w:rPr>
        <w:t>●</w:t>
      </w:r>
      <w:r>
        <w:rPr>
          <w:rFonts w:hint="eastAsia" w:ascii="宋体" w:hAnsi="宋体" w:eastAsia="宋体"/>
          <w:highlight w:val="none"/>
        </w:rPr>
        <w:t>本次</w:t>
      </w:r>
      <w:r>
        <w:rPr>
          <w:rFonts w:hint="eastAsia" w:ascii="宋体" w:hAnsi="宋体" w:eastAsia="宋体"/>
        </w:rPr>
        <w:t>好当家集团</w:t>
      </w:r>
      <w:r>
        <w:rPr>
          <w:rFonts w:hint="eastAsia" w:ascii="宋体" w:hAnsi="宋体" w:eastAsia="宋体"/>
          <w:lang w:val="en-US" w:eastAsia="zh-CN"/>
        </w:rPr>
        <w:t>解除</w:t>
      </w:r>
      <w:r>
        <w:rPr>
          <w:rFonts w:hint="eastAsia" w:ascii="宋体" w:hAnsi="宋体" w:eastAsia="宋体"/>
          <w:highlight w:val="none"/>
        </w:rPr>
        <w:t>质押</w:t>
      </w:r>
      <w:r>
        <w:rPr>
          <w:rFonts w:hint="eastAsia" w:ascii="宋体" w:hAnsi="宋体" w:eastAsia="宋体"/>
          <w:highlight w:val="none"/>
          <w:lang w:val="en-US" w:eastAsia="zh-CN"/>
        </w:rPr>
        <w:t>股份数量45,000,000股</w:t>
      </w:r>
      <w:r>
        <w:rPr>
          <w:rFonts w:hint="eastAsia" w:ascii="宋体" w:hAnsi="宋体" w:eastAsia="宋体"/>
          <w:highlight w:val="none"/>
        </w:rPr>
        <w:t>，</w:t>
      </w:r>
      <w:r>
        <w:rPr>
          <w:rFonts w:hint="eastAsia" w:ascii="宋体" w:hAnsi="宋体" w:eastAsia="宋体"/>
          <w:highlight w:val="none"/>
          <w:lang w:val="en-US" w:eastAsia="zh-CN"/>
        </w:rPr>
        <w:t>质押股份数量45,000,000股；本次解除质押以及质押后，</w:t>
      </w:r>
      <w:r>
        <w:rPr>
          <w:rFonts w:hint="eastAsia" w:ascii="宋体" w:hAnsi="宋体" w:eastAsia="宋体"/>
          <w:highlight w:val="none"/>
        </w:rPr>
        <w:t>好当家集团持有公司股份累计质押数量（含本次）</w:t>
      </w:r>
      <w:r>
        <w:rPr>
          <w:rFonts w:hint="eastAsia" w:ascii="宋体" w:hAnsi="宋体" w:eastAsia="宋体"/>
          <w:color w:val="auto"/>
          <w:highlight w:val="none"/>
          <w:lang w:val="en-US" w:eastAsia="zh-CN"/>
        </w:rPr>
        <w:t>314</w:t>
      </w:r>
      <w:r>
        <w:rPr>
          <w:rFonts w:ascii="宋体" w:hAnsi="宋体" w:eastAsia="宋体"/>
          <w:color w:val="auto"/>
          <w:highlight w:val="none"/>
        </w:rPr>
        <w:t>,</w:t>
      </w:r>
      <w:r>
        <w:rPr>
          <w:rFonts w:hint="eastAsia" w:ascii="宋体" w:hAnsi="宋体" w:eastAsia="宋体"/>
          <w:color w:val="auto"/>
          <w:highlight w:val="none"/>
          <w:lang w:val="en-US" w:eastAsia="zh-CN"/>
        </w:rPr>
        <w:t>4</w:t>
      </w:r>
      <w:r>
        <w:rPr>
          <w:rFonts w:hint="eastAsia" w:ascii="宋体" w:hAnsi="宋体" w:eastAsia="宋体"/>
          <w:color w:val="auto"/>
          <w:highlight w:val="none"/>
        </w:rPr>
        <w:t>41</w:t>
      </w:r>
      <w:r>
        <w:rPr>
          <w:rFonts w:ascii="宋体" w:hAnsi="宋体" w:eastAsia="宋体"/>
          <w:color w:val="auto"/>
          <w:highlight w:val="none"/>
        </w:rPr>
        <w:t>,</w:t>
      </w:r>
      <w:r>
        <w:rPr>
          <w:rFonts w:hint="eastAsia" w:ascii="宋体" w:hAnsi="宋体" w:eastAsia="宋体"/>
          <w:color w:val="auto"/>
          <w:highlight w:val="none"/>
        </w:rPr>
        <w:t>400股，占其所持公司股份总数的</w:t>
      </w:r>
      <w:r>
        <w:rPr>
          <w:rFonts w:hint="eastAsia" w:ascii="宋体" w:hAnsi="宋体" w:eastAsia="宋体"/>
          <w:color w:val="auto"/>
          <w:highlight w:val="none"/>
          <w:lang w:val="en-US" w:eastAsia="zh-CN"/>
        </w:rPr>
        <w:t>58.78</w:t>
      </w:r>
      <w:r>
        <w:rPr>
          <w:rFonts w:ascii="宋体" w:hAnsi="宋体" w:eastAsia="宋体"/>
          <w:color w:val="auto"/>
          <w:highlight w:val="none"/>
        </w:rPr>
        <w:t>%</w:t>
      </w:r>
      <w:r>
        <w:rPr>
          <w:rFonts w:hint="eastAsia" w:ascii="宋体" w:hAnsi="宋体" w:eastAsia="宋体"/>
          <w:color w:val="auto"/>
          <w:highlight w:val="none"/>
        </w:rPr>
        <w:t>，占公司总股本的2</w:t>
      </w:r>
      <w:r>
        <w:rPr>
          <w:rFonts w:hint="eastAsia" w:ascii="宋体" w:hAnsi="宋体" w:eastAsia="宋体"/>
          <w:color w:val="auto"/>
          <w:highlight w:val="none"/>
          <w:lang w:val="en-US" w:eastAsia="zh-CN"/>
        </w:rPr>
        <w:t>1</w:t>
      </w:r>
      <w:r>
        <w:rPr>
          <w:rFonts w:hint="eastAsia" w:ascii="宋体" w:hAnsi="宋体" w:eastAsia="宋体"/>
          <w:color w:val="auto"/>
          <w:highlight w:val="none"/>
        </w:rPr>
        <w:t>.</w:t>
      </w:r>
      <w:r>
        <w:rPr>
          <w:rFonts w:hint="eastAsia" w:ascii="宋体" w:hAnsi="宋体" w:eastAsia="宋体"/>
          <w:color w:val="auto"/>
          <w:highlight w:val="none"/>
          <w:lang w:val="en-US" w:eastAsia="zh-CN"/>
        </w:rPr>
        <w:t>52</w:t>
      </w:r>
      <w:r>
        <w:rPr>
          <w:rFonts w:ascii="宋体" w:hAnsi="宋体" w:eastAsia="宋体"/>
          <w:color w:val="auto"/>
          <w:highlight w:val="none"/>
        </w:rPr>
        <w:t>%</w:t>
      </w:r>
      <w:r>
        <w:rPr>
          <w:rFonts w:hint="eastAsia" w:ascii="宋体" w:hAnsi="宋体" w:eastAsia="宋体"/>
          <w:color w:val="auto"/>
          <w:highlight w:val="none"/>
        </w:rPr>
        <w:t>。</w:t>
      </w:r>
    </w:p>
    <w:p w14:paraId="05DCD077">
      <w:pPr>
        <w:pStyle w:val="4"/>
        <w:numPr>
          <w:ilvl w:val="0"/>
          <w:numId w:val="0"/>
        </w:numPr>
        <w:spacing w:line="500" w:lineRule="exact"/>
        <w:ind w:firstLine="482" w:firstLineChars="200"/>
        <w:rPr>
          <w:rFonts w:hint="eastAsia" w:ascii="宋体" w:hAnsi="宋体" w:eastAsia="宋体"/>
          <w:b/>
          <w:bCs/>
          <w:color w:val="auto"/>
        </w:rPr>
      </w:pPr>
      <w:r>
        <w:rPr>
          <w:rFonts w:hint="eastAsia" w:ascii="宋体" w:hAnsi="宋体" w:eastAsia="宋体"/>
          <w:b/>
          <w:bCs/>
          <w:color w:val="auto"/>
          <w:lang w:val="en-US" w:eastAsia="zh-CN"/>
        </w:rPr>
        <w:t>一、</w:t>
      </w:r>
      <w:r>
        <w:rPr>
          <w:rFonts w:hint="eastAsia" w:ascii="宋体" w:hAnsi="宋体" w:eastAsia="宋体"/>
          <w:b/>
          <w:bCs/>
          <w:color w:val="auto"/>
        </w:rPr>
        <w:t>股份解除质押以及质押情况</w:t>
      </w:r>
    </w:p>
    <w:p w14:paraId="77D3CC92">
      <w:pPr>
        <w:pStyle w:val="4"/>
        <w:spacing w:line="500" w:lineRule="exact"/>
        <w:ind w:firstLine="480" w:firstLineChars="200"/>
        <w:rPr>
          <w:rFonts w:hint="eastAsia" w:ascii="宋体" w:hAnsi="宋体" w:eastAsia="宋体"/>
          <w:color w:val="auto"/>
          <w:highlight w:val="none"/>
        </w:rPr>
      </w:pPr>
      <w:r>
        <w:rPr>
          <w:rFonts w:hint="eastAsia" w:ascii="宋体" w:hAnsi="宋体" w:eastAsia="宋体"/>
          <w:color w:val="auto"/>
          <w:highlight w:val="none"/>
        </w:rPr>
        <w:t>公司近日接到控股股东好当家集团</w:t>
      </w:r>
      <w:r>
        <w:rPr>
          <w:rFonts w:hint="eastAsia" w:ascii="宋体" w:hAnsi="宋体" w:eastAsia="宋体"/>
          <w:color w:val="auto"/>
          <w:highlight w:val="none"/>
          <w:lang w:val="en-US" w:eastAsia="zh-CN"/>
        </w:rPr>
        <w:t>关</w:t>
      </w:r>
      <w:r>
        <w:rPr>
          <w:rFonts w:hint="eastAsia" w:ascii="宋体" w:hAnsi="宋体" w:eastAsia="宋体"/>
          <w:color w:val="auto"/>
          <w:highlight w:val="none"/>
        </w:rPr>
        <w:t>于其持有的公司部分股份解除质押以及质押的通知，具体</w:t>
      </w:r>
      <w:r>
        <w:rPr>
          <w:rFonts w:hint="eastAsia" w:ascii="宋体" w:hAnsi="宋体" w:eastAsia="宋体"/>
          <w:color w:val="auto"/>
          <w:highlight w:val="none"/>
          <w:lang w:val="en-US" w:eastAsia="zh-CN"/>
        </w:rPr>
        <w:t>情况</w:t>
      </w:r>
      <w:r>
        <w:rPr>
          <w:rFonts w:hint="eastAsia" w:ascii="宋体" w:hAnsi="宋体" w:eastAsia="宋体"/>
          <w:color w:val="auto"/>
          <w:highlight w:val="none"/>
        </w:rPr>
        <w:t>如下：</w:t>
      </w:r>
    </w:p>
    <w:p w14:paraId="135BFA19">
      <w:pPr>
        <w:pStyle w:val="4"/>
        <w:numPr>
          <w:ilvl w:val="0"/>
          <w:numId w:val="1"/>
        </w:numPr>
        <w:spacing w:line="500" w:lineRule="exact"/>
        <w:ind w:firstLine="602" w:firstLineChars="250"/>
        <w:rPr>
          <w:rFonts w:hint="eastAsia" w:ascii="宋体" w:hAnsi="宋体" w:eastAsia="宋体"/>
          <w:b/>
          <w:bCs/>
          <w:color w:val="auto"/>
          <w:highlight w:val="none"/>
        </w:rPr>
      </w:pPr>
      <w:r>
        <w:rPr>
          <w:rFonts w:hint="eastAsia" w:ascii="宋体" w:hAnsi="宋体" w:eastAsia="宋体"/>
          <w:b/>
          <w:bCs/>
          <w:color w:val="auto"/>
          <w:highlight w:val="none"/>
        </w:rPr>
        <w:t>本次股份解除质押基本情况</w:t>
      </w:r>
    </w:p>
    <w:tbl>
      <w:tblPr>
        <w:tblStyle w:val="2"/>
        <w:tblW w:w="0" w:type="auto"/>
        <w:tblInd w:w="6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19"/>
        <w:gridCol w:w="4003"/>
      </w:tblGrid>
      <w:tr w14:paraId="79606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19" w:type="dxa"/>
            <w:noWrap w:val="0"/>
            <w:vAlign w:val="top"/>
          </w:tcPr>
          <w:p w14:paraId="6CBE41B1">
            <w:pPr>
              <w:pStyle w:val="4"/>
              <w:spacing w:line="500" w:lineRule="exact"/>
              <w:rPr>
                <w:rFonts w:hint="eastAsia" w:ascii="宋体" w:hAnsi="宋体" w:eastAsia="宋体"/>
                <w:color w:val="auto"/>
                <w:sz w:val="21"/>
                <w:szCs w:val="21"/>
              </w:rPr>
            </w:pPr>
            <w:r>
              <w:rPr>
                <w:rFonts w:hint="eastAsia" w:ascii="宋体" w:hAnsi="宋体" w:eastAsia="宋体"/>
                <w:color w:val="auto"/>
                <w:sz w:val="21"/>
                <w:szCs w:val="21"/>
              </w:rPr>
              <w:t>股东名称</w:t>
            </w:r>
          </w:p>
        </w:tc>
        <w:tc>
          <w:tcPr>
            <w:tcW w:w="4003" w:type="dxa"/>
            <w:noWrap w:val="0"/>
            <w:vAlign w:val="top"/>
          </w:tcPr>
          <w:p w14:paraId="35D752FD">
            <w:pPr>
              <w:pStyle w:val="4"/>
              <w:spacing w:line="500" w:lineRule="exact"/>
              <w:rPr>
                <w:rFonts w:hint="eastAsia" w:ascii="宋体" w:hAnsi="宋体" w:eastAsia="宋体"/>
                <w:color w:val="auto"/>
                <w:sz w:val="21"/>
                <w:szCs w:val="21"/>
              </w:rPr>
            </w:pPr>
            <w:r>
              <w:rPr>
                <w:rFonts w:hint="eastAsia" w:ascii="宋体" w:hAnsi="宋体" w:eastAsia="宋体"/>
                <w:color w:val="auto"/>
                <w:sz w:val="21"/>
                <w:szCs w:val="21"/>
              </w:rPr>
              <w:t>好当家集团有限公司</w:t>
            </w:r>
          </w:p>
        </w:tc>
      </w:tr>
      <w:tr w14:paraId="357F1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19" w:type="dxa"/>
            <w:noWrap w:val="0"/>
            <w:vAlign w:val="top"/>
          </w:tcPr>
          <w:p w14:paraId="2530E768">
            <w:pPr>
              <w:pStyle w:val="4"/>
              <w:spacing w:line="500" w:lineRule="exact"/>
              <w:rPr>
                <w:rFonts w:hint="eastAsia" w:ascii="宋体" w:hAnsi="宋体" w:eastAsia="宋体"/>
                <w:color w:val="auto"/>
                <w:sz w:val="21"/>
                <w:szCs w:val="21"/>
              </w:rPr>
            </w:pPr>
            <w:r>
              <w:rPr>
                <w:rFonts w:hint="eastAsia" w:ascii="宋体" w:hAnsi="宋体" w:eastAsia="宋体"/>
                <w:color w:val="auto"/>
                <w:sz w:val="21"/>
                <w:szCs w:val="21"/>
              </w:rPr>
              <w:t>本次解质押股份</w:t>
            </w:r>
          </w:p>
        </w:tc>
        <w:tc>
          <w:tcPr>
            <w:tcW w:w="4003" w:type="dxa"/>
            <w:noWrap w:val="0"/>
            <w:vAlign w:val="top"/>
          </w:tcPr>
          <w:p w14:paraId="652D9EEF">
            <w:pPr>
              <w:pStyle w:val="4"/>
              <w:spacing w:line="500" w:lineRule="exact"/>
              <w:rPr>
                <w:rFonts w:hint="eastAsia" w:ascii="宋体" w:hAnsi="宋体" w:eastAsia="宋体"/>
                <w:color w:val="auto"/>
                <w:sz w:val="21"/>
                <w:szCs w:val="21"/>
              </w:rPr>
            </w:pPr>
            <w:r>
              <w:rPr>
                <w:rFonts w:hint="eastAsia" w:ascii="宋体" w:hAnsi="宋体" w:eastAsia="宋体"/>
                <w:color w:val="auto"/>
                <w:sz w:val="21"/>
                <w:szCs w:val="21"/>
                <w:lang w:val="en-US" w:eastAsia="zh-CN"/>
              </w:rPr>
              <w:t>45</w:t>
            </w:r>
            <w:r>
              <w:rPr>
                <w:rFonts w:hint="eastAsia" w:ascii="宋体" w:hAnsi="宋体" w:eastAsia="宋体"/>
                <w:color w:val="auto"/>
                <w:sz w:val="21"/>
                <w:szCs w:val="21"/>
              </w:rPr>
              <w:t>,</w:t>
            </w:r>
            <w:r>
              <w:rPr>
                <w:rFonts w:hint="eastAsia" w:ascii="宋体" w:hAnsi="宋体" w:eastAsia="宋体"/>
                <w:color w:val="auto"/>
                <w:sz w:val="21"/>
                <w:szCs w:val="21"/>
                <w:lang w:val="en-US" w:eastAsia="zh-CN"/>
              </w:rPr>
              <w:t>000</w:t>
            </w:r>
            <w:r>
              <w:rPr>
                <w:rFonts w:hint="eastAsia" w:ascii="宋体" w:hAnsi="宋体" w:eastAsia="宋体"/>
                <w:color w:val="auto"/>
                <w:sz w:val="21"/>
                <w:szCs w:val="21"/>
              </w:rPr>
              <w:t>,</w:t>
            </w:r>
            <w:r>
              <w:rPr>
                <w:rFonts w:hint="eastAsia" w:ascii="宋体" w:hAnsi="宋体" w:eastAsia="宋体"/>
                <w:color w:val="auto"/>
                <w:sz w:val="21"/>
                <w:szCs w:val="21"/>
                <w:lang w:val="en-US" w:eastAsia="zh-CN"/>
              </w:rPr>
              <w:t>0</w:t>
            </w:r>
            <w:r>
              <w:rPr>
                <w:rFonts w:hint="eastAsia" w:ascii="宋体" w:hAnsi="宋体" w:eastAsia="宋体"/>
                <w:color w:val="auto"/>
                <w:sz w:val="21"/>
                <w:szCs w:val="21"/>
              </w:rPr>
              <w:t>00股</w:t>
            </w:r>
          </w:p>
        </w:tc>
      </w:tr>
      <w:tr w14:paraId="09EF9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19" w:type="dxa"/>
            <w:noWrap w:val="0"/>
            <w:vAlign w:val="top"/>
          </w:tcPr>
          <w:p w14:paraId="73D83834">
            <w:pPr>
              <w:pStyle w:val="4"/>
              <w:spacing w:line="500" w:lineRule="exact"/>
              <w:rPr>
                <w:rFonts w:hint="eastAsia" w:ascii="宋体" w:hAnsi="宋体" w:eastAsia="宋体"/>
                <w:color w:val="auto"/>
                <w:sz w:val="21"/>
                <w:szCs w:val="21"/>
              </w:rPr>
            </w:pPr>
            <w:r>
              <w:rPr>
                <w:rFonts w:hint="eastAsia" w:ascii="宋体" w:hAnsi="宋体" w:eastAsia="宋体"/>
                <w:color w:val="auto"/>
                <w:sz w:val="21"/>
                <w:szCs w:val="21"/>
              </w:rPr>
              <w:t>占其所持股份比例</w:t>
            </w:r>
          </w:p>
        </w:tc>
        <w:tc>
          <w:tcPr>
            <w:tcW w:w="4003" w:type="dxa"/>
            <w:noWrap w:val="0"/>
            <w:vAlign w:val="top"/>
          </w:tcPr>
          <w:p w14:paraId="00E8BCAC">
            <w:pPr>
              <w:pStyle w:val="4"/>
              <w:spacing w:line="500" w:lineRule="exact"/>
              <w:rPr>
                <w:rFonts w:hint="eastAsia" w:ascii="宋体" w:hAnsi="宋体" w:eastAsia="宋体"/>
                <w:color w:val="auto"/>
                <w:sz w:val="21"/>
                <w:szCs w:val="21"/>
              </w:rPr>
            </w:pPr>
            <w:r>
              <w:rPr>
                <w:rFonts w:hint="eastAsia" w:ascii="宋体" w:hAnsi="宋体" w:eastAsia="宋体"/>
                <w:color w:val="auto"/>
                <w:sz w:val="21"/>
                <w:szCs w:val="21"/>
                <w:lang w:val="en-US" w:eastAsia="zh-CN"/>
              </w:rPr>
              <w:t>8</w:t>
            </w:r>
            <w:r>
              <w:rPr>
                <w:rFonts w:hint="eastAsia" w:ascii="宋体" w:hAnsi="宋体" w:eastAsia="宋体"/>
                <w:color w:val="auto"/>
                <w:sz w:val="21"/>
                <w:szCs w:val="21"/>
              </w:rPr>
              <w:t>.</w:t>
            </w:r>
            <w:r>
              <w:rPr>
                <w:rFonts w:hint="eastAsia" w:ascii="宋体" w:hAnsi="宋体" w:eastAsia="宋体"/>
                <w:color w:val="auto"/>
                <w:sz w:val="21"/>
                <w:szCs w:val="21"/>
                <w:lang w:val="en-US" w:eastAsia="zh-CN"/>
              </w:rPr>
              <w:t>41</w:t>
            </w:r>
            <w:r>
              <w:rPr>
                <w:rFonts w:hint="eastAsia" w:ascii="宋体" w:hAnsi="宋体" w:eastAsia="宋体"/>
                <w:color w:val="auto"/>
                <w:sz w:val="21"/>
                <w:szCs w:val="21"/>
              </w:rPr>
              <w:t>%</w:t>
            </w:r>
          </w:p>
        </w:tc>
      </w:tr>
      <w:tr w14:paraId="45F2D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19" w:type="dxa"/>
            <w:noWrap w:val="0"/>
            <w:vAlign w:val="top"/>
          </w:tcPr>
          <w:p w14:paraId="77645643">
            <w:pPr>
              <w:pStyle w:val="4"/>
              <w:spacing w:line="500" w:lineRule="exact"/>
              <w:rPr>
                <w:rFonts w:hint="eastAsia" w:ascii="宋体" w:hAnsi="宋体" w:eastAsia="宋体"/>
                <w:color w:val="auto"/>
                <w:sz w:val="21"/>
                <w:szCs w:val="21"/>
              </w:rPr>
            </w:pPr>
            <w:r>
              <w:rPr>
                <w:rFonts w:hint="eastAsia" w:ascii="宋体" w:hAnsi="宋体" w:eastAsia="宋体"/>
                <w:color w:val="auto"/>
                <w:sz w:val="21"/>
                <w:szCs w:val="21"/>
              </w:rPr>
              <w:t>占公司总股本比例</w:t>
            </w:r>
          </w:p>
        </w:tc>
        <w:tc>
          <w:tcPr>
            <w:tcW w:w="4003" w:type="dxa"/>
            <w:noWrap w:val="0"/>
            <w:vAlign w:val="top"/>
          </w:tcPr>
          <w:p w14:paraId="6445C6BE">
            <w:pPr>
              <w:pStyle w:val="4"/>
              <w:spacing w:line="500" w:lineRule="exact"/>
              <w:rPr>
                <w:rFonts w:hint="eastAsia" w:ascii="宋体" w:hAnsi="宋体" w:eastAsia="宋体"/>
                <w:color w:val="auto"/>
                <w:sz w:val="21"/>
                <w:szCs w:val="21"/>
              </w:rPr>
            </w:pPr>
            <w:r>
              <w:rPr>
                <w:rFonts w:hint="eastAsia" w:ascii="宋体" w:hAnsi="宋体" w:eastAsia="宋体"/>
                <w:color w:val="auto"/>
                <w:sz w:val="21"/>
                <w:szCs w:val="21"/>
                <w:lang w:val="en-US" w:eastAsia="zh-CN"/>
              </w:rPr>
              <w:t>3</w:t>
            </w:r>
            <w:r>
              <w:rPr>
                <w:rFonts w:hint="eastAsia" w:ascii="宋体" w:hAnsi="宋体" w:eastAsia="宋体"/>
                <w:color w:val="auto"/>
                <w:sz w:val="21"/>
                <w:szCs w:val="21"/>
              </w:rPr>
              <w:t>.</w:t>
            </w:r>
            <w:r>
              <w:rPr>
                <w:rFonts w:hint="eastAsia" w:ascii="宋体" w:hAnsi="宋体" w:eastAsia="宋体"/>
                <w:color w:val="auto"/>
                <w:sz w:val="21"/>
                <w:szCs w:val="21"/>
                <w:lang w:val="en-US" w:eastAsia="zh-CN"/>
              </w:rPr>
              <w:t>08</w:t>
            </w:r>
            <w:r>
              <w:rPr>
                <w:rFonts w:ascii="宋体" w:hAnsi="宋体" w:eastAsia="宋体"/>
                <w:color w:val="auto"/>
                <w:sz w:val="21"/>
                <w:szCs w:val="21"/>
              </w:rPr>
              <w:t>%</w:t>
            </w:r>
          </w:p>
        </w:tc>
      </w:tr>
      <w:tr w14:paraId="779F5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19" w:type="dxa"/>
            <w:noWrap w:val="0"/>
            <w:vAlign w:val="top"/>
          </w:tcPr>
          <w:p w14:paraId="268D3553">
            <w:pPr>
              <w:pStyle w:val="4"/>
              <w:spacing w:line="500" w:lineRule="exact"/>
              <w:rPr>
                <w:rFonts w:hint="eastAsia" w:ascii="宋体" w:hAnsi="宋体" w:eastAsia="宋体"/>
                <w:color w:val="auto"/>
                <w:sz w:val="21"/>
                <w:szCs w:val="21"/>
              </w:rPr>
            </w:pPr>
            <w:r>
              <w:rPr>
                <w:rFonts w:hint="eastAsia" w:ascii="宋体" w:hAnsi="宋体" w:eastAsia="宋体"/>
                <w:color w:val="auto"/>
                <w:sz w:val="21"/>
                <w:szCs w:val="21"/>
              </w:rPr>
              <w:t>解质时间</w:t>
            </w:r>
          </w:p>
        </w:tc>
        <w:tc>
          <w:tcPr>
            <w:tcW w:w="4003" w:type="dxa"/>
            <w:noWrap w:val="0"/>
            <w:vAlign w:val="top"/>
          </w:tcPr>
          <w:p w14:paraId="45309A72">
            <w:pPr>
              <w:pStyle w:val="4"/>
              <w:spacing w:line="500" w:lineRule="exact"/>
              <w:rPr>
                <w:rFonts w:hint="eastAsia" w:ascii="宋体" w:hAnsi="宋体" w:eastAsia="宋体"/>
                <w:color w:val="auto"/>
                <w:sz w:val="21"/>
                <w:szCs w:val="21"/>
                <w:highlight w:val="none"/>
              </w:rPr>
            </w:pPr>
            <w:r>
              <w:rPr>
                <w:rFonts w:hint="eastAsia" w:ascii="宋体" w:hAnsi="宋体" w:eastAsia="宋体"/>
                <w:color w:val="auto"/>
                <w:sz w:val="21"/>
                <w:szCs w:val="21"/>
                <w:highlight w:val="none"/>
              </w:rPr>
              <w:t>202</w:t>
            </w:r>
            <w:r>
              <w:rPr>
                <w:rFonts w:hint="eastAsia" w:ascii="宋体" w:hAnsi="宋体" w:eastAsia="宋体"/>
                <w:color w:val="auto"/>
                <w:sz w:val="21"/>
                <w:szCs w:val="21"/>
                <w:highlight w:val="none"/>
                <w:lang w:val="en-US" w:eastAsia="zh-CN"/>
              </w:rPr>
              <w:t>6</w:t>
            </w:r>
            <w:r>
              <w:rPr>
                <w:rFonts w:hint="eastAsia" w:ascii="宋体" w:hAnsi="宋体" w:eastAsia="宋体"/>
                <w:color w:val="auto"/>
                <w:sz w:val="21"/>
                <w:szCs w:val="21"/>
                <w:highlight w:val="none"/>
              </w:rPr>
              <w:t>年</w:t>
            </w:r>
            <w:r>
              <w:rPr>
                <w:rFonts w:hint="eastAsia" w:ascii="宋体" w:hAnsi="宋体" w:eastAsia="宋体"/>
                <w:color w:val="auto"/>
                <w:sz w:val="21"/>
                <w:szCs w:val="21"/>
                <w:highlight w:val="none"/>
                <w:lang w:val="en-US" w:eastAsia="zh-CN"/>
              </w:rPr>
              <w:t>9</w:t>
            </w:r>
            <w:r>
              <w:rPr>
                <w:rFonts w:hint="eastAsia" w:ascii="宋体" w:hAnsi="宋体" w:eastAsia="宋体"/>
                <w:color w:val="auto"/>
                <w:sz w:val="21"/>
                <w:szCs w:val="21"/>
                <w:highlight w:val="none"/>
              </w:rPr>
              <w:t>月</w:t>
            </w:r>
            <w:r>
              <w:rPr>
                <w:rFonts w:hint="eastAsia" w:ascii="宋体" w:hAnsi="宋体" w:eastAsia="宋体"/>
                <w:color w:val="auto"/>
                <w:sz w:val="21"/>
                <w:szCs w:val="21"/>
                <w:highlight w:val="none"/>
                <w:lang w:val="en-US" w:eastAsia="zh-CN"/>
              </w:rPr>
              <w:t>28</w:t>
            </w:r>
            <w:r>
              <w:rPr>
                <w:rFonts w:hint="eastAsia" w:ascii="宋体" w:hAnsi="宋体" w:eastAsia="宋体"/>
                <w:color w:val="auto"/>
                <w:sz w:val="21"/>
                <w:szCs w:val="21"/>
                <w:highlight w:val="none"/>
              </w:rPr>
              <w:t>日</w:t>
            </w:r>
          </w:p>
        </w:tc>
      </w:tr>
      <w:tr w14:paraId="3FBFB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19" w:type="dxa"/>
            <w:noWrap w:val="0"/>
            <w:vAlign w:val="top"/>
          </w:tcPr>
          <w:p w14:paraId="37720F08">
            <w:pPr>
              <w:pStyle w:val="4"/>
              <w:spacing w:line="500" w:lineRule="exact"/>
              <w:rPr>
                <w:rFonts w:hint="eastAsia" w:ascii="宋体" w:hAnsi="宋体" w:eastAsia="宋体"/>
                <w:color w:val="auto"/>
                <w:sz w:val="21"/>
                <w:szCs w:val="21"/>
              </w:rPr>
            </w:pPr>
            <w:r>
              <w:rPr>
                <w:rFonts w:hint="eastAsia" w:ascii="宋体" w:hAnsi="宋体" w:eastAsia="宋体"/>
                <w:color w:val="auto"/>
                <w:sz w:val="21"/>
                <w:szCs w:val="21"/>
              </w:rPr>
              <w:t>持股数量</w:t>
            </w:r>
          </w:p>
        </w:tc>
        <w:tc>
          <w:tcPr>
            <w:tcW w:w="4003" w:type="dxa"/>
            <w:noWrap w:val="0"/>
            <w:vAlign w:val="top"/>
          </w:tcPr>
          <w:p w14:paraId="0434D013">
            <w:pPr>
              <w:pStyle w:val="4"/>
              <w:spacing w:line="500" w:lineRule="exact"/>
              <w:rPr>
                <w:rFonts w:hint="eastAsia" w:ascii="宋体" w:hAnsi="宋体" w:eastAsia="宋体"/>
                <w:color w:val="auto"/>
                <w:sz w:val="21"/>
                <w:szCs w:val="21"/>
              </w:rPr>
            </w:pPr>
            <w:r>
              <w:rPr>
                <w:rFonts w:hint="eastAsia" w:ascii="宋体" w:hAnsi="宋体" w:eastAsia="宋体"/>
                <w:color w:val="auto"/>
                <w:sz w:val="21"/>
                <w:szCs w:val="21"/>
              </w:rPr>
              <w:t>5</w:t>
            </w:r>
            <w:r>
              <w:rPr>
                <w:rFonts w:hint="eastAsia" w:ascii="宋体" w:hAnsi="宋体" w:eastAsia="宋体"/>
                <w:color w:val="auto"/>
                <w:sz w:val="21"/>
                <w:szCs w:val="21"/>
                <w:lang w:val="en-US" w:eastAsia="zh-CN"/>
              </w:rPr>
              <w:t>34</w:t>
            </w:r>
            <w:r>
              <w:rPr>
                <w:rFonts w:hint="eastAsia" w:ascii="宋体" w:hAnsi="宋体" w:eastAsia="宋体"/>
                <w:color w:val="auto"/>
                <w:sz w:val="21"/>
                <w:szCs w:val="21"/>
              </w:rPr>
              <w:t>,</w:t>
            </w:r>
            <w:r>
              <w:rPr>
                <w:rFonts w:hint="eastAsia" w:ascii="宋体" w:hAnsi="宋体" w:eastAsia="宋体"/>
                <w:color w:val="auto"/>
                <w:sz w:val="21"/>
                <w:szCs w:val="21"/>
                <w:lang w:val="en-US" w:eastAsia="zh-CN"/>
              </w:rPr>
              <w:t>950</w:t>
            </w:r>
            <w:r>
              <w:rPr>
                <w:rFonts w:ascii="宋体" w:hAnsi="宋体" w:eastAsia="宋体"/>
                <w:color w:val="auto"/>
                <w:sz w:val="21"/>
                <w:szCs w:val="21"/>
              </w:rPr>
              <w:t>,9</w:t>
            </w:r>
            <w:r>
              <w:rPr>
                <w:rFonts w:hint="eastAsia" w:ascii="宋体" w:hAnsi="宋体" w:eastAsia="宋体"/>
                <w:color w:val="auto"/>
                <w:sz w:val="21"/>
                <w:szCs w:val="21"/>
              </w:rPr>
              <w:t>90股</w:t>
            </w:r>
          </w:p>
        </w:tc>
      </w:tr>
      <w:tr w14:paraId="24CD2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19" w:type="dxa"/>
            <w:noWrap w:val="0"/>
            <w:vAlign w:val="top"/>
          </w:tcPr>
          <w:p w14:paraId="21B57081">
            <w:pPr>
              <w:pStyle w:val="4"/>
              <w:spacing w:line="500" w:lineRule="exact"/>
              <w:rPr>
                <w:rFonts w:hint="eastAsia" w:ascii="宋体" w:hAnsi="宋体" w:eastAsia="宋体"/>
                <w:color w:val="auto"/>
                <w:sz w:val="21"/>
                <w:szCs w:val="21"/>
              </w:rPr>
            </w:pPr>
            <w:r>
              <w:rPr>
                <w:rFonts w:hint="eastAsia" w:ascii="宋体" w:hAnsi="宋体" w:eastAsia="宋体"/>
                <w:color w:val="auto"/>
                <w:sz w:val="21"/>
                <w:szCs w:val="21"/>
              </w:rPr>
              <w:t>持股比例</w:t>
            </w:r>
          </w:p>
        </w:tc>
        <w:tc>
          <w:tcPr>
            <w:tcW w:w="4003" w:type="dxa"/>
            <w:noWrap w:val="0"/>
            <w:vAlign w:val="top"/>
          </w:tcPr>
          <w:p w14:paraId="0C3E8984">
            <w:pPr>
              <w:pStyle w:val="4"/>
              <w:spacing w:line="500" w:lineRule="exact"/>
              <w:rPr>
                <w:rFonts w:hint="eastAsia" w:ascii="宋体" w:hAnsi="宋体" w:eastAsia="宋体"/>
                <w:color w:val="auto"/>
                <w:sz w:val="21"/>
                <w:szCs w:val="21"/>
              </w:rPr>
            </w:pPr>
            <w:r>
              <w:rPr>
                <w:rFonts w:ascii="宋体" w:hAnsi="宋体" w:eastAsia="宋体"/>
                <w:color w:val="auto"/>
                <w:sz w:val="21"/>
                <w:szCs w:val="21"/>
              </w:rPr>
              <w:t>3</w:t>
            </w:r>
            <w:r>
              <w:rPr>
                <w:rFonts w:hint="eastAsia" w:ascii="宋体" w:hAnsi="宋体" w:eastAsia="宋体"/>
                <w:color w:val="auto"/>
                <w:sz w:val="21"/>
                <w:szCs w:val="21"/>
                <w:lang w:val="en-US" w:eastAsia="zh-CN"/>
              </w:rPr>
              <w:t>6</w:t>
            </w:r>
            <w:r>
              <w:rPr>
                <w:rFonts w:hint="eastAsia" w:ascii="宋体" w:hAnsi="宋体" w:eastAsia="宋体"/>
                <w:color w:val="auto"/>
                <w:sz w:val="21"/>
                <w:szCs w:val="21"/>
              </w:rPr>
              <w:t>.</w:t>
            </w:r>
            <w:r>
              <w:rPr>
                <w:rFonts w:hint="eastAsia" w:ascii="宋体" w:hAnsi="宋体" w:eastAsia="宋体"/>
                <w:color w:val="auto"/>
                <w:sz w:val="21"/>
                <w:szCs w:val="21"/>
                <w:lang w:val="en-US" w:eastAsia="zh-CN"/>
              </w:rPr>
              <w:t>62</w:t>
            </w:r>
            <w:r>
              <w:rPr>
                <w:rFonts w:ascii="宋体" w:hAnsi="宋体" w:eastAsia="宋体"/>
                <w:color w:val="auto"/>
                <w:sz w:val="21"/>
                <w:szCs w:val="21"/>
              </w:rPr>
              <w:t>%</w:t>
            </w:r>
          </w:p>
        </w:tc>
      </w:tr>
      <w:tr w14:paraId="1650D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19" w:type="dxa"/>
            <w:noWrap w:val="0"/>
            <w:vAlign w:val="top"/>
          </w:tcPr>
          <w:p w14:paraId="1CC0E073">
            <w:pPr>
              <w:pStyle w:val="4"/>
              <w:spacing w:line="500" w:lineRule="exact"/>
              <w:rPr>
                <w:rFonts w:hint="eastAsia" w:ascii="宋体" w:hAnsi="宋体" w:eastAsia="宋体"/>
                <w:color w:val="auto"/>
                <w:sz w:val="21"/>
                <w:szCs w:val="21"/>
              </w:rPr>
            </w:pPr>
            <w:r>
              <w:rPr>
                <w:rFonts w:hint="eastAsia" w:ascii="宋体" w:hAnsi="宋体" w:eastAsia="宋体"/>
                <w:color w:val="auto"/>
                <w:sz w:val="21"/>
                <w:szCs w:val="21"/>
              </w:rPr>
              <w:t>剩余被质押股份数量</w:t>
            </w:r>
          </w:p>
        </w:tc>
        <w:tc>
          <w:tcPr>
            <w:tcW w:w="4003" w:type="dxa"/>
            <w:noWrap w:val="0"/>
            <w:vAlign w:val="top"/>
          </w:tcPr>
          <w:p w14:paraId="0EB6B4EF">
            <w:pPr>
              <w:pStyle w:val="4"/>
              <w:spacing w:line="500" w:lineRule="exact"/>
              <w:rPr>
                <w:rFonts w:hint="eastAsia" w:ascii="宋体" w:hAnsi="宋体" w:eastAsia="宋体"/>
                <w:color w:val="auto"/>
                <w:sz w:val="21"/>
                <w:szCs w:val="21"/>
              </w:rPr>
            </w:pPr>
            <w:r>
              <w:rPr>
                <w:rFonts w:hint="eastAsia" w:ascii="宋体" w:hAnsi="宋体" w:eastAsia="宋体"/>
                <w:color w:val="auto"/>
                <w:sz w:val="21"/>
                <w:szCs w:val="21"/>
                <w:lang w:val="en-US" w:eastAsia="zh-CN"/>
              </w:rPr>
              <w:t>269</w:t>
            </w:r>
            <w:r>
              <w:rPr>
                <w:rFonts w:hint="eastAsia" w:ascii="宋体" w:hAnsi="宋体" w:eastAsia="宋体"/>
                <w:color w:val="auto"/>
                <w:sz w:val="21"/>
                <w:szCs w:val="21"/>
              </w:rPr>
              <w:t>,</w:t>
            </w:r>
            <w:r>
              <w:rPr>
                <w:rFonts w:hint="eastAsia" w:ascii="宋体" w:hAnsi="宋体" w:eastAsia="宋体"/>
                <w:color w:val="auto"/>
                <w:sz w:val="21"/>
                <w:szCs w:val="21"/>
                <w:lang w:val="en-US" w:eastAsia="zh-CN"/>
              </w:rPr>
              <w:t>441</w:t>
            </w:r>
            <w:r>
              <w:rPr>
                <w:rFonts w:hint="eastAsia" w:ascii="宋体" w:hAnsi="宋体" w:eastAsia="宋体"/>
                <w:color w:val="auto"/>
                <w:sz w:val="21"/>
                <w:szCs w:val="21"/>
              </w:rPr>
              <w:t>,400股</w:t>
            </w:r>
          </w:p>
        </w:tc>
      </w:tr>
      <w:tr w14:paraId="15299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19" w:type="dxa"/>
            <w:noWrap w:val="0"/>
            <w:vAlign w:val="top"/>
          </w:tcPr>
          <w:p w14:paraId="422D724F">
            <w:pPr>
              <w:pStyle w:val="4"/>
              <w:spacing w:line="500" w:lineRule="exact"/>
              <w:rPr>
                <w:rFonts w:hint="eastAsia" w:ascii="宋体" w:hAnsi="宋体" w:eastAsia="宋体"/>
                <w:color w:val="auto"/>
                <w:sz w:val="21"/>
                <w:szCs w:val="21"/>
              </w:rPr>
            </w:pPr>
            <w:r>
              <w:rPr>
                <w:rFonts w:hint="eastAsia" w:ascii="宋体" w:hAnsi="宋体" w:eastAsia="宋体"/>
                <w:color w:val="auto"/>
                <w:sz w:val="21"/>
                <w:szCs w:val="21"/>
              </w:rPr>
              <w:t>剩余被质押股份数量占其所持股份比例</w:t>
            </w:r>
          </w:p>
        </w:tc>
        <w:tc>
          <w:tcPr>
            <w:tcW w:w="4003" w:type="dxa"/>
            <w:noWrap w:val="0"/>
            <w:vAlign w:val="top"/>
          </w:tcPr>
          <w:p w14:paraId="6702388B">
            <w:pPr>
              <w:pStyle w:val="4"/>
              <w:spacing w:line="500" w:lineRule="exact"/>
              <w:rPr>
                <w:rFonts w:hint="eastAsia" w:ascii="宋体" w:hAnsi="宋体" w:eastAsia="宋体"/>
                <w:color w:val="auto"/>
                <w:sz w:val="21"/>
                <w:szCs w:val="21"/>
              </w:rPr>
            </w:pPr>
            <w:r>
              <w:rPr>
                <w:rFonts w:hint="eastAsia" w:ascii="宋体" w:hAnsi="宋体" w:eastAsia="宋体"/>
                <w:color w:val="auto"/>
                <w:sz w:val="21"/>
                <w:szCs w:val="21"/>
                <w:lang w:val="en-US" w:eastAsia="zh-CN"/>
              </w:rPr>
              <w:t>50</w:t>
            </w:r>
            <w:r>
              <w:rPr>
                <w:rFonts w:hint="eastAsia" w:ascii="宋体" w:hAnsi="宋体" w:eastAsia="宋体"/>
                <w:color w:val="auto"/>
                <w:sz w:val="21"/>
                <w:szCs w:val="21"/>
              </w:rPr>
              <w:t>.</w:t>
            </w:r>
            <w:r>
              <w:rPr>
                <w:rFonts w:hint="eastAsia" w:ascii="宋体" w:hAnsi="宋体" w:eastAsia="宋体"/>
                <w:color w:val="auto"/>
                <w:sz w:val="21"/>
                <w:szCs w:val="21"/>
                <w:lang w:val="en-US" w:eastAsia="zh-CN"/>
              </w:rPr>
              <w:t>37</w:t>
            </w:r>
            <w:r>
              <w:rPr>
                <w:rFonts w:hint="eastAsia" w:ascii="宋体" w:hAnsi="宋体" w:eastAsia="宋体"/>
                <w:color w:val="auto"/>
                <w:sz w:val="21"/>
                <w:szCs w:val="21"/>
              </w:rPr>
              <w:t>%</w:t>
            </w:r>
          </w:p>
        </w:tc>
      </w:tr>
      <w:tr w14:paraId="20B20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19" w:type="dxa"/>
            <w:noWrap w:val="0"/>
            <w:vAlign w:val="top"/>
          </w:tcPr>
          <w:p w14:paraId="260080B9">
            <w:pPr>
              <w:pStyle w:val="4"/>
              <w:spacing w:line="500" w:lineRule="exact"/>
              <w:rPr>
                <w:rFonts w:hint="eastAsia" w:ascii="宋体" w:hAnsi="宋体" w:eastAsia="宋体"/>
                <w:color w:val="auto"/>
                <w:sz w:val="21"/>
                <w:szCs w:val="21"/>
              </w:rPr>
            </w:pPr>
            <w:r>
              <w:rPr>
                <w:rFonts w:hint="eastAsia" w:ascii="宋体" w:hAnsi="宋体" w:eastAsia="宋体"/>
                <w:color w:val="auto"/>
                <w:sz w:val="21"/>
                <w:szCs w:val="21"/>
              </w:rPr>
              <w:t>剩余被质押股份数量占公司总股本比例</w:t>
            </w:r>
          </w:p>
        </w:tc>
        <w:tc>
          <w:tcPr>
            <w:tcW w:w="4003" w:type="dxa"/>
            <w:noWrap w:val="0"/>
            <w:vAlign w:val="top"/>
          </w:tcPr>
          <w:p w14:paraId="20567B19">
            <w:pPr>
              <w:pStyle w:val="4"/>
              <w:spacing w:line="500" w:lineRule="exact"/>
              <w:rPr>
                <w:rFonts w:hint="eastAsia" w:ascii="宋体" w:hAnsi="宋体" w:eastAsia="宋体"/>
                <w:color w:val="auto"/>
                <w:sz w:val="21"/>
                <w:szCs w:val="21"/>
              </w:rPr>
            </w:pPr>
            <w:r>
              <w:rPr>
                <w:rFonts w:hint="eastAsia" w:ascii="宋体" w:hAnsi="宋体" w:eastAsia="宋体"/>
                <w:color w:val="auto"/>
                <w:sz w:val="21"/>
                <w:szCs w:val="21"/>
                <w:lang w:val="en-US" w:eastAsia="zh-CN"/>
              </w:rPr>
              <w:t>18</w:t>
            </w:r>
            <w:r>
              <w:rPr>
                <w:rFonts w:hint="eastAsia" w:ascii="宋体" w:hAnsi="宋体" w:eastAsia="宋体"/>
                <w:color w:val="auto"/>
                <w:sz w:val="21"/>
                <w:szCs w:val="21"/>
              </w:rPr>
              <w:t>.</w:t>
            </w:r>
            <w:r>
              <w:rPr>
                <w:rFonts w:hint="eastAsia" w:ascii="宋体" w:hAnsi="宋体" w:eastAsia="宋体"/>
                <w:color w:val="auto"/>
                <w:sz w:val="21"/>
                <w:szCs w:val="21"/>
                <w:lang w:val="en-US" w:eastAsia="zh-CN"/>
              </w:rPr>
              <w:t>44</w:t>
            </w:r>
            <w:r>
              <w:rPr>
                <w:rFonts w:hint="eastAsia" w:ascii="宋体" w:hAnsi="宋体" w:eastAsia="宋体"/>
                <w:color w:val="auto"/>
                <w:sz w:val="21"/>
                <w:szCs w:val="21"/>
              </w:rPr>
              <w:t>%</w:t>
            </w:r>
          </w:p>
        </w:tc>
      </w:tr>
    </w:tbl>
    <w:p w14:paraId="0A8F8575">
      <w:pPr>
        <w:pStyle w:val="4"/>
        <w:spacing w:line="500" w:lineRule="exact"/>
        <w:rPr>
          <w:rFonts w:hint="eastAsia" w:ascii="宋体" w:hAnsi="宋体" w:eastAsia="宋体"/>
          <w:color w:val="auto"/>
          <w:highlight w:val="none"/>
        </w:rPr>
      </w:pPr>
    </w:p>
    <w:p w14:paraId="7B627BE9">
      <w:pPr>
        <w:pStyle w:val="4"/>
        <w:numPr>
          <w:ilvl w:val="0"/>
          <w:numId w:val="1"/>
        </w:numPr>
        <w:spacing w:line="500" w:lineRule="exact"/>
        <w:ind w:left="0" w:leftChars="0" w:firstLine="600" w:firstLineChars="250"/>
        <w:rPr>
          <w:rFonts w:hint="eastAsia" w:ascii="宋体" w:hAnsi="宋体" w:eastAsia="宋体"/>
          <w:color w:val="auto"/>
          <w:highlight w:val="none"/>
        </w:rPr>
      </w:pPr>
      <w:r>
        <w:rPr>
          <w:rFonts w:hint="eastAsia" w:ascii="宋体" w:hAnsi="宋体" w:eastAsia="宋体"/>
          <w:color w:val="auto"/>
          <w:highlight w:val="none"/>
        </w:rPr>
        <w:t>本次股份质押基本情况</w:t>
      </w:r>
    </w:p>
    <w:tbl>
      <w:tblPr>
        <w:tblStyle w:val="2"/>
        <w:tblpPr w:leftFromText="180" w:rightFromText="180" w:vertAnchor="text" w:horzAnchor="page" w:tblpX="711" w:tblpY="1198"/>
        <w:tblW w:w="624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2"/>
        <w:gridCol w:w="742"/>
        <w:gridCol w:w="1287"/>
        <w:gridCol w:w="731"/>
        <w:gridCol w:w="698"/>
        <w:gridCol w:w="971"/>
        <w:gridCol w:w="1037"/>
        <w:gridCol w:w="1549"/>
        <w:gridCol w:w="741"/>
        <w:gridCol w:w="775"/>
        <w:gridCol w:w="775"/>
      </w:tblGrid>
      <w:tr w14:paraId="2643C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 w:type="pct"/>
            <w:vAlign w:val="center"/>
          </w:tcPr>
          <w:p w14:paraId="56542459">
            <w:pPr>
              <w:pStyle w:val="4"/>
              <w:spacing w:line="500" w:lineRule="exact"/>
              <w:jc w:val="center"/>
              <w:rPr>
                <w:rFonts w:hint="eastAsia" w:ascii="宋体" w:hAnsi="宋体" w:eastAsia="宋体"/>
                <w:color w:val="auto"/>
                <w:sz w:val="21"/>
                <w:szCs w:val="21"/>
                <w:highlight w:val="none"/>
              </w:rPr>
            </w:pPr>
            <w:r>
              <w:rPr>
                <w:rFonts w:hint="eastAsia" w:ascii="宋体" w:hAnsi="宋体" w:eastAsia="宋体"/>
                <w:color w:val="auto"/>
                <w:sz w:val="21"/>
                <w:szCs w:val="21"/>
                <w:highlight w:val="none"/>
              </w:rPr>
              <w:t>股东名称</w:t>
            </w:r>
          </w:p>
        </w:tc>
        <w:tc>
          <w:tcPr>
            <w:tcW w:w="348" w:type="pct"/>
            <w:vAlign w:val="center"/>
          </w:tcPr>
          <w:p w14:paraId="1F9BC0D7">
            <w:pPr>
              <w:pStyle w:val="4"/>
              <w:spacing w:line="500" w:lineRule="exact"/>
              <w:jc w:val="center"/>
              <w:rPr>
                <w:rFonts w:hint="eastAsia" w:ascii="宋体" w:hAnsi="宋体" w:eastAsia="宋体"/>
                <w:color w:val="auto"/>
                <w:sz w:val="21"/>
                <w:szCs w:val="21"/>
                <w:highlight w:val="none"/>
              </w:rPr>
            </w:pPr>
            <w:r>
              <w:rPr>
                <w:rFonts w:hint="eastAsia" w:ascii="宋体" w:hAnsi="宋体" w:eastAsia="宋体"/>
                <w:color w:val="auto"/>
                <w:sz w:val="21"/>
                <w:szCs w:val="21"/>
                <w:highlight w:val="none"/>
              </w:rPr>
              <w:t>是否为控股股东</w:t>
            </w:r>
          </w:p>
        </w:tc>
        <w:tc>
          <w:tcPr>
            <w:tcW w:w="604" w:type="pct"/>
            <w:vAlign w:val="center"/>
          </w:tcPr>
          <w:p w14:paraId="563148B3">
            <w:pPr>
              <w:pStyle w:val="4"/>
              <w:spacing w:line="500" w:lineRule="exact"/>
              <w:jc w:val="center"/>
              <w:rPr>
                <w:rFonts w:hint="eastAsia" w:ascii="宋体" w:hAnsi="宋体" w:eastAsia="宋体"/>
                <w:color w:val="auto"/>
                <w:sz w:val="21"/>
                <w:szCs w:val="21"/>
                <w:highlight w:val="none"/>
              </w:rPr>
            </w:pPr>
            <w:r>
              <w:rPr>
                <w:rFonts w:hint="eastAsia" w:ascii="宋体" w:hAnsi="宋体" w:eastAsia="宋体"/>
                <w:color w:val="auto"/>
                <w:sz w:val="21"/>
                <w:szCs w:val="21"/>
                <w:highlight w:val="none"/>
              </w:rPr>
              <w:t>本次质押股数（股）</w:t>
            </w:r>
          </w:p>
        </w:tc>
        <w:tc>
          <w:tcPr>
            <w:tcW w:w="343" w:type="pct"/>
            <w:vAlign w:val="center"/>
          </w:tcPr>
          <w:p w14:paraId="1E1E49C7">
            <w:pPr>
              <w:pStyle w:val="4"/>
              <w:spacing w:line="500" w:lineRule="exact"/>
              <w:jc w:val="center"/>
              <w:rPr>
                <w:rFonts w:hint="eastAsia" w:ascii="宋体" w:hAnsi="宋体" w:eastAsia="宋体"/>
                <w:color w:val="auto"/>
                <w:sz w:val="21"/>
                <w:szCs w:val="21"/>
                <w:highlight w:val="none"/>
              </w:rPr>
            </w:pPr>
            <w:r>
              <w:rPr>
                <w:rFonts w:hint="eastAsia" w:ascii="宋体" w:hAnsi="宋体" w:eastAsia="宋体"/>
                <w:color w:val="auto"/>
                <w:sz w:val="21"/>
                <w:szCs w:val="21"/>
                <w:highlight w:val="none"/>
              </w:rPr>
              <w:t>是否为限售股</w:t>
            </w:r>
          </w:p>
        </w:tc>
        <w:tc>
          <w:tcPr>
            <w:tcW w:w="327" w:type="pct"/>
            <w:vAlign w:val="center"/>
          </w:tcPr>
          <w:p w14:paraId="0F988AA4">
            <w:pPr>
              <w:pStyle w:val="4"/>
              <w:spacing w:line="500" w:lineRule="exact"/>
              <w:jc w:val="center"/>
              <w:rPr>
                <w:rFonts w:hint="eastAsia" w:ascii="宋体" w:hAnsi="宋体" w:eastAsia="宋体"/>
                <w:color w:val="auto"/>
                <w:sz w:val="21"/>
                <w:szCs w:val="21"/>
                <w:highlight w:val="none"/>
              </w:rPr>
            </w:pPr>
            <w:r>
              <w:rPr>
                <w:rFonts w:hint="eastAsia" w:ascii="宋体" w:hAnsi="宋体" w:eastAsia="宋体"/>
                <w:color w:val="auto"/>
                <w:sz w:val="21"/>
                <w:szCs w:val="21"/>
                <w:highlight w:val="none"/>
              </w:rPr>
              <w:t>是否补充质押</w:t>
            </w:r>
          </w:p>
        </w:tc>
        <w:tc>
          <w:tcPr>
            <w:tcW w:w="455" w:type="pct"/>
            <w:vAlign w:val="center"/>
          </w:tcPr>
          <w:p w14:paraId="6D47E4DA">
            <w:pPr>
              <w:pStyle w:val="4"/>
              <w:spacing w:line="500" w:lineRule="exact"/>
              <w:jc w:val="center"/>
              <w:rPr>
                <w:rFonts w:hint="eastAsia" w:ascii="宋体" w:hAnsi="宋体" w:eastAsia="宋体"/>
                <w:color w:val="auto"/>
                <w:sz w:val="21"/>
                <w:szCs w:val="21"/>
                <w:highlight w:val="none"/>
              </w:rPr>
            </w:pPr>
            <w:r>
              <w:rPr>
                <w:rFonts w:hint="eastAsia" w:ascii="宋体" w:hAnsi="宋体" w:eastAsia="宋体"/>
                <w:color w:val="auto"/>
                <w:sz w:val="21"/>
                <w:szCs w:val="21"/>
                <w:highlight w:val="none"/>
              </w:rPr>
              <w:t>质押起始日</w:t>
            </w:r>
          </w:p>
        </w:tc>
        <w:tc>
          <w:tcPr>
            <w:tcW w:w="486" w:type="pct"/>
            <w:vAlign w:val="center"/>
          </w:tcPr>
          <w:p w14:paraId="309B5888">
            <w:pPr>
              <w:pStyle w:val="4"/>
              <w:spacing w:line="500" w:lineRule="exact"/>
              <w:jc w:val="center"/>
              <w:rPr>
                <w:rFonts w:hint="eastAsia" w:ascii="宋体" w:hAnsi="宋体" w:eastAsia="宋体"/>
                <w:color w:val="auto"/>
                <w:sz w:val="21"/>
                <w:szCs w:val="21"/>
                <w:highlight w:val="none"/>
              </w:rPr>
            </w:pPr>
            <w:r>
              <w:rPr>
                <w:rFonts w:hint="eastAsia" w:ascii="宋体" w:hAnsi="宋体" w:eastAsia="宋体"/>
                <w:color w:val="auto"/>
                <w:sz w:val="21"/>
                <w:szCs w:val="21"/>
                <w:highlight w:val="none"/>
              </w:rPr>
              <w:t>质押到期日</w:t>
            </w:r>
          </w:p>
        </w:tc>
        <w:tc>
          <w:tcPr>
            <w:tcW w:w="727" w:type="pct"/>
            <w:vAlign w:val="center"/>
          </w:tcPr>
          <w:p w14:paraId="2F33E30A">
            <w:pPr>
              <w:pStyle w:val="4"/>
              <w:spacing w:line="500" w:lineRule="exact"/>
              <w:jc w:val="center"/>
              <w:rPr>
                <w:rFonts w:hint="eastAsia" w:ascii="宋体" w:hAnsi="宋体" w:eastAsia="宋体"/>
                <w:color w:val="auto"/>
                <w:sz w:val="21"/>
                <w:szCs w:val="21"/>
                <w:highlight w:val="none"/>
              </w:rPr>
            </w:pPr>
            <w:r>
              <w:rPr>
                <w:rFonts w:hint="eastAsia" w:ascii="宋体" w:hAnsi="宋体" w:eastAsia="宋体"/>
                <w:color w:val="auto"/>
                <w:sz w:val="21"/>
                <w:szCs w:val="21"/>
                <w:highlight w:val="none"/>
              </w:rPr>
              <w:t>质权人</w:t>
            </w:r>
          </w:p>
        </w:tc>
        <w:tc>
          <w:tcPr>
            <w:tcW w:w="347" w:type="pct"/>
            <w:vAlign w:val="center"/>
          </w:tcPr>
          <w:p w14:paraId="5E24DB25">
            <w:pPr>
              <w:pStyle w:val="4"/>
              <w:spacing w:line="500" w:lineRule="exact"/>
              <w:jc w:val="center"/>
              <w:rPr>
                <w:rFonts w:hint="eastAsia" w:ascii="宋体" w:hAnsi="宋体" w:eastAsia="宋体"/>
                <w:color w:val="auto"/>
                <w:sz w:val="21"/>
                <w:szCs w:val="21"/>
                <w:highlight w:val="none"/>
              </w:rPr>
            </w:pPr>
            <w:r>
              <w:rPr>
                <w:rFonts w:hint="eastAsia" w:ascii="宋体" w:hAnsi="宋体" w:eastAsia="宋体"/>
                <w:color w:val="auto"/>
                <w:sz w:val="21"/>
                <w:szCs w:val="21"/>
                <w:highlight w:val="none"/>
              </w:rPr>
              <w:t>占其所持股份比例</w:t>
            </w:r>
          </w:p>
        </w:tc>
        <w:tc>
          <w:tcPr>
            <w:tcW w:w="363" w:type="pct"/>
            <w:vAlign w:val="center"/>
          </w:tcPr>
          <w:p w14:paraId="14F3E8F0">
            <w:pPr>
              <w:pStyle w:val="4"/>
              <w:spacing w:line="500" w:lineRule="exact"/>
              <w:jc w:val="center"/>
              <w:rPr>
                <w:rFonts w:hint="eastAsia" w:ascii="宋体" w:hAnsi="宋体" w:eastAsia="宋体"/>
                <w:color w:val="auto"/>
                <w:sz w:val="21"/>
                <w:szCs w:val="21"/>
                <w:highlight w:val="none"/>
              </w:rPr>
            </w:pPr>
            <w:r>
              <w:rPr>
                <w:rFonts w:hint="eastAsia" w:ascii="宋体" w:hAnsi="宋体" w:eastAsia="宋体"/>
                <w:color w:val="auto"/>
                <w:sz w:val="21"/>
                <w:szCs w:val="21"/>
                <w:highlight w:val="none"/>
              </w:rPr>
              <w:t>占公司总股本比例</w:t>
            </w:r>
          </w:p>
        </w:tc>
        <w:tc>
          <w:tcPr>
            <w:tcW w:w="363" w:type="pct"/>
          </w:tcPr>
          <w:p w14:paraId="4206234A">
            <w:pPr>
              <w:pStyle w:val="4"/>
              <w:spacing w:line="500" w:lineRule="exact"/>
              <w:jc w:val="center"/>
              <w:rPr>
                <w:rFonts w:hint="eastAsia" w:ascii="宋体" w:hAnsi="宋体" w:eastAsia="宋体"/>
                <w:color w:val="auto"/>
                <w:sz w:val="21"/>
                <w:szCs w:val="21"/>
                <w:highlight w:val="none"/>
              </w:rPr>
            </w:pPr>
            <w:r>
              <w:rPr>
                <w:rFonts w:hint="eastAsia" w:ascii="宋体" w:hAnsi="宋体" w:eastAsia="宋体"/>
                <w:color w:val="auto"/>
                <w:sz w:val="21"/>
                <w:szCs w:val="21"/>
                <w:highlight w:val="none"/>
              </w:rPr>
              <w:t>质押融资资金用途</w:t>
            </w:r>
          </w:p>
        </w:tc>
      </w:tr>
      <w:tr w14:paraId="4F516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 w:type="pct"/>
            <w:vAlign w:val="center"/>
          </w:tcPr>
          <w:p w14:paraId="33761ED8">
            <w:pPr>
              <w:pStyle w:val="4"/>
              <w:spacing w:line="500" w:lineRule="exact"/>
              <w:jc w:val="center"/>
              <w:rPr>
                <w:rFonts w:hint="eastAsia" w:ascii="宋体" w:hAnsi="宋体" w:eastAsia="宋体"/>
                <w:color w:val="auto"/>
                <w:sz w:val="21"/>
                <w:szCs w:val="21"/>
                <w:highlight w:val="none"/>
              </w:rPr>
            </w:pPr>
            <w:bookmarkStart w:id="0" w:name="_GoBack" w:colFirst="5" w:colLast="6"/>
            <w:r>
              <w:rPr>
                <w:rFonts w:hint="eastAsia" w:ascii="宋体" w:hAnsi="宋体" w:eastAsia="宋体"/>
                <w:color w:val="auto"/>
                <w:sz w:val="21"/>
                <w:szCs w:val="21"/>
                <w:highlight w:val="none"/>
              </w:rPr>
              <w:t>好当家集团有限公司</w:t>
            </w:r>
          </w:p>
        </w:tc>
        <w:tc>
          <w:tcPr>
            <w:tcW w:w="348" w:type="pct"/>
            <w:vAlign w:val="center"/>
          </w:tcPr>
          <w:p w14:paraId="0DBE720C">
            <w:pPr>
              <w:pStyle w:val="4"/>
              <w:spacing w:line="500" w:lineRule="exact"/>
              <w:jc w:val="center"/>
              <w:rPr>
                <w:rFonts w:hint="eastAsia" w:ascii="宋体" w:hAnsi="宋体" w:eastAsia="宋体"/>
                <w:color w:val="auto"/>
                <w:sz w:val="21"/>
                <w:szCs w:val="21"/>
                <w:highlight w:val="none"/>
              </w:rPr>
            </w:pPr>
            <w:r>
              <w:rPr>
                <w:rFonts w:hint="eastAsia" w:ascii="宋体" w:hAnsi="宋体" w:eastAsia="宋体"/>
                <w:color w:val="auto"/>
                <w:sz w:val="21"/>
                <w:szCs w:val="21"/>
                <w:highlight w:val="none"/>
              </w:rPr>
              <w:t>是</w:t>
            </w:r>
          </w:p>
        </w:tc>
        <w:tc>
          <w:tcPr>
            <w:tcW w:w="604" w:type="pct"/>
            <w:vAlign w:val="center"/>
          </w:tcPr>
          <w:p w14:paraId="38F40D67">
            <w:pPr>
              <w:pStyle w:val="4"/>
              <w:spacing w:line="500" w:lineRule="exact"/>
              <w:jc w:val="center"/>
              <w:rPr>
                <w:rFonts w:hint="eastAsia" w:ascii="宋体" w:hAnsi="宋体" w:eastAsia="宋体"/>
                <w:color w:val="auto"/>
                <w:sz w:val="21"/>
                <w:szCs w:val="21"/>
                <w:highlight w:val="none"/>
              </w:rPr>
            </w:pPr>
            <w:r>
              <w:rPr>
                <w:rFonts w:hint="eastAsia" w:ascii="宋体" w:hAnsi="宋体" w:eastAsia="宋体"/>
                <w:color w:val="auto"/>
                <w:sz w:val="21"/>
                <w:szCs w:val="21"/>
                <w:highlight w:val="none"/>
                <w:lang w:val="en-US" w:eastAsia="zh-CN"/>
              </w:rPr>
              <w:t>45</w:t>
            </w:r>
            <w:r>
              <w:rPr>
                <w:rFonts w:ascii="宋体" w:hAnsi="宋体" w:eastAsia="宋体"/>
                <w:color w:val="auto"/>
                <w:sz w:val="21"/>
                <w:szCs w:val="21"/>
                <w:highlight w:val="none"/>
              </w:rPr>
              <w:t>,</w:t>
            </w:r>
            <w:r>
              <w:rPr>
                <w:rFonts w:hint="eastAsia" w:ascii="宋体" w:hAnsi="宋体" w:eastAsia="宋体"/>
                <w:color w:val="auto"/>
                <w:sz w:val="21"/>
                <w:szCs w:val="21"/>
                <w:highlight w:val="none"/>
              </w:rPr>
              <w:t>000</w:t>
            </w:r>
            <w:r>
              <w:rPr>
                <w:rFonts w:ascii="宋体" w:hAnsi="宋体" w:eastAsia="宋体"/>
                <w:color w:val="auto"/>
                <w:sz w:val="21"/>
                <w:szCs w:val="21"/>
                <w:highlight w:val="none"/>
              </w:rPr>
              <w:t>,</w:t>
            </w:r>
            <w:r>
              <w:rPr>
                <w:rFonts w:hint="eastAsia" w:ascii="宋体" w:hAnsi="宋体" w:eastAsia="宋体"/>
                <w:color w:val="auto"/>
                <w:sz w:val="21"/>
                <w:szCs w:val="21"/>
                <w:highlight w:val="none"/>
              </w:rPr>
              <w:t>0</w:t>
            </w:r>
            <w:r>
              <w:rPr>
                <w:rFonts w:ascii="宋体" w:hAnsi="宋体" w:eastAsia="宋体"/>
                <w:color w:val="auto"/>
                <w:sz w:val="21"/>
                <w:szCs w:val="21"/>
                <w:highlight w:val="none"/>
              </w:rPr>
              <w:t>00</w:t>
            </w:r>
          </w:p>
        </w:tc>
        <w:tc>
          <w:tcPr>
            <w:tcW w:w="343" w:type="pct"/>
            <w:vAlign w:val="center"/>
          </w:tcPr>
          <w:p w14:paraId="198F6AC4">
            <w:pPr>
              <w:pStyle w:val="4"/>
              <w:spacing w:line="500" w:lineRule="exact"/>
              <w:jc w:val="center"/>
              <w:rPr>
                <w:rFonts w:hint="eastAsia" w:ascii="宋体" w:hAnsi="宋体" w:eastAsia="宋体"/>
                <w:color w:val="auto"/>
                <w:sz w:val="21"/>
                <w:szCs w:val="21"/>
                <w:highlight w:val="none"/>
              </w:rPr>
            </w:pPr>
            <w:r>
              <w:rPr>
                <w:rFonts w:hint="eastAsia" w:ascii="宋体" w:hAnsi="宋体" w:eastAsia="宋体"/>
                <w:color w:val="auto"/>
                <w:sz w:val="21"/>
                <w:szCs w:val="21"/>
                <w:highlight w:val="none"/>
              </w:rPr>
              <w:t>否</w:t>
            </w:r>
          </w:p>
        </w:tc>
        <w:tc>
          <w:tcPr>
            <w:tcW w:w="327" w:type="pct"/>
            <w:vAlign w:val="center"/>
          </w:tcPr>
          <w:p w14:paraId="1F4E94F0">
            <w:pPr>
              <w:pStyle w:val="4"/>
              <w:spacing w:line="500" w:lineRule="exact"/>
              <w:jc w:val="center"/>
              <w:rPr>
                <w:rFonts w:hint="eastAsia" w:ascii="宋体" w:hAnsi="宋体" w:eastAsia="宋体"/>
                <w:color w:val="auto"/>
                <w:sz w:val="21"/>
                <w:szCs w:val="21"/>
                <w:highlight w:val="none"/>
              </w:rPr>
            </w:pPr>
            <w:r>
              <w:rPr>
                <w:rFonts w:hint="eastAsia" w:ascii="宋体" w:hAnsi="宋体" w:eastAsia="宋体"/>
                <w:color w:val="auto"/>
                <w:sz w:val="21"/>
                <w:szCs w:val="21"/>
                <w:highlight w:val="none"/>
              </w:rPr>
              <w:t>否</w:t>
            </w:r>
          </w:p>
        </w:tc>
        <w:tc>
          <w:tcPr>
            <w:tcW w:w="455" w:type="pct"/>
            <w:vAlign w:val="center"/>
          </w:tcPr>
          <w:p w14:paraId="2C3A6F0C">
            <w:pPr>
              <w:pStyle w:val="4"/>
              <w:spacing w:line="500" w:lineRule="exact"/>
              <w:jc w:val="center"/>
              <w:rPr>
                <w:rFonts w:hint="eastAsia" w:ascii="宋体" w:hAnsi="宋体" w:eastAsia="宋体"/>
                <w:color w:val="auto"/>
                <w:sz w:val="21"/>
                <w:szCs w:val="21"/>
                <w:highlight w:val="none"/>
              </w:rPr>
            </w:pPr>
            <w:r>
              <w:rPr>
                <w:rFonts w:hint="eastAsia" w:ascii="宋体" w:hAnsi="宋体" w:eastAsia="宋体"/>
                <w:color w:val="auto"/>
                <w:sz w:val="21"/>
                <w:szCs w:val="21"/>
                <w:highlight w:val="none"/>
              </w:rPr>
              <w:t>202</w:t>
            </w:r>
            <w:r>
              <w:rPr>
                <w:rFonts w:hint="eastAsia" w:ascii="宋体" w:hAnsi="宋体" w:eastAsia="宋体"/>
                <w:color w:val="auto"/>
                <w:sz w:val="21"/>
                <w:szCs w:val="21"/>
                <w:highlight w:val="none"/>
                <w:lang w:val="en-US" w:eastAsia="zh-CN"/>
              </w:rPr>
              <w:t>6</w:t>
            </w:r>
            <w:r>
              <w:rPr>
                <w:rFonts w:hint="eastAsia" w:ascii="宋体" w:hAnsi="宋体" w:eastAsia="宋体"/>
                <w:color w:val="auto"/>
                <w:sz w:val="21"/>
                <w:szCs w:val="21"/>
                <w:highlight w:val="none"/>
              </w:rPr>
              <w:t>年</w:t>
            </w:r>
            <w:r>
              <w:rPr>
                <w:rFonts w:hint="eastAsia" w:ascii="宋体" w:hAnsi="宋体" w:eastAsia="宋体"/>
                <w:color w:val="auto"/>
                <w:sz w:val="21"/>
                <w:szCs w:val="21"/>
                <w:highlight w:val="none"/>
                <w:lang w:val="en-US" w:eastAsia="zh-CN"/>
              </w:rPr>
              <w:t>9</w:t>
            </w:r>
            <w:r>
              <w:rPr>
                <w:rFonts w:hint="eastAsia" w:ascii="宋体" w:hAnsi="宋体" w:eastAsia="宋体"/>
                <w:color w:val="auto"/>
                <w:sz w:val="21"/>
                <w:szCs w:val="21"/>
                <w:highlight w:val="none"/>
              </w:rPr>
              <w:t>月</w:t>
            </w:r>
            <w:r>
              <w:rPr>
                <w:rFonts w:hint="eastAsia" w:ascii="宋体" w:hAnsi="宋体" w:eastAsia="宋体"/>
                <w:color w:val="auto"/>
                <w:sz w:val="21"/>
                <w:szCs w:val="21"/>
                <w:highlight w:val="none"/>
                <w:lang w:val="en-US" w:eastAsia="zh-CN"/>
              </w:rPr>
              <w:t>29</w:t>
            </w:r>
            <w:r>
              <w:rPr>
                <w:rFonts w:hint="eastAsia" w:ascii="宋体" w:hAnsi="宋体" w:eastAsia="宋体"/>
                <w:color w:val="auto"/>
                <w:sz w:val="21"/>
                <w:szCs w:val="21"/>
                <w:highlight w:val="none"/>
              </w:rPr>
              <w:t>日</w:t>
            </w:r>
          </w:p>
        </w:tc>
        <w:tc>
          <w:tcPr>
            <w:tcW w:w="486" w:type="pct"/>
            <w:vAlign w:val="center"/>
          </w:tcPr>
          <w:p w14:paraId="073BCE9F">
            <w:pPr>
              <w:pStyle w:val="4"/>
              <w:spacing w:line="500" w:lineRule="exact"/>
              <w:jc w:val="center"/>
              <w:rPr>
                <w:rFonts w:hint="eastAsia" w:ascii="宋体" w:hAnsi="宋体" w:eastAsia="宋体"/>
                <w:color w:val="auto"/>
                <w:sz w:val="21"/>
                <w:szCs w:val="21"/>
                <w:highlight w:val="none"/>
              </w:rPr>
            </w:pPr>
            <w:r>
              <w:rPr>
                <w:rFonts w:hint="eastAsia" w:ascii="宋体" w:hAnsi="宋体" w:eastAsia="宋体"/>
                <w:color w:val="auto"/>
                <w:sz w:val="21"/>
                <w:szCs w:val="21"/>
                <w:highlight w:val="none"/>
              </w:rPr>
              <w:t>20</w:t>
            </w:r>
            <w:r>
              <w:rPr>
                <w:rFonts w:ascii="宋体" w:hAnsi="宋体" w:eastAsia="宋体"/>
                <w:color w:val="auto"/>
                <w:sz w:val="21"/>
                <w:szCs w:val="21"/>
                <w:highlight w:val="none"/>
              </w:rPr>
              <w:t>2</w:t>
            </w:r>
            <w:r>
              <w:rPr>
                <w:rFonts w:hint="eastAsia" w:ascii="宋体" w:hAnsi="宋体" w:eastAsia="宋体"/>
                <w:color w:val="auto"/>
                <w:sz w:val="21"/>
                <w:szCs w:val="21"/>
                <w:highlight w:val="none"/>
                <w:lang w:val="en-US" w:eastAsia="zh-CN"/>
              </w:rPr>
              <w:t>9</w:t>
            </w:r>
            <w:r>
              <w:rPr>
                <w:rFonts w:hint="eastAsia" w:ascii="宋体" w:hAnsi="宋体" w:eastAsia="宋体"/>
                <w:color w:val="auto"/>
                <w:sz w:val="21"/>
                <w:szCs w:val="21"/>
                <w:highlight w:val="none"/>
              </w:rPr>
              <w:t>年</w:t>
            </w:r>
            <w:r>
              <w:rPr>
                <w:rFonts w:hint="eastAsia" w:ascii="宋体" w:hAnsi="宋体" w:eastAsia="宋体"/>
                <w:color w:val="auto"/>
                <w:sz w:val="21"/>
                <w:szCs w:val="21"/>
                <w:highlight w:val="none"/>
                <w:lang w:val="en-US" w:eastAsia="zh-CN"/>
              </w:rPr>
              <w:t>9</w:t>
            </w:r>
            <w:r>
              <w:rPr>
                <w:rFonts w:hint="eastAsia" w:ascii="宋体" w:hAnsi="宋体" w:eastAsia="宋体"/>
                <w:color w:val="auto"/>
                <w:sz w:val="21"/>
                <w:szCs w:val="21"/>
                <w:highlight w:val="none"/>
              </w:rPr>
              <w:t>月</w:t>
            </w:r>
            <w:r>
              <w:rPr>
                <w:rFonts w:hint="eastAsia" w:ascii="宋体" w:hAnsi="宋体" w:eastAsia="宋体"/>
                <w:color w:val="auto"/>
                <w:sz w:val="21"/>
                <w:szCs w:val="21"/>
                <w:highlight w:val="none"/>
                <w:lang w:val="en-US" w:eastAsia="zh-CN"/>
              </w:rPr>
              <w:t>29</w:t>
            </w:r>
            <w:r>
              <w:rPr>
                <w:rFonts w:hint="eastAsia" w:ascii="宋体" w:hAnsi="宋体" w:eastAsia="宋体"/>
                <w:color w:val="auto"/>
                <w:sz w:val="21"/>
                <w:szCs w:val="21"/>
                <w:highlight w:val="none"/>
              </w:rPr>
              <w:t>日</w:t>
            </w:r>
          </w:p>
        </w:tc>
        <w:tc>
          <w:tcPr>
            <w:tcW w:w="727" w:type="pct"/>
            <w:vAlign w:val="center"/>
          </w:tcPr>
          <w:p w14:paraId="154F2E57">
            <w:pPr>
              <w:pStyle w:val="4"/>
              <w:spacing w:line="500" w:lineRule="exact"/>
              <w:jc w:val="center"/>
              <w:rPr>
                <w:rFonts w:hint="default" w:ascii="宋体" w:hAnsi="宋体" w:eastAsia="宋体"/>
                <w:color w:val="auto"/>
                <w:sz w:val="21"/>
                <w:szCs w:val="21"/>
                <w:highlight w:val="none"/>
                <w:lang w:val="en-US" w:eastAsia="zh-CN"/>
              </w:rPr>
            </w:pPr>
            <w:r>
              <w:rPr>
                <w:rFonts w:hint="eastAsia" w:ascii="宋体" w:hAnsi="宋体" w:eastAsia="宋体"/>
                <w:color w:val="auto"/>
                <w:sz w:val="21"/>
                <w:szCs w:val="21"/>
                <w:highlight w:val="none"/>
                <w:lang w:val="en-US" w:eastAsia="zh-CN"/>
              </w:rPr>
              <w:t>日照银行股份有限公司威海分行</w:t>
            </w:r>
          </w:p>
        </w:tc>
        <w:tc>
          <w:tcPr>
            <w:tcW w:w="347" w:type="pct"/>
            <w:vAlign w:val="center"/>
          </w:tcPr>
          <w:p w14:paraId="19E24789">
            <w:pPr>
              <w:pStyle w:val="4"/>
              <w:spacing w:line="500" w:lineRule="exact"/>
              <w:jc w:val="center"/>
              <w:rPr>
                <w:rFonts w:hint="eastAsia" w:ascii="宋体" w:hAnsi="宋体" w:eastAsia="宋体"/>
                <w:color w:val="auto"/>
                <w:sz w:val="21"/>
                <w:szCs w:val="21"/>
                <w:highlight w:val="none"/>
              </w:rPr>
            </w:pPr>
            <w:r>
              <w:rPr>
                <w:rFonts w:hint="eastAsia" w:ascii="宋体" w:hAnsi="宋体" w:eastAsia="宋体"/>
                <w:color w:val="auto"/>
                <w:sz w:val="21"/>
                <w:szCs w:val="21"/>
                <w:highlight w:val="none"/>
                <w:lang w:val="en-US" w:eastAsia="zh-CN"/>
              </w:rPr>
              <w:t>8</w:t>
            </w:r>
            <w:r>
              <w:rPr>
                <w:rFonts w:hint="eastAsia" w:ascii="宋体" w:hAnsi="宋体" w:eastAsia="宋体"/>
                <w:color w:val="auto"/>
                <w:sz w:val="21"/>
                <w:szCs w:val="21"/>
                <w:highlight w:val="none"/>
              </w:rPr>
              <w:t>.</w:t>
            </w:r>
            <w:r>
              <w:rPr>
                <w:rFonts w:hint="eastAsia" w:ascii="宋体" w:hAnsi="宋体" w:eastAsia="宋体"/>
                <w:color w:val="auto"/>
                <w:sz w:val="21"/>
                <w:szCs w:val="21"/>
                <w:highlight w:val="none"/>
                <w:lang w:val="en-US" w:eastAsia="zh-CN"/>
              </w:rPr>
              <w:t>41</w:t>
            </w:r>
            <w:r>
              <w:rPr>
                <w:rFonts w:hint="eastAsia" w:ascii="宋体" w:hAnsi="宋体" w:eastAsia="宋体"/>
                <w:color w:val="auto"/>
                <w:sz w:val="21"/>
                <w:szCs w:val="21"/>
                <w:highlight w:val="none"/>
              </w:rPr>
              <w:t>%</w:t>
            </w:r>
          </w:p>
        </w:tc>
        <w:tc>
          <w:tcPr>
            <w:tcW w:w="363" w:type="pct"/>
            <w:vAlign w:val="center"/>
          </w:tcPr>
          <w:p w14:paraId="461139AA">
            <w:pPr>
              <w:pStyle w:val="4"/>
              <w:spacing w:line="500" w:lineRule="exact"/>
              <w:jc w:val="center"/>
              <w:rPr>
                <w:rFonts w:hint="eastAsia" w:ascii="宋体" w:hAnsi="宋体" w:eastAsia="宋体"/>
                <w:color w:val="auto"/>
                <w:sz w:val="21"/>
                <w:szCs w:val="21"/>
                <w:highlight w:val="none"/>
              </w:rPr>
            </w:pPr>
            <w:r>
              <w:rPr>
                <w:rFonts w:hint="eastAsia" w:ascii="宋体" w:hAnsi="宋体" w:eastAsia="宋体"/>
                <w:color w:val="auto"/>
                <w:sz w:val="21"/>
                <w:szCs w:val="21"/>
                <w:highlight w:val="none"/>
                <w:lang w:val="en-US" w:eastAsia="zh-CN"/>
              </w:rPr>
              <w:t>3</w:t>
            </w:r>
            <w:r>
              <w:rPr>
                <w:rFonts w:hint="eastAsia" w:ascii="宋体" w:hAnsi="宋体" w:eastAsia="宋体"/>
                <w:color w:val="auto"/>
                <w:sz w:val="21"/>
                <w:szCs w:val="21"/>
                <w:highlight w:val="none"/>
              </w:rPr>
              <w:t>.</w:t>
            </w:r>
            <w:r>
              <w:rPr>
                <w:rFonts w:hint="eastAsia" w:ascii="宋体" w:hAnsi="宋体" w:eastAsia="宋体"/>
                <w:color w:val="auto"/>
                <w:sz w:val="21"/>
                <w:szCs w:val="21"/>
                <w:highlight w:val="none"/>
                <w:lang w:val="en-US" w:eastAsia="zh-CN"/>
              </w:rPr>
              <w:t>08</w:t>
            </w:r>
            <w:r>
              <w:rPr>
                <w:rFonts w:hint="eastAsia" w:ascii="宋体" w:hAnsi="宋体" w:eastAsia="宋体"/>
                <w:color w:val="auto"/>
                <w:sz w:val="21"/>
                <w:szCs w:val="21"/>
                <w:highlight w:val="none"/>
              </w:rPr>
              <w:t>%</w:t>
            </w:r>
          </w:p>
        </w:tc>
        <w:tc>
          <w:tcPr>
            <w:tcW w:w="363" w:type="pct"/>
            <w:vAlign w:val="center"/>
          </w:tcPr>
          <w:p w14:paraId="731F7420">
            <w:pPr>
              <w:pStyle w:val="4"/>
              <w:spacing w:line="500" w:lineRule="exact"/>
              <w:jc w:val="center"/>
              <w:rPr>
                <w:rFonts w:hint="default" w:ascii="宋体" w:hAnsi="宋体" w:eastAsia="宋体"/>
                <w:color w:val="auto"/>
                <w:sz w:val="21"/>
                <w:szCs w:val="21"/>
                <w:highlight w:val="none"/>
                <w:lang w:val="en-US" w:eastAsia="zh-CN"/>
              </w:rPr>
            </w:pPr>
            <w:r>
              <w:rPr>
                <w:rFonts w:hint="eastAsia" w:ascii="宋体" w:hAnsi="宋体" w:eastAsia="宋体"/>
                <w:color w:val="auto"/>
                <w:sz w:val="21"/>
                <w:szCs w:val="21"/>
                <w:highlight w:val="none"/>
                <w:lang w:val="en-US" w:eastAsia="zh-CN"/>
              </w:rPr>
              <w:t>生产经营</w:t>
            </w:r>
          </w:p>
        </w:tc>
      </w:tr>
      <w:bookmarkEnd w:id="0"/>
      <w:tr w14:paraId="3107C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 w:type="pct"/>
            <w:tcBorders>
              <w:bottom w:val="single" w:color="auto" w:sz="4" w:space="0"/>
            </w:tcBorders>
            <w:vAlign w:val="center"/>
          </w:tcPr>
          <w:p w14:paraId="6725F233">
            <w:pPr>
              <w:pStyle w:val="4"/>
              <w:spacing w:line="500" w:lineRule="exact"/>
              <w:jc w:val="center"/>
              <w:rPr>
                <w:rFonts w:hint="default" w:ascii="宋体" w:hAnsi="宋体" w:eastAsia="宋体"/>
                <w:color w:val="auto"/>
                <w:sz w:val="21"/>
                <w:szCs w:val="21"/>
                <w:highlight w:val="none"/>
                <w:lang w:val="en-US" w:eastAsia="zh-CN"/>
              </w:rPr>
            </w:pPr>
            <w:r>
              <w:rPr>
                <w:rFonts w:hint="eastAsia" w:ascii="宋体" w:hAnsi="宋体" w:eastAsia="宋体"/>
                <w:color w:val="auto"/>
                <w:sz w:val="21"/>
                <w:szCs w:val="21"/>
                <w:highlight w:val="none"/>
                <w:lang w:val="en-US" w:eastAsia="zh-CN"/>
              </w:rPr>
              <w:t>合计</w:t>
            </w:r>
          </w:p>
        </w:tc>
        <w:tc>
          <w:tcPr>
            <w:tcW w:w="348" w:type="pct"/>
            <w:tcBorders>
              <w:bottom w:val="single" w:color="auto" w:sz="4" w:space="0"/>
            </w:tcBorders>
            <w:vAlign w:val="center"/>
          </w:tcPr>
          <w:p w14:paraId="36D8D54B">
            <w:pPr>
              <w:pStyle w:val="4"/>
              <w:spacing w:line="500" w:lineRule="exact"/>
              <w:jc w:val="center"/>
              <w:rPr>
                <w:rFonts w:hint="default" w:ascii="宋体" w:hAnsi="宋体" w:eastAsia="宋体"/>
                <w:color w:val="auto"/>
                <w:sz w:val="21"/>
                <w:szCs w:val="21"/>
                <w:highlight w:val="none"/>
                <w:lang w:val="en-US" w:eastAsia="zh-CN"/>
              </w:rPr>
            </w:pPr>
            <w:r>
              <w:rPr>
                <w:rFonts w:hint="eastAsia" w:ascii="宋体" w:hAnsi="宋体" w:eastAsia="宋体"/>
                <w:color w:val="auto"/>
                <w:sz w:val="21"/>
                <w:szCs w:val="21"/>
                <w:highlight w:val="none"/>
                <w:lang w:val="en-US" w:eastAsia="zh-CN"/>
              </w:rPr>
              <w:t>/</w:t>
            </w:r>
          </w:p>
        </w:tc>
        <w:tc>
          <w:tcPr>
            <w:tcW w:w="604" w:type="pct"/>
            <w:tcBorders>
              <w:bottom w:val="single" w:color="auto" w:sz="4" w:space="0"/>
            </w:tcBorders>
            <w:vAlign w:val="center"/>
          </w:tcPr>
          <w:p w14:paraId="72A71B47">
            <w:pPr>
              <w:pStyle w:val="4"/>
              <w:spacing w:line="500" w:lineRule="exact"/>
              <w:jc w:val="center"/>
              <w:rPr>
                <w:rFonts w:hint="eastAsia" w:ascii="宋体" w:hAnsi="宋体" w:eastAsia="宋体"/>
                <w:color w:val="auto"/>
                <w:sz w:val="21"/>
                <w:szCs w:val="21"/>
                <w:highlight w:val="none"/>
                <w:lang w:val="en-US" w:eastAsia="zh-CN"/>
              </w:rPr>
            </w:pPr>
            <w:r>
              <w:rPr>
                <w:rFonts w:hint="eastAsia" w:ascii="宋体" w:hAnsi="宋体" w:eastAsia="宋体"/>
                <w:color w:val="auto"/>
                <w:sz w:val="21"/>
                <w:szCs w:val="21"/>
                <w:highlight w:val="none"/>
                <w:lang w:val="en-US" w:eastAsia="zh-CN"/>
              </w:rPr>
              <w:t>45</w:t>
            </w:r>
            <w:r>
              <w:rPr>
                <w:rFonts w:ascii="宋体" w:hAnsi="宋体" w:eastAsia="宋体"/>
                <w:color w:val="auto"/>
                <w:sz w:val="21"/>
                <w:szCs w:val="21"/>
                <w:highlight w:val="none"/>
              </w:rPr>
              <w:t>,</w:t>
            </w:r>
            <w:r>
              <w:rPr>
                <w:rFonts w:hint="eastAsia" w:ascii="宋体" w:hAnsi="宋体" w:eastAsia="宋体"/>
                <w:color w:val="auto"/>
                <w:sz w:val="21"/>
                <w:szCs w:val="21"/>
                <w:highlight w:val="none"/>
              </w:rPr>
              <w:t>000</w:t>
            </w:r>
            <w:r>
              <w:rPr>
                <w:rFonts w:ascii="宋体" w:hAnsi="宋体" w:eastAsia="宋体"/>
                <w:color w:val="auto"/>
                <w:sz w:val="21"/>
                <w:szCs w:val="21"/>
                <w:highlight w:val="none"/>
              </w:rPr>
              <w:t>,</w:t>
            </w:r>
            <w:r>
              <w:rPr>
                <w:rFonts w:hint="eastAsia" w:ascii="宋体" w:hAnsi="宋体" w:eastAsia="宋体"/>
                <w:color w:val="auto"/>
                <w:sz w:val="21"/>
                <w:szCs w:val="21"/>
                <w:highlight w:val="none"/>
              </w:rPr>
              <w:t>0</w:t>
            </w:r>
            <w:r>
              <w:rPr>
                <w:rFonts w:ascii="宋体" w:hAnsi="宋体" w:eastAsia="宋体"/>
                <w:color w:val="auto"/>
                <w:sz w:val="21"/>
                <w:szCs w:val="21"/>
                <w:highlight w:val="none"/>
              </w:rPr>
              <w:t>00</w:t>
            </w:r>
          </w:p>
        </w:tc>
        <w:tc>
          <w:tcPr>
            <w:tcW w:w="343" w:type="pct"/>
            <w:tcBorders>
              <w:bottom w:val="single" w:color="auto" w:sz="4" w:space="0"/>
            </w:tcBorders>
            <w:vAlign w:val="center"/>
          </w:tcPr>
          <w:p w14:paraId="49C33394">
            <w:pPr>
              <w:spacing w:line="500" w:lineRule="exact"/>
              <w:jc w:val="center"/>
              <w:rPr>
                <w:rFonts w:hint="eastAsia" w:ascii="宋体" w:hAnsi="宋体" w:eastAsia="宋体"/>
                <w:color w:val="auto"/>
                <w:sz w:val="21"/>
                <w:szCs w:val="21"/>
                <w:highlight w:val="none"/>
              </w:rPr>
            </w:pPr>
            <w:r>
              <w:rPr>
                <w:rFonts w:hint="eastAsia" w:ascii="宋体" w:hAnsi="宋体" w:eastAsia="宋体"/>
                <w:color w:val="auto"/>
                <w:sz w:val="21"/>
                <w:szCs w:val="21"/>
                <w:highlight w:val="none"/>
                <w:lang w:val="en-US" w:eastAsia="zh-CN"/>
              </w:rPr>
              <w:t>/</w:t>
            </w:r>
          </w:p>
        </w:tc>
        <w:tc>
          <w:tcPr>
            <w:tcW w:w="327" w:type="pct"/>
            <w:tcBorders>
              <w:bottom w:val="single" w:color="auto" w:sz="4" w:space="0"/>
            </w:tcBorders>
            <w:vAlign w:val="center"/>
          </w:tcPr>
          <w:p w14:paraId="2F4B5D80">
            <w:pPr>
              <w:spacing w:line="500" w:lineRule="exact"/>
              <w:jc w:val="center"/>
              <w:rPr>
                <w:rFonts w:hint="eastAsia" w:ascii="宋体" w:hAnsi="宋体" w:eastAsia="宋体"/>
                <w:color w:val="auto"/>
                <w:sz w:val="21"/>
                <w:szCs w:val="21"/>
                <w:highlight w:val="none"/>
              </w:rPr>
            </w:pPr>
            <w:r>
              <w:rPr>
                <w:rFonts w:hint="eastAsia" w:ascii="宋体" w:hAnsi="宋体" w:eastAsia="宋体"/>
                <w:color w:val="auto"/>
                <w:sz w:val="21"/>
                <w:szCs w:val="21"/>
                <w:highlight w:val="none"/>
                <w:lang w:val="en-US" w:eastAsia="zh-CN"/>
              </w:rPr>
              <w:t>/</w:t>
            </w:r>
          </w:p>
        </w:tc>
        <w:tc>
          <w:tcPr>
            <w:tcW w:w="455" w:type="pct"/>
            <w:tcBorders>
              <w:bottom w:val="single" w:color="auto" w:sz="4" w:space="0"/>
            </w:tcBorders>
            <w:vAlign w:val="center"/>
          </w:tcPr>
          <w:p w14:paraId="02C45C90">
            <w:pPr>
              <w:spacing w:line="500" w:lineRule="exact"/>
              <w:jc w:val="center"/>
              <w:rPr>
                <w:rFonts w:hint="eastAsia" w:ascii="宋体" w:hAnsi="宋体" w:eastAsia="宋体"/>
                <w:color w:val="auto"/>
                <w:sz w:val="21"/>
                <w:szCs w:val="21"/>
                <w:highlight w:val="none"/>
              </w:rPr>
            </w:pPr>
            <w:r>
              <w:rPr>
                <w:rFonts w:hint="eastAsia" w:ascii="宋体" w:hAnsi="宋体" w:eastAsia="宋体"/>
                <w:color w:val="auto"/>
                <w:sz w:val="21"/>
                <w:szCs w:val="21"/>
                <w:highlight w:val="none"/>
                <w:lang w:val="en-US" w:eastAsia="zh-CN"/>
              </w:rPr>
              <w:t>/</w:t>
            </w:r>
          </w:p>
        </w:tc>
        <w:tc>
          <w:tcPr>
            <w:tcW w:w="486" w:type="pct"/>
            <w:tcBorders>
              <w:bottom w:val="single" w:color="auto" w:sz="4" w:space="0"/>
            </w:tcBorders>
            <w:vAlign w:val="center"/>
          </w:tcPr>
          <w:p w14:paraId="57179623">
            <w:pPr>
              <w:spacing w:line="500" w:lineRule="exact"/>
              <w:jc w:val="center"/>
              <w:rPr>
                <w:rFonts w:hint="eastAsia" w:ascii="宋体" w:hAnsi="宋体" w:eastAsia="宋体"/>
                <w:color w:val="auto"/>
                <w:sz w:val="21"/>
                <w:szCs w:val="21"/>
                <w:highlight w:val="none"/>
              </w:rPr>
            </w:pPr>
            <w:r>
              <w:rPr>
                <w:rFonts w:hint="eastAsia" w:ascii="宋体" w:hAnsi="宋体" w:eastAsia="宋体"/>
                <w:color w:val="auto"/>
                <w:sz w:val="21"/>
                <w:szCs w:val="21"/>
                <w:highlight w:val="none"/>
                <w:lang w:val="en-US" w:eastAsia="zh-CN"/>
              </w:rPr>
              <w:t>/</w:t>
            </w:r>
          </w:p>
        </w:tc>
        <w:tc>
          <w:tcPr>
            <w:tcW w:w="727" w:type="pct"/>
            <w:tcBorders>
              <w:bottom w:val="single" w:color="auto" w:sz="4" w:space="0"/>
            </w:tcBorders>
            <w:vAlign w:val="center"/>
          </w:tcPr>
          <w:p w14:paraId="1C6E420D">
            <w:pPr>
              <w:spacing w:line="500" w:lineRule="exact"/>
              <w:jc w:val="center"/>
              <w:rPr>
                <w:rFonts w:hint="eastAsia" w:ascii="宋体" w:hAnsi="宋体" w:eastAsia="宋体"/>
                <w:color w:val="auto"/>
                <w:sz w:val="21"/>
                <w:szCs w:val="21"/>
                <w:highlight w:val="none"/>
                <w:lang w:val="en-US" w:eastAsia="zh-CN"/>
              </w:rPr>
            </w:pPr>
            <w:r>
              <w:rPr>
                <w:rFonts w:hint="eastAsia" w:ascii="宋体" w:hAnsi="宋体" w:eastAsia="宋体"/>
                <w:color w:val="auto"/>
                <w:sz w:val="21"/>
                <w:szCs w:val="21"/>
                <w:highlight w:val="none"/>
                <w:lang w:val="en-US" w:eastAsia="zh-CN"/>
              </w:rPr>
              <w:t>/</w:t>
            </w:r>
          </w:p>
        </w:tc>
        <w:tc>
          <w:tcPr>
            <w:tcW w:w="347" w:type="pct"/>
            <w:tcBorders>
              <w:bottom w:val="single" w:color="auto" w:sz="4" w:space="0"/>
            </w:tcBorders>
            <w:vAlign w:val="center"/>
          </w:tcPr>
          <w:p w14:paraId="46F590CD">
            <w:pPr>
              <w:pStyle w:val="4"/>
              <w:spacing w:line="500" w:lineRule="exact"/>
              <w:jc w:val="center"/>
              <w:rPr>
                <w:rFonts w:hint="default" w:ascii="宋体" w:hAnsi="宋体" w:eastAsia="宋体"/>
                <w:color w:val="auto"/>
                <w:sz w:val="21"/>
                <w:szCs w:val="21"/>
                <w:highlight w:val="none"/>
                <w:lang w:val="en-US" w:eastAsia="zh-CN"/>
              </w:rPr>
            </w:pPr>
            <w:r>
              <w:rPr>
                <w:rFonts w:hint="eastAsia" w:ascii="宋体" w:hAnsi="宋体" w:eastAsia="宋体"/>
                <w:color w:val="auto"/>
                <w:sz w:val="21"/>
                <w:szCs w:val="21"/>
                <w:highlight w:val="none"/>
                <w:lang w:val="en-US" w:eastAsia="zh-CN"/>
              </w:rPr>
              <w:t>8.41%</w:t>
            </w:r>
          </w:p>
        </w:tc>
        <w:tc>
          <w:tcPr>
            <w:tcW w:w="363" w:type="pct"/>
            <w:tcBorders>
              <w:bottom w:val="single" w:color="auto" w:sz="4" w:space="0"/>
            </w:tcBorders>
            <w:vAlign w:val="center"/>
          </w:tcPr>
          <w:p w14:paraId="42AB6A0F">
            <w:pPr>
              <w:pStyle w:val="4"/>
              <w:spacing w:line="500" w:lineRule="exact"/>
              <w:jc w:val="center"/>
              <w:rPr>
                <w:rFonts w:hint="default" w:ascii="宋体" w:hAnsi="宋体" w:eastAsia="宋体"/>
                <w:color w:val="auto"/>
                <w:sz w:val="21"/>
                <w:szCs w:val="21"/>
                <w:highlight w:val="none"/>
                <w:lang w:val="en-US" w:eastAsia="zh-CN"/>
              </w:rPr>
            </w:pPr>
            <w:r>
              <w:rPr>
                <w:rFonts w:hint="eastAsia" w:ascii="宋体" w:hAnsi="宋体" w:eastAsia="宋体"/>
                <w:color w:val="auto"/>
                <w:sz w:val="21"/>
                <w:szCs w:val="21"/>
                <w:highlight w:val="none"/>
                <w:lang w:val="en-US" w:eastAsia="zh-CN"/>
              </w:rPr>
              <w:t>3.08%</w:t>
            </w:r>
          </w:p>
        </w:tc>
        <w:tc>
          <w:tcPr>
            <w:tcW w:w="363" w:type="pct"/>
            <w:tcBorders>
              <w:bottom w:val="single" w:color="auto" w:sz="4" w:space="0"/>
            </w:tcBorders>
            <w:vAlign w:val="center"/>
          </w:tcPr>
          <w:p w14:paraId="7DB7F090">
            <w:pPr>
              <w:pStyle w:val="4"/>
              <w:spacing w:line="500" w:lineRule="exact"/>
              <w:jc w:val="center"/>
              <w:rPr>
                <w:rFonts w:hint="eastAsia" w:ascii="宋体" w:hAnsi="宋体" w:eastAsia="宋体"/>
                <w:color w:val="auto"/>
                <w:sz w:val="21"/>
                <w:szCs w:val="21"/>
                <w:highlight w:val="none"/>
                <w:lang w:val="en-US" w:eastAsia="zh-CN"/>
              </w:rPr>
            </w:pPr>
            <w:r>
              <w:rPr>
                <w:rFonts w:hint="eastAsia" w:ascii="宋体" w:hAnsi="宋体" w:eastAsia="宋体"/>
                <w:color w:val="auto"/>
                <w:sz w:val="21"/>
                <w:szCs w:val="21"/>
                <w:highlight w:val="none"/>
                <w:lang w:val="en-US" w:eastAsia="zh-CN"/>
              </w:rPr>
              <w:t>/</w:t>
            </w:r>
          </w:p>
        </w:tc>
      </w:tr>
    </w:tbl>
    <w:p w14:paraId="1DD8602C">
      <w:pPr>
        <w:bidi w:val="0"/>
      </w:pPr>
    </w:p>
    <w:p w14:paraId="4590F85E">
      <w:pPr>
        <w:pStyle w:val="4"/>
        <w:widowControl w:val="0"/>
        <w:numPr>
          <w:ilvl w:val="0"/>
          <w:numId w:val="0"/>
        </w:numPr>
        <w:autoSpaceDE w:val="0"/>
        <w:autoSpaceDN w:val="0"/>
        <w:adjustRightInd w:val="0"/>
        <w:spacing w:line="500" w:lineRule="exact"/>
        <w:rPr>
          <w:rFonts w:hint="eastAsia" w:ascii="宋体" w:hAnsi="宋体" w:eastAsia="宋体"/>
          <w:color w:val="auto"/>
          <w:highlight w:val="none"/>
        </w:rPr>
      </w:pPr>
    </w:p>
    <w:p w14:paraId="33497F4A">
      <w:pPr>
        <w:pStyle w:val="4"/>
        <w:widowControl w:val="0"/>
        <w:numPr>
          <w:ilvl w:val="0"/>
          <w:numId w:val="0"/>
        </w:numPr>
        <w:autoSpaceDE w:val="0"/>
        <w:autoSpaceDN w:val="0"/>
        <w:adjustRightInd w:val="0"/>
        <w:spacing w:line="500" w:lineRule="exact"/>
        <w:rPr>
          <w:rFonts w:hint="eastAsia" w:ascii="宋体" w:hAnsi="宋体" w:eastAsia="宋体"/>
          <w:color w:val="auto"/>
          <w:highlight w:val="none"/>
        </w:rPr>
      </w:pPr>
    </w:p>
    <w:p w14:paraId="031588E4">
      <w:pPr>
        <w:pStyle w:val="4"/>
        <w:widowControl w:val="0"/>
        <w:numPr>
          <w:ilvl w:val="0"/>
          <w:numId w:val="0"/>
        </w:numPr>
        <w:autoSpaceDE w:val="0"/>
        <w:autoSpaceDN w:val="0"/>
        <w:adjustRightInd w:val="0"/>
        <w:spacing w:line="500" w:lineRule="exact"/>
        <w:ind w:firstLine="420" w:firstLineChars="200"/>
        <w:rPr>
          <w:rFonts w:hint="eastAsia" w:ascii="宋体" w:hAnsi="宋体" w:eastAsia="宋体"/>
          <w:color w:val="auto"/>
          <w:sz w:val="21"/>
          <w:szCs w:val="21"/>
          <w:highlight w:val="none"/>
          <w:lang w:val="en-US" w:eastAsia="zh-CN"/>
        </w:rPr>
      </w:pPr>
      <w:r>
        <w:rPr>
          <w:rFonts w:hint="eastAsia" w:ascii="宋体" w:hAnsi="宋体" w:eastAsia="宋体"/>
          <w:color w:val="auto"/>
          <w:sz w:val="21"/>
          <w:szCs w:val="21"/>
          <w:highlight w:val="none"/>
          <w:lang w:val="en-US" w:eastAsia="zh-CN"/>
        </w:rPr>
        <w:t>注：上述比例均按照四舍五入保留小数，如有差异系四舍五入的尾差造成。</w:t>
      </w:r>
    </w:p>
    <w:p w14:paraId="455B1A0C">
      <w:pPr>
        <w:pStyle w:val="4"/>
        <w:widowControl w:val="0"/>
        <w:numPr>
          <w:ilvl w:val="0"/>
          <w:numId w:val="0"/>
        </w:numPr>
        <w:autoSpaceDE w:val="0"/>
        <w:autoSpaceDN w:val="0"/>
        <w:adjustRightInd w:val="0"/>
        <w:spacing w:line="500" w:lineRule="exact"/>
        <w:ind w:firstLine="420" w:firstLineChars="200"/>
        <w:rPr>
          <w:rFonts w:hint="eastAsia" w:ascii="宋体" w:hAnsi="宋体" w:eastAsia="宋体"/>
          <w:color w:val="auto"/>
          <w:sz w:val="21"/>
          <w:szCs w:val="21"/>
          <w:highlight w:val="none"/>
          <w:lang w:val="en-US" w:eastAsia="zh-CN"/>
        </w:rPr>
      </w:pPr>
      <w:r>
        <w:rPr>
          <w:rFonts w:hint="eastAsia" w:ascii="宋体" w:hAnsi="宋体" w:eastAsia="宋体"/>
          <w:color w:val="auto"/>
          <w:sz w:val="21"/>
          <w:szCs w:val="21"/>
          <w:highlight w:val="none"/>
          <w:lang w:val="en-US" w:eastAsia="zh-CN"/>
        </w:rPr>
        <w:t>本次质押股份未被用作重大资产重组业绩补偿等事项的担保或其他保障用途。</w:t>
      </w:r>
    </w:p>
    <w:p w14:paraId="0D2765F5">
      <w:pPr>
        <w:pStyle w:val="4"/>
        <w:widowControl w:val="0"/>
        <w:numPr>
          <w:ilvl w:val="0"/>
          <w:numId w:val="0"/>
        </w:numPr>
        <w:autoSpaceDE w:val="0"/>
        <w:autoSpaceDN w:val="0"/>
        <w:adjustRightInd w:val="0"/>
        <w:spacing w:line="500" w:lineRule="exact"/>
        <w:ind w:firstLine="480" w:firstLineChars="200"/>
        <w:rPr>
          <w:rFonts w:hint="eastAsia" w:ascii="宋体" w:hAnsi="宋体" w:eastAsia="宋体"/>
          <w:color w:val="auto"/>
          <w:highlight w:val="none"/>
        </w:rPr>
      </w:pPr>
      <w:r>
        <w:rPr>
          <w:rFonts w:hint="eastAsia" w:ascii="宋体" w:hAnsi="宋体" w:eastAsia="宋体"/>
          <w:color w:val="auto"/>
          <w:highlight w:val="none"/>
        </w:rPr>
        <w:t>（三）股东累计质押股份情况</w:t>
      </w:r>
    </w:p>
    <w:p w14:paraId="47446B83">
      <w:pPr>
        <w:pStyle w:val="4"/>
        <w:widowControl w:val="0"/>
        <w:numPr>
          <w:ilvl w:val="0"/>
          <w:numId w:val="0"/>
        </w:numPr>
        <w:autoSpaceDE w:val="0"/>
        <w:autoSpaceDN w:val="0"/>
        <w:adjustRightInd w:val="0"/>
        <w:spacing w:line="500" w:lineRule="exact"/>
        <w:ind w:firstLine="480" w:firstLineChars="200"/>
        <w:rPr>
          <w:rFonts w:hint="eastAsia" w:ascii="宋体" w:hAnsi="宋体" w:eastAsia="宋体"/>
          <w:color w:val="auto"/>
          <w:highlight w:val="none"/>
        </w:rPr>
      </w:pPr>
      <w:r>
        <w:rPr>
          <w:rFonts w:hint="eastAsia" w:ascii="宋体" w:hAnsi="宋体" w:eastAsia="宋体"/>
          <w:color w:val="auto"/>
          <w:highlight w:val="none"/>
        </w:rPr>
        <w:t>截至本公告披露日，好当家集团累计质押股份情况如下：</w:t>
      </w:r>
    </w:p>
    <w:tbl>
      <w:tblPr>
        <w:tblStyle w:val="2"/>
        <w:tblpPr w:leftFromText="180" w:rightFromText="180" w:vertAnchor="text" w:horzAnchor="margin" w:tblpXSpec="center" w:tblpY="1025"/>
        <w:tblW w:w="11004" w:type="dxa"/>
        <w:tblInd w:w="-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3"/>
        <w:gridCol w:w="1146"/>
        <w:gridCol w:w="730"/>
        <w:gridCol w:w="1091"/>
        <w:gridCol w:w="1059"/>
        <w:gridCol w:w="701"/>
        <w:gridCol w:w="676"/>
        <w:gridCol w:w="993"/>
        <w:gridCol w:w="971"/>
        <w:gridCol w:w="1025"/>
        <w:gridCol w:w="999"/>
      </w:tblGrid>
      <w:tr w14:paraId="7703C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3" w:type="dxa"/>
            <w:vMerge w:val="restart"/>
            <w:vAlign w:val="center"/>
          </w:tcPr>
          <w:p w14:paraId="41EDEFF5">
            <w:pPr>
              <w:pStyle w:val="4"/>
              <w:spacing w:line="500" w:lineRule="exact"/>
              <w:jc w:val="center"/>
              <w:rPr>
                <w:rFonts w:hint="eastAsia" w:ascii="宋体" w:hAnsi="宋体" w:eastAsia="宋体"/>
                <w:color w:val="auto"/>
                <w:sz w:val="15"/>
                <w:szCs w:val="15"/>
              </w:rPr>
            </w:pPr>
            <w:r>
              <w:rPr>
                <w:rFonts w:hint="eastAsia" w:ascii="宋体" w:hAnsi="宋体" w:eastAsia="宋体"/>
                <w:color w:val="auto"/>
                <w:sz w:val="15"/>
                <w:szCs w:val="15"/>
              </w:rPr>
              <w:t>股东名称</w:t>
            </w:r>
          </w:p>
        </w:tc>
        <w:tc>
          <w:tcPr>
            <w:tcW w:w="1146" w:type="dxa"/>
            <w:vMerge w:val="restart"/>
            <w:vAlign w:val="center"/>
          </w:tcPr>
          <w:p w14:paraId="601B6843">
            <w:pPr>
              <w:pStyle w:val="4"/>
              <w:spacing w:line="500" w:lineRule="exact"/>
              <w:jc w:val="center"/>
              <w:rPr>
                <w:rFonts w:hint="eastAsia" w:ascii="宋体" w:hAnsi="宋体" w:eastAsia="宋体"/>
                <w:color w:val="auto"/>
                <w:sz w:val="15"/>
                <w:szCs w:val="15"/>
              </w:rPr>
            </w:pPr>
            <w:r>
              <w:rPr>
                <w:rFonts w:hint="eastAsia" w:ascii="宋体" w:hAnsi="宋体" w:eastAsia="宋体"/>
                <w:color w:val="auto"/>
                <w:sz w:val="15"/>
                <w:szCs w:val="15"/>
              </w:rPr>
              <w:t>持股数量（股）</w:t>
            </w:r>
          </w:p>
        </w:tc>
        <w:tc>
          <w:tcPr>
            <w:tcW w:w="730" w:type="dxa"/>
            <w:vMerge w:val="restart"/>
            <w:vAlign w:val="center"/>
          </w:tcPr>
          <w:p w14:paraId="167BBF83">
            <w:pPr>
              <w:pStyle w:val="4"/>
              <w:spacing w:line="500" w:lineRule="exact"/>
              <w:jc w:val="center"/>
              <w:rPr>
                <w:rFonts w:hint="eastAsia" w:ascii="宋体" w:hAnsi="宋体" w:eastAsia="宋体"/>
                <w:color w:val="auto"/>
                <w:sz w:val="15"/>
                <w:szCs w:val="15"/>
              </w:rPr>
            </w:pPr>
            <w:r>
              <w:rPr>
                <w:rFonts w:hint="eastAsia" w:ascii="宋体" w:hAnsi="宋体" w:eastAsia="宋体"/>
                <w:color w:val="auto"/>
                <w:sz w:val="15"/>
                <w:szCs w:val="15"/>
              </w:rPr>
              <w:t>持股比例</w:t>
            </w:r>
          </w:p>
        </w:tc>
        <w:tc>
          <w:tcPr>
            <w:tcW w:w="1091" w:type="dxa"/>
            <w:vMerge w:val="restart"/>
            <w:vAlign w:val="center"/>
          </w:tcPr>
          <w:p w14:paraId="246ED105">
            <w:pPr>
              <w:pStyle w:val="4"/>
              <w:spacing w:line="500" w:lineRule="exact"/>
              <w:jc w:val="center"/>
              <w:rPr>
                <w:rFonts w:hint="eastAsia" w:ascii="宋体" w:hAnsi="宋体" w:eastAsia="宋体"/>
                <w:color w:val="auto"/>
                <w:sz w:val="15"/>
                <w:szCs w:val="15"/>
              </w:rPr>
            </w:pPr>
            <w:r>
              <w:rPr>
                <w:rFonts w:hint="eastAsia" w:ascii="宋体" w:hAnsi="宋体" w:eastAsia="宋体"/>
                <w:color w:val="auto"/>
                <w:sz w:val="15"/>
                <w:szCs w:val="15"/>
              </w:rPr>
              <w:t>本次质押前累计质押数量</w:t>
            </w:r>
          </w:p>
        </w:tc>
        <w:tc>
          <w:tcPr>
            <w:tcW w:w="1059" w:type="dxa"/>
            <w:vMerge w:val="restart"/>
            <w:vAlign w:val="center"/>
          </w:tcPr>
          <w:p w14:paraId="4A556AC8">
            <w:pPr>
              <w:pStyle w:val="4"/>
              <w:spacing w:line="500" w:lineRule="exact"/>
              <w:jc w:val="center"/>
              <w:rPr>
                <w:rFonts w:hint="eastAsia" w:ascii="宋体" w:hAnsi="宋体" w:eastAsia="宋体"/>
                <w:color w:val="auto"/>
                <w:sz w:val="15"/>
                <w:szCs w:val="15"/>
              </w:rPr>
            </w:pPr>
            <w:r>
              <w:rPr>
                <w:rFonts w:hint="eastAsia" w:ascii="宋体" w:hAnsi="宋体" w:eastAsia="宋体"/>
                <w:color w:val="auto"/>
                <w:sz w:val="15"/>
                <w:szCs w:val="15"/>
              </w:rPr>
              <w:t>本次质押后累计质押数量</w:t>
            </w:r>
          </w:p>
        </w:tc>
        <w:tc>
          <w:tcPr>
            <w:tcW w:w="701" w:type="dxa"/>
            <w:vMerge w:val="restart"/>
            <w:vAlign w:val="center"/>
          </w:tcPr>
          <w:p w14:paraId="49EE5CD0">
            <w:pPr>
              <w:pStyle w:val="4"/>
              <w:spacing w:line="500" w:lineRule="exact"/>
              <w:jc w:val="center"/>
              <w:rPr>
                <w:rFonts w:hint="eastAsia" w:ascii="宋体" w:hAnsi="宋体" w:eastAsia="宋体"/>
                <w:color w:val="auto"/>
                <w:sz w:val="15"/>
                <w:szCs w:val="15"/>
              </w:rPr>
            </w:pPr>
            <w:r>
              <w:rPr>
                <w:rFonts w:hint="eastAsia" w:ascii="宋体" w:hAnsi="宋体" w:eastAsia="宋体"/>
                <w:color w:val="auto"/>
                <w:sz w:val="15"/>
                <w:szCs w:val="15"/>
              </w:rPr>
              <w:t>占其所持股份比例</w:t>
            </w:r>
          </w:p>
        </w:tc>
        <w:tc>
          <w:tcPr>
            <w:tcW w:w="676" w:type="dxa"/>
            <w:vMerge w:val="restart"/>
            <w:vAlign w:val="center"/>
          </w:tcPr>
          <w:p w14:paraId="586B6F74">
            <w:pPr>
              <w:pStyle w:val="4"/>
              <w:spacing w:line="500" w:lineRule="exact"/>
              <w:jc w:val="center"/>
              <w:rPr>
                <w:rFonts w:hint="eastAsia" w:ascii="宋体" w:hAnsi="宋体" w:eastAsia="宋体"/>
                <w:color w:val="auto"/>
                <w:sz w:val="15"/>
                <w:szCs w:val="15"/>
              </w:rPr>
            </w:pPr>
            <w:r>
              <w:rPr>
                <w:rFonts w:hint="eastAsia" w:ascii="宋体" w:hAnsi="宋体" w:eastAsia="宋体"/>
                <w:color w:val="auto"/>
                <w:sz w:val="15"/>
                <w:szCs w:val="15"/>
              </w:rPr>
              <w:t>占公司总股本比例</w:t>
            </w:r>
          </w:p>
        </w:tc>
        <w:tc>
          <w:tcPr>
            <w:tcW w:w="1964" w:type="dxa"/>
            <w:gridSpan w:val="2"/>
            <w:vAlign w:val="center"/>
          </w:tcPr>
          <w:p w14:paraId="2C9F9174">
            <w:pPr>
              <w:pStyle w:val="4"/>
              <w:spacing w:line="500" w:lineRule="exact"/>
              <w:jc w:val="center"/>
              <w:rPr>
                <w:rFonts w:hint="eastAsia" w:ascii="宋体" w:hAnsi="宋体" w:eastAsia="宋体"/>
                <w:color w:val="auto"/>
                <w:sz w:val="15"/>
                <w:szCs w:val="15"/>
              </w:rPr>
            </w:pPr>
            <w:r>
              <w:rPr>
                <w:rFonts w:hint="eastAsia" w:ascii="宋体" w:hAnsi="宋体" w:eastAsia="宋体"/>
                <w:color w:val="auto"/>
                <w:sz w:val="15"/>
                <w:szCs w:val="15"/>
              </w:rPr>
              <w:t>已质押股份情况</w:t>
            </w:r>
          </w:p>
        </w:tc>
        <w:tc>
          <w:tcPr>
            <w:tcW w:w="2024" w:type="dxa"/>
            <w:gridSpan w:val="2"/>
            <w:vAlign w:val="center"/>
          </w:tcPr>
          <w:p w14:paraId="009BE098">
            <w:pPr>
              <w:pStyle w:val="4"/>
              <w:spacing w:line="500" w:lineRule="exact"/>
              <w:jc w:val="center"/>
              <w:rPr>
                <w:rFonts w:hint="eastAsia" w:ascii="宋体" w:hAnsi="宋体" w:eastAsia="宋体"/>
                <w:color w:val="auto"/>
                <w:sz w:val="15"/>
                <w:szCs w:val="15"/>
              </w:rPr>
            </w:pPr>
            <w:r>
              <w:rPr>
                <w:rFonts w:hint="eastAsia" w:ascii="宋体" w:hAnsi="宋体" w:eastAsia="宋体"/>
                <w:color w:val="auto"/>
                <w:sz w:val="15"/>
                <w:szCs w:val="15"/>
              </w:rPr>
              <w:t>未质押股份情况</w:t>
            </w:r>
          </w:p>
        </w:tc>
      </w:tr>
      <w:tr w14:paraId="79CF5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trPr>
        <w:tc>
          <w:tcPr>
            <w:tcW w:w="1613" w:type="dxa"/>
            <w:vMerge w:val="continue"/>
            <w:vAlign w:val="center"/>
          </w:tcPr>
          <w:p w14:paraId="66B67531">
            <w:pPr>
              <w:pStyle w:val="4"/>
              <w:spacing w:line="500" w:lineRule="exact"/>
              <w:jc w:val="center"/>
              <w:rPr>
                <w:rFonts w:hint="eastAsia" w:ascii="宋体" w:hAnsi="宋体" w:eastAsia="宋体"/>
                <w:color w:val="auto"/>
                <w:sz w:val="15"/>
                <w:szCs w:val="15"/>
              </w:rPr>
            </w:pPr>
          </w:p>
        </w:tc>
        <w:tc>
          <w:tcPr>
            <w:tcW w:w="1146" w:type="dxa"/>
            <w:vMerge w:val="continue"/>
            <w:vAlign w:val="center"/>
          </w:tcPr>
          <w:p w14:paraId="00BAD569">
            <w:pPr>
              <w:pStyle w:val="4"/>
              <w:spacing w:line="500" w:lineRule="exact"/>
              <w:jc w:val="center"/>
              <w:rPr>
                <w:rFonts w:hint="eastAsia" w:ascii="宋体" w:hAnsi="宋体" w:eastAsia="宋体"/>
                <w:color w:val="auto"/>
                <w:sz w:val="15"/>
                <w:szCs w:val="15"/>
              </w:rPr>
            </w:pPr>
          </w:p>
        </w:tc>
        <w:tc>
          <w:tcPr>
            <w:tcW w:w="730" w:type="dxa"/>
            <w:vMerge w:val="continue"/>
            <w:vAlign w:val="center"/>
          </w:tcPr>
          <w:p w14:paraId="1A99D33F">
            <w:pPr>
              <w:pStyle w:val="4"/>
              <w:spacing w:line="500" w:lineRule="exact"/>
              <w:jc w:val="center"/>
              <w:rPr>
                <w:rFonts w:hint="eastAsia" w:ascii="宋体" w:hAnsi="宋体" w:eastAsia="宋体"/>
                <w:color w:val="auto"/>
                <w:sz w:val="15"/>
                <w:szCs w:val="15"/>
              </w:rPr>
            </w:pPr>
          </w:p>
        </w:tc>
        <w:tc>
          <w:tcPr>
            <w:tcW w:w="1091" w:type="dxa"/>
            <w:vMerge w:val="continue"/>
            <w:vAlign w:val="center"/>
          </w:tcPr>
          <w:p w14:paraId="1A49D0E9">
            <w:pPr>
              <w:pStyle w:val="4"/>
              <w:spacing w:line="500" w:lineRule="exact"/>
              <w:jc w:val="center"/>
              <w:rPr>
                <w:rFonts w:hint="eastAsia" w:ascii="宋体" w:hAnsi="宋体" w:eastAsia="宋体"/>
                <w:color w:val="auto"/>
                <w:sz w:val="15"/>
                <w:szCs w:val="15"/>
              </w:rPr>
            </w:pPr>
          </w:p>
        </w:tc>
        <w:tc>
          <w:tcPr>
            <w:tcW w:w="1059" w:type="dxa"/>
            <w:vMerge w:val="continue"/>
            <w:vAlign w:val="center"/>
          </w:tcPr>
          <w:p w14:paraId="1CE04264">
            <w:pPr>
              <w:pStyle w:val="4"/>
              <w:spacing w:line="500" w:lineRule="exact"/>
              <w:jc w:val="center"/>
              <w:rPr>
                <w:rFonts w:hint="eastAsia" w:ascii="宋体" w:hAnsi="宋体" w:eastAsia="宋体"/>
                <w:color w:val="auto"/>
                <w:sz w:val="15"/>
                <w:szCs w:val="15"/>
              </w:rPr>
            </w:pPr>
          </w:p>
        </w:tc>
        <w:tc>
          <w:tcPr>
            <w:tcW w:w="701" w:type="dxa"/>
            <w:vMerge w:val="continue"/>
            <w:vAlign w:val="center"/>
          </w:tcPr>
          <w:p w14:paraId="625FB9F3">
            <w:pPr>
              <w:pStyle w:val="4"/>
              <w:spacing w:line="500" w:lineRule="exact"/>
              <w:jc w:val="center"/>
              <w:rPr>
                <w:rFonts w:hint="eastAsia" w:ascii="宋体" w:hAnsi="宋体" w:eastAsia="宋体"/>
                <w:color w:val="auto"/>
                <w:sz w:val="15"/>
                <w:szCs w:val="15"/>
              </w:rPr>
            </w:pPr>
          </w:p>
        </w:tc>
        <w:tc>
          <w:tcPr>
            <w:tcW w:w="676" w:type="dxa"/>
            <w:vMerge w:val="continue"/>
            <w:vAlign w:val="center"/>
          </w:tcPr>
          <w:p w14:paraId="0D6D89A4">
            <w:pPr>
              <w:pStyle w:val="4"/>
              <w:spacing w:line="500" w:lineRule="exact"/>
              <w:jc w:val="center"/>
              <w:rPr>
                <w:rFonts w:hint="eastAsia" w:ascii="宋体" w:hAnsi="宋体" w:eastAsia="宋体"/>
                <w:color w:val="auto"/>
                <w:sz w:val="15"/>
                <w:szCs w:val="15"/>
              </w:rPr>
            </w:pPr>
          </w:p>
        </w:tc>
        <w:tc>
          <w:tcPr>
            <w:tcW w:w="993" w:type="dxa"/>
            <w:vAlign w:val="center"/>
          </w:tcPr>
          <w:p w14:paraId="3E461904">
            <w:pPr>
              <w:pStyle w:val="4"/>
              <w:spacing w:line="500" w:lineRule="exact"/>
              <w:jc w:val="center"/>
              <w:rPr>
                <w:rFonts w:hint="eastAsia" w:ascii="宋体" w:hAnsi="宋体" w:eastAsia="宋体"/>
                <w:color w:val="auto"/>
                <w:sz w:val="15"/>
                <w:szCs w:val="15"/>
              </w:rPr>
            </w:pPr>
            <w:r>
              <w:rPr>
                <w:rFonts w:hint="eastAsia" w:ascii="宋体" w:hAnsi="宋体" w:eastAsia="宋体"/>
                <w:color w:val="auto"/>
                <w:sz w:val="15"/>
                <w:szCs w:val="15"/>
              </w:rPr>
              <w:t>已质押股份中限售股份数量（股）</w:t>
            </w:r>
          </w:p>
        </w:tc>
        <w:tc>
          <w:tcPr>
            <w:tcW w:w="971" w:type="dxa"/>
            <w:vAlign w:val="center"/>
          </w:tcPr>
          <w:p w14:paraId="223A9063">
            <w:pPr>
              <w:pStyle w:val="4"/>
              <w:spacing w:line="500" w:lineRule="exact"/>
              <w:jc w:val="center"/>
              <w:rPr>
                <w:rFonts w:hint="eastAsia" w:ascii="宋体" w:hAnsi="宋体" w:eastAsia="宋体"/>
                <w:color w:val="auto"/>
                <w:sz w:val="15"/>
                <w:szCs w:val="15"/>
              </w:rPr>
            </w:pPr>
            <w:r>
              <w:rPr>
                <w:rFonts w:hint="eastAsia" w:ascii="宋体" w:hAnsi="宋体" w:eastAsia="宋体"/>
                <w:color w:val="auto"/>
                <w:sz w:val="15"/>
                <w:szCs w:val="15"/>
              </w:rPr>
              <w:t>已质押股份中冻结股份数量（股）</w:t>
            </w:r>
          </w:p>
        </w:tc>
        <w:tc>
          <w:tcPr>
            <w:tcW w:w="1025" w:type="dxa"/>
            <w:vAlign w:val="center"/>
          </w:tcPr>
          <w:p w14:paraId="3BC1E8F4">
            <w:pPr>
              <w:pStyle w:val="4"/>
              <w:spacing w:line="500" w:lineRule="exact"/>
              <w:jc w:val="center"/>
              <w:rPr>
                <w:rFonts w:hint="eastAsia" w:ascii="宋体" w:hAnsi="宋体" w:eastAsia="宋体"/>
                <w:color w:val="auto"/>
                <w:sz w:val="15"/>
                <w:szCs w:val="15"/>
              </w:rPr>
            </w:pPr>
            <w:r>
              <w:rPr>
                <w:rFonts w:hint="eastAsia" w:ascii="宋体" w:hAnsi="宋体" w:eastAsia="宋体"/>
                <w:color w:val="auto"/>
                <w:sz w:val="15"/>
                <w:szCs w:val="15"/>
              </w:rPr>
              <w:t>未质押股份中限售股份数量（股）</w:t>
            </w:r>
          </w:p>
        </w:tc>
        <w:tc>
          <w:tcPr>
            <w:tcW w:w="999" w:type="dxa"/>
          </w:tcPr>
          <w:p w14:paraId="19129AF4">
            <w:pPr>
              <w:pStyle w:val="4"/>
              <w:spacing w:line="500" w:lineRule="exact"/>
              <w:jc w:val="center"/>
              <w:rPr>
                <w:rFonts w:hint="eastAsia" w:ascii="宋体" w:hAnsi="宋体" w:eastAsia="宋体"/>
                <w:color w:val="auto"/>
                <w:sz w:val="15"/>
                <w:szCs w:val="15"/>
              </w:rPr>
            </w:pPr>
            <w:r>
              <w:rPr>
                <w:rFonts w:hint="eastAsia" w:ascii="宋体" w:hAnsi="宋体" w:eastAsia="宋体"/>
                <w:color w:val="auto"/>
                <w:sz w:val="15"/>
                <w:szCs w:val="15"/>
              </w:rPr>
              <w:t>未质押股份中冻结股份数量（股）</w:t>
            </w:r>
          </w:p>
        </w:tc>
      </w:tr>
      <w:tr w14:paraId="03C56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3" w:type="dxa"/>
          </w:tcPr>
          <w:p w14:paraId="21AE9CC8">
            <w:pPr>
              <w:pStyle w:val="4"/>
              <w:spacing w:line="500" w:lineRule="exact"/>
              <w:jc w:val="center"/>
              <w:rPr>
                <w:rFonts w:hint="eastAsia" w:ascii="宋体" w:hAnsi="宋体" w:eastAsia="宋体"/>
                <w:color w:val="auto"/>
                <w:sz w:val="15"/>
                <w:szCs w:val="15"/>
              </w:rPr>
            </w:pPr>
            <w:r>
              <w:rPr>
                <w:rFonts w:hint="eastAsia" w:ascii="宋体" w:hAnsi="宋体" w:eastAsia="宋体"/>
                <w:color w:val="auto"/>
                <w:sz w:val="15"/>
                <w:szCs w:val="15"/>
              </w:rPr>
              <w:t>好当家集团有限公司</w:t>
            </w:r>
          </w:p>
        </w:tc>
        <w:tc>
          <w:tcPr>
            <w:tcW w:w="1146" w:type="dxa"/>
          </w:tcPr>
          <w:p w14:paraId="42C17069">
            <w:pPr>
              <w:pStyle w:val="4"/>
              <w:spacing w:line="500" w:lineRule="exact"/>
              <w:jc w:val="center"/>
              <w:rPr>
                <w:rFonts w:hint="eastAsia" w:ascii="宋体" w:hAnsi="宋体" w:eastAsia="宋体"/>
                <w:color w:val="auto"/>
                <w:sz w:val="15"/>
                <w:szCs w:val="15"/>
                <w:highlight w:val="none"/>
              </w:rPr>
            </w:pPr>
            <w:r>
              <w:rPr>
                <w:rFonts w:ascii="宋体" w:hAnsi="宋体" w:eastAsia="宋体"/>
                <w:color w:val="auto"/>
                <w:sz w:val="15"/>
                <w:szCs w:val="15"/>
                <w:highlight w:val="none"/>
              </w:rPr>
              <w:t>5</w:t>
            </w:r>
            <w:r>
              <w:rPr>
                <w:rFonts w:hint="eastAsia" w:ascii="宋体" w:hAnsi="宋体" w:eastAsia="宋体"/>
                <w:color w:val="auto"/>
                <w:sz w:val="15"/>
                <w:szCs w:val="15"/>
                <w:highlight w:val="none"/>
                <w:lang w:val="en-US" w:eastAsia="zh-CN"/>
              </w:rPr>
              <w:t>34</w:t>
            </w:r>
            <w:r>
              <w:rPr>
                <w:rFonts w:ascii="宋体" w:hAnsi="宋体" w:eastAsia="宋体"/>
                <w:color w:val="auto"/>
                <w:sz w:val="15"/>
                <w:szCs w:val="15"/>
                <w:highlight w:val="none"/>
              </w:rPr>
              <w:t>,</w:t>
            </w:r>
            <w:r>
              <w:rPr>
                <w:rFonts w:hint="eastAsia" w:ascii="宋体" w:hAnsi="宋体" w:eastAsia="宋体"/>
                <w:color w:val="auto"/>
                <w:sz w:val="15"/>
                <w:szCs w:val="15"/>
                <w:highlight w:val="none"/>
                <w:lang w:val="en-US" w:eastAsia="zh-CN"/>
              </w:rPr>
              <w:t>950</w:t>
            </w:r>
            <w:r>
              <w:rPr>
                <w:rFonts w:ascii="宋体" w:hAnsi="宋体" w:eastAsia="宋体"/>
                <w:color w:val="auto"/>
                <w:sz w:val="15"/>
                <w:szCs w:val="15"/>
                <w:highlight w:val="none"/>
              </w:rPr>
              <w:t>,</w:t>
            </w:r>
            <w:r>
              <w:rPr>
                <w:rFonts w:hint="eastAsia" w:ascii="宋体" w:hAnsi="宋体" w:eastAsia="宋体"/>
                <w:color w:val="auto"/>
                <w:sz w:val="15"/>
                <w:szCs w:val="15"/>
                <w:highlight w:val="none"/>
                <w:lang w:val="en-US" w:eastAsia="zh-CN"/>
              </w:rPr>
              <w:t>9</w:t>
            </w:r>
            <w:r>
              <w:rPr>
                <w:rFonts w:hint="eastAsia" w:ascii="宋体" w:hAnsi="宋体" w:eastAsia="宋体"/>
                <w:color w:val="auto"/>
                <w:sz w:val="15"/>
                <w:szCs w:val="15"/>
                <w:highlight w:val="none"/>
              </w:rPr>
              <w:t>90</w:t>
            </w:r>
          </w:p>
        </w:tc>
        <w:tc>
          <w:tcPr>
            <w:tcW w:w="730" w:type="dxa"/>
          </w:tcPr>
          <w:p w14:paraId="12023820">
            <w:pPr>
              <w:pStyle w:val="4"/>
              <w:spacing w:line="500" w:lineRule="exact"/>
              <w:jc w:val="center"/>
              <w:rPr>
                <w:rFonts w:hint="eastAsia" w:ascii="宋体" w:hAnsi="宋体" w:eastAsia="宋体"/>
                <w:color w:val="auto"/>
                <w:sz w:val="15"/>
                <w:szCs w:val="15"/>
                <w:highlight w:val="none"/>
              </w:rPr>
            </w:pPr>
            <w:r>
              <w:rPr>
                <w:rFonts w:ascii="宋体" w:hAnsi="宋体" w:eastAsia="宋体"/>
                <w:color w:val="auto"/>
                <w:sz w:val="15"/>
                <w:szCs w:val="15"/>
                <w:highlight w:val="none"/>
              </w:rPr>
              <w:t>3</w:t>
            </w:r>
            <w:r>
              <w:rPr>
                <w:rFonts w:hint="eastAsia" w:ascii="宋体" w:hAnsi="宋体" w:eastAsia="宋体"/>
                <w:color w:val="auto"/>
                <w:sz w:val="15"/>
                <w:szCs w:val="15"/>
                <w:highlight w:val="none"/>
                <w:lang w:val="en-US" w:eastAsia="zh-CN"/>
              </w:rPr>
              <w:t>6</w:t>
            </w:r>
            <w:r>
              <w:rPr>
                <w:rFonts w:ascii="宋体" w:hAnsi="宋体" w:eastAsia="宋体"/>
                <w:color w:val="auto"/>
                <w:sz w:val="15"/>
                <w:szCs w:val="15"/>
                <w:highlight w:val="none"/>
              </w:rPr>
              <w:t>.</w:t>
            </w:r>
            <w:r>
              <w:rPr>
                <w:rFonts w:hint="eastAsia" w:ascii="宋体" w:hAnsi="宋体" w:eastAsia="宋体"/>
                <w:color w:val="auto"/>
                <w:sz w:val="15"/>
                <w:szCs w:val="15"/>
                <w:highlight w:val="none"/>
                <w:lang w:val="en-US" w:eastAsia="zh-CN"/>
              </w:rPr>
              <w:t>62</w:t>
            </w:r>
            <w:r>
              <w:rPr>
                <w:rFonts w:hint="eastAsia" w:ascii="宋体" w:hAnsi="宋体" w:eastAsia="宋体"/>
                <w:color w:val="auto"/>
                <w:sz w:val="15"/>
                <w:szCs w:val="15"/>
                <w:highlight w:val="none"/>
              </w:rPr>
              <w:t>%</w:t>
            </w:r>
          </w:p>
        </w:tc>
        <w:tc>
          <w:tcPr>
            <w:tcW w:w="1091" w:type="dxa"/>
          </w:tcPr>
          <w:p w14:paraId="7A2FDE24">
            <w:pPr>
              <w:pStyle w:val="4"/>
              <w:spacing w:line="500" w:lineRule="exact"/>
              <w:jc w:val="center"/>
              <w:rPr>
                <w:rFonts w:hint="eastAsia"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269</w:t>
            </w:r>
            <w:r>
              <w:rPr>
                <w:rFonts w:hint="eastAsia" w:ascii="宋体" w:hAnsi="宋体" w:eastAsia="宋体"/>
                <w:color w:val="auto"/>
                <w:sz w:val="15"/>
                <w:szCs w:val="15"/>
                <w:highlight w:val="none"/>
              </w:rPr>
              <w:t>,</w:t>
            </w:r>
            <w:r>
              <w:rPr>
                <w:rFonts w:hint="eastAsia" w:ascii="宋体" w:hAnsi="宋体" w:eastAsia="宋体"/>
                <w:color w:val="auto"/>
                <w:sz w:val="15"/>
                <w:szCs w:val="15"/>
                <w:highlight w:val="none"/>
                <w:lang w:val="en-US" w:eastAsia="zh-CN"/>
              </w:rPr>
              <w:t>4</w:t>
            </w:r>
            <w:r>
              <w:rPr>
                <w:rFonts w:hint="eastAsia" w:ascii="宋体" w:hAnsi="宋体" w:eastAsia="宋体"/>
                <w:color w:val="auto"/>
                <w:sz w:val="15"/>
                <w:szCs w:val="15"/>
                <w:highlight w:val="none"/>
              </w:rPr>
              <w:t>41,400</w:t>
            </w:r>
          </w:p>
        </w:tc>
        <w:tc>
          <w:tcPr>
            <w:tcW w:w="1059" w:type="dxa"/>
          </w:tcPr>
          <w:p w14:paraId="196A05F7">
            <w:pPr>
              <w:pStyle w:val="4"/>
              <w:spacing w:line="500" w:lineRule="exact"/>
              <w:jc w:val="center"/>
              <w:rPr>
                <w:rFonts w:hint="eastAsia" w:ascii="宋体" w:hAnsi="宋体" w:eastAsia="宋体"/>
                <w:color w:val="auto"/>
                <w:sz w:val="15"/>
                <w:szCs w:val="15"/>
                <w:highlight w:val="none"/>
              </w:rPr>
            </w:pPr>
            <w:r>
              <w:rPr>
                <w:rFonts w:hint="eastAsia" w:ascii="宋体" w:hAnsi="宋体" w:eastAsia="宋体"/>
                <w:color w:val="auto"/>
                <w:sz w:val="15"/>
                <w:szCs w:val="15"/>
                <w:highlight w:val="none"/>
              </w:rPr>
              <w:t>3</w:t>
            </w:r>
            <w:r>
              <w:rPr>
                <w:rFonts w:hint="eastAsia" w:ascii="宋体" w:hAnsi="宋体" w:eastAsia="宋体"/>
                <w:color w:val="auto"/>
                <w:sz w:val="15"/>
                <w:szCs w:val="15"/>
                <w:highlight w:val="none"/>
                <w:lang w:val="en-US" w:eastAsia="zh-CN"/>
              </w:rPr>
              <w:t>14</w:t>
            </w:r>
            <w:r>
              <w:rPr>
                <w:rFonts w:ascii="宋体" w:hAnsi="宋体" w:eastAsia="宋体"/>
                <w:color w:val="auto"/>
                <w:sz w:val="15"/>
                <w:szCs w:val="15"/>
                <w:highlight w:val="none"/>
              </w:rPr>
              <w:t>,</w:t>
            </w:r>
            <w:r>
              <w:rPr>
                <w:rFonts w:hint="eastAsia" w:ascii="宋体" w:hAnsi="宋体" w:eastAsia="宋体"/>
                <w:color w:val="auto"/>
                <w:sz w:val="15"/>
                <w:szCs w:val="15"/>
                <w:highlight w:val="none"/>
                <w:lang w:val="en-US" w:eastAsia="zh-CN"/>
              </w:rPr>
              <w:t>4</w:t>
            </w:r>
            <w:r>
              <w:rPr>
                <w:rFonts w:hint="eastAsia" w:ascii="宋体" w:hAnsi="宋体" w:eastAsia="宋体"/>
                <w:color w:val="auto"/>
                <w:sz w:val="15"/>
                <w:szCs w:val="15"/>
                <w:highlight w:val="none"/>
              </w:rPr>
              <w:t>41</w:t>
            </w:r>
            <w:r>
              <w:rPr>
                <w:rFonts w:ascii="宋体" w:hAnsi="宋体" w:eastAsia="宋体"/>
                <w:color w:val="auto"/>
                <w:sz w:val="15"/>
                <w:szCs w:val="15"/>
                <w:highlight w:val="none"/>
              </w:rPr>
              <w:t>,</w:t>
            </w:r>
            <w:r>
              <w:rPr>
                <w:rFonts w:hint="eastAsia" w:ascii="宋体" w:hAnsi="宋体" w:eastAsia="宋体"/>
                <w:color w:val="auto"/>
                <w:sz w:val="15"/>
                <w:szCs w:val="15"/>
                <w:highlight w:val="none"/>
              </w:rPr>
              <w:t>400</w:t>
            </w:r>
          </w:p>
        </w:tc>
        <w:tc>
          <w:tcPr>
            <w:tcW w:w="701" w:type="dxa"/>
          </w:tcPr>
          <w:p w14:paraId="13738403">
            <w:pPr>
              <w:pStyle w:val="4"/>
              <w:spacing w:line="500" w:lineRule="exact"/>
              <w:jc w:val="center"/>
              <w:rPr>
                <w:rFonts w:hint="eastAsia"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58</w:t>
            </w:r>
            <w:r>
              <w:rPr>
                <w:rFonts w:hint="eastAsia" w:ascii="宋体" w:hAnsi="宋体" w:eastAsia="宋体"/>
                <w:color w:val="auto"/>
                <w:sz w:val="15"/>
                <w:szCs w:val="15"/>
                <w:highlight w:val="none"/>
              </w:rPr>
              <w:t>.</w:t>
            </w:r>
            <w:r>
              <w:rPr>
                <w:rFonts w:hint="eastAsia" w:ascii="宋体" w:hAnsi="宋体" w:eastAsia="宋体"/>
                <w:color w:val="auto"/>
                <w:sz w:val="15"/>
                <w:szCs w:val="15"/>
                <w:highlight w:val="none"/>
                <w:lang w:val="en-US" w:eastAsia="zh-CN"/>
              </w:rPr>
              <w:t>78</w:t>
            </w:r>
            <w:r>
              <w:rPr>
                <w:rFonts w:ascii="宋体" w:hAnsi="宋体" w:eastAsia="宋体"/>
                <w:color w:val="auto"/>
                <w:sz w:val="15"/>
                <w:szCs w:val="15"/>
                <w:highlight w:val="none"/>
              </w:rPr>
              <w:t>%</w:t>
            </w:r>
          </w:p>
        </w:tc>
        <w:tc>
          <w:tcPr>
            <w:tcW w:w="676" w:type="dxa"/>
          </w:tcPr>
          <w:p w14:paraId="519C322B">
            <w:pPr>
              <w:pStyle w:val="4"/>
              <w:spacing w:line="500" w:lineRule="exact"/>
              <w:jc w:val="center"/>
              <w:rPr>
                <w:rFonts w:hint="eastAsia" w:ascii="宋体" w:hAnsi="宋体" w:eastAsia="宋体"/>
                <w:color w:val="auto"/>
                <w:sz w:val="15"/>
                <w:szCs w:val="15"/>
                <w:highlight w:val="none"/>
              </w:rPr>
            </w:pPr>
            <w:r>
              <w:rPr>
                <w:rFonts w:hint="eastAsia" w:ascii="宋体" w:hAnsi="宋体" w:eastAsia="宋体"/>
                <w:color w:val="auto"/>
                <w:sz w:val="15"/>
                <w:szCs w:val="15"/>
                <w:highlight w:val="none"/>
              </w:rPr>
              <w:t>2</w:t>
            </w: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w:t>
            </w:r>
            <w:r>
              <w:rPr>
                <w:rFonts w:hint="eastAsia" w:ascii="宋体" w:hAnsi="宋体" w:eastAsia="宋体"/>
                <w:color w:val="auto"/>
                <w:sz w:val="15"/>
                <w:szCs w:val="15"/>
                <w:highlight w:val="none"/>
                <w:lang w:val="en-US" w:eastAsia="zh-CN"/>
              </w:rPr>
              <w:t>52</w:t>
            </w:r>
            <w:r>
              <w:rPr>
                <w:rFonts w:ascii="宋体" w:hAnsi="宋体" w:eastAsia="宋体"/>
                <w:color w:val="auto"/>
                <w:sz w:val="15"/>
                <w:szCs w:val="15"/>
                <w:highlight w:val="none"/>
              </w:rPr>
              <w:t>%</w:t>
            </w:r>
          </w:p>
        </w:tc>
        <w:tc>
          <w:tcPr>
            <w:tcW w:w="993" w:type="dxa"/>
          </w:tcPr>
          <w:p w14:paraId="703D759B">
            <w:pPr>
              <w:pStyle w:val="4"/>
              <w:spacing w:line="500" w:lineRule="exact"/>
              <w:jc w:val="center"/>
              <w:rPr>
                <w:rFonts w:hint="eastAsia" w:ascii="宋体" w:hAnsi="宋体" w:eastAsia="宋体"/>
                <w:color w:val="auto"/>
                <w:sz w:val="15"/>
                <w:szCs w:val="15"/>
              </w:rPr>
            </w:pPr>
            <w:r>
              <w:rPr>
                <w:rFonts w:hint="eastAsia" w:ascii="宋体" w:hAnsi="宋体" w:eastAsia="宋体"/>
                <w:color w:val="auto"/>
                <w:sz w:val="15"/>
                <w:szCs w:val="15"/>
              </w:rPr>
              <w:t>0</w:t>
            </w:r>
          </w:p>
        </w:tc>
        <w:tc>
          <w:tcPr>
            <w:tcW w:w="971" w:type="dxa"/>
          </w:tcPr>
          <w:p w14:paraId="00D5C149">
            <w:pPr>
              <w:pStyle w:val="4"/>
              <w:spacing w:line="500" w:lineRule="exact"/>
              <w:jc w:val="center"/>
              <w:rPr>
                <w:rFonts w:hint="eastAsia" w:ascii="宋体" w:hAnsi="宋体" w:eastAsia="宋体"/>
                <w:color w:val="auto"/>
                <w:sz w:val="15"/>
                <w:szCs w:val="15"/>
              </w:rPr>
            </w:pPr>
            <w:r>
              <w:rPr>
                <w:rFonts w:hint="eastAsia" w:ascii="宋体" w:hAnsi="宋体" w:eastAsia="宋体"/>
                <w:color w:val="auto"/>
                <w:sz w:val="15"/>
                <w:szCs w:val="15"/>
              </w:rPr>
              <w:t>0</w:t>
            </w:r>
          </w:p>
        </w:tc>
        <w:tc>
          <w:tcPr>
            <w:tcW w:w="1025" w:type="dxa"/>
          </w:tcPr>
          <w:p w14:paraId="2364B84E">
            <w:pPr>
              <w:pStyle w:val="4"/>
              <w:spacing w:line="500" w:lineRule="exact"/>
              <w:jc w:val="center"/>
              <w:rPr>
                <w:rFonts w:hint="eastAsia" w:ascii="宋体" w:hAnsi="宋体" w:eastAsia="宋体"/>
                <w:color w:val="auto"/>
                <w:sz w:val="15"/>
                <w:szCs w:val="15"/>
              </w:rPr>
            </w:pPr>
            <w:r>
              <w:rPr>
                <w:rFonts w:hint="eastAsia" w:ascii="宋体" w:hAnsi="宋体" w:eastAsia="宋体"/>
                <w:color w:val="auto"/>
                <w:sz w:val="15"/>
                <w:szCs w:val="15"/>
              </w:rPr>
              <w:t>0</w:t>
            </w:r>
          </w:p>
        </w:tc>
        <w:tc>
          <w:tcPr>
            <w:tcW w:w="999" w:type="dxa"/>
          </w:tcPr>
          <w:p w14:paraId="69FF574F">
            <w:pPr>
              <w:pStyle w:val="4"/>
              <w:spacing w:line="500" w:lineRule="exact"/>
              <w:jc w:val="center"/>
              <w:rPr>
                <w:rFonts w:hint="eastAsia" w:ascii="宋体" w:hAnsi="宋体" w:eastAsia="宋体"/>
                <w:color w:val="auto"/>
                <w:sz w:val="15"/>
                <w:szCs w:val="15"/>
              </w:rPr>
            </w:pPr>
            <w:r>
              <w:rPr>
                <w:rFonts w:hint="eastAsia" w:ascii="宋体" w:hAnsi="宋体" w:eastAsia="宋体"/>
                <w:color w:val="auto"/>
                <w:sz w:val="15"/>
                <w:szCs w:val="15"/>
              </w:rPr>
              <w:t>0</w:t>
            </w:r>
          </w:p>
        </w:tc>
      </w:tr>
    </w:tbl>
    <w:p w14:paraId="1E8D8A77">
      <w:pPr>
        <w:pStyle w:val="4"/>
        <w:widowControl w:val="0"/>
        <w:numPr>
          <w:ilvl w:val="0"/>
          <w:numId w:val="0"/>
        </w:numPr>
        <w:autoSpaceDE w:val="0"/>
        <w:autoSpaceDN w:val="0"/>
        <w:adjustRightInd w:val="0"/>
        <w:spacing w:line="500" w:lineRule="exact"/>
        <w:ind w:firstLine="480" w:firstLineChars="200"/>
        <w:rPr>
          <w:rFonts w:hint="eastAsia" w:ascii="宋体" w:hAnsi="宋体" w:eastAsia="宋体"/>
          <w:color w:val="auto"/>
          <w:highlight w:val="none"/>
        </w:rPr>
      </w:pPr>
    </w:p>
    <w:p w14:paraId="219B385C">
      <w:pPr>
        <w:pStyle w:val="4"/>
        <w:widowControl w:val="0"/>
        <w:numPr>
          <w:ilvl w:val="0"/>
          <w:numId w:val="0"/>
        </w:numPr>
        <w:autoSpaceDE w:val="0"/>
        <w:autoSpaceDN w:val="0"/>
        <w:adjustRightInd w:val="0"/>
        <w:spacing w:line="500" w:lineRule="exact"/>
        <w:ind w:firstLine="480" w:firstLineChars="200"/>
        <w:rPr>
          <w:rFonts w:hint="eastAsia" w:ascii="宋体" w:hAnsi="宋体" w:eastAsia="宋体"/>
          <w:color w:val="auto"/>
          <w:highlight w:val="none"/>
        </w:rPr>
      </w:pPr>
    </w:p>
    <w:p w14:paraId="67165B52">
      <w:pPr>
        <w:pStyle w:val="4"/>
        <w:widowControl w:val="0"/>
        <w:numPr>
          <w:ilvl w:val="0"/>
          <w:numId w:val="0"/>
        </w:numPr>
        <w:autoSpaceDE w:val="0"/>
        <w:autoSpaceDN w:val="0"/>
        <w:adjustRightInd w:val="0"/>
        <w:spacing w:line="500" w:lineRule="exact"/>
        <w:ind w:firstLine="420" w:firstLineChars="200"/>
        <w:rPr>
          <w:rFonts w:hint="eastAsia" w:ascii="宋体" w:hAnsi="宋体" w:eastAsia="宋体"/>
          <w:color w:val="auto"/>
          <w:sz w:val="21"/>
          <w:szCs w:val="21"/>
          <w:highlight w:val="none"/>
        </w:rPr>
      </w:pPr>
      <w:r>
        <w:rPr>
          <w:rFonts w:hint="eastAsia" w:ascii="宋体" w:hAnsi="宋体" w:eastAsia="宋体"/>
          <w:color w:val="auto"/>
          <w:sz w:val="21"/>
          <w:szCs w:val="21"/>
          <w:highlight w:val="none"/>
        </w:rPr>
        <w:t>注：上述比例均按照四舍五入保留小数，如有差异系四舍五入的尾差造成。</w:t>
      </w:r>
    </w:p>
    <w:p w14:paraId="086889BC">
      <w:pPr>
        <w:pStyle w:val="4"/>
        <w:widowControl w:val="0"/>
        <w:numPr>
          <w:ilvl w:val="0"/>
          <w:numId w:val="0"/>
        </w:numPr>
        <w:autoSpaceDE w:val="0"/>
        <w:autoSpaceDN w:val="0"/>
        <w:adjustRightInd w:val="0"/>
        <w:spacing w:line="500" w:lineRule="exact"/>
        <w:ind w:left="240" w:leftChars="0"/>
        <w:rPr>
          <w:rFonts w:hint="default" w:ascii="宋体" w:hAnsi="宋体" w:eastAsia="宋体"/>
          <w:b/>
          <w:bCs/>
          <w:color w:val="auto"/>
          <w:highlight w:val="none"/>
          <w:lang w:val="en-US" w:eastAsia="zh-CN"/>
        </w:rPr>
      </w:pPr>
      <w:r>
        <w:rPr>
          <w:rFonts w:hint="eastAsia" w:ascii="宋体" w:hAnsi="宋体" w:eastAsia="宋体"/>
          <w:b/>
          <w:bCs/>
          <w:color w:val="auto"/>
          <w:highlight w:val="none"/>
          <w:lang w:val="en-US" w:eastAsia="zh-CN"/>
        </w:rPr>
        <w:t>二、</w:t>
      </w:r>
      <w:r>
        <w:rPr>
          <w:rFonts w:hint="default" w:ascii="宋体" w:hAnsi="宋体" w:eastAsia="宋体"/>
          <w:b/>
          <w:bCs/>
          <w:color w:val="auto"/>
          <w:highlight w:val="none"/>
          <w:lang w:val="en-US" w:eastAsia="zh-CN"/>
        </w:rPr>
        <w:t>好当家集团预计未来一年内到期的质押股份情况</w:t>
      </w:r>
    </w:p>
    <w:p w14:paraId="72962010">
      <w:pPr>
        <w:pStyle w:val="4"/>
        <w:widowControl w:val="0"/>
        <w:numPr>
          <w:ilvl w:val="0"/>
          <w:numId w:val="0"/>
        </w:numPr>
        <w:autoSpaceDE w:val="0"/>
        <w:autoSpaceDN w:val="0"/>
        <w:adjustRightInd w:val="0"/>
        <w:spacing w:line="500" w:lineRule="exact"/>
        <w:ind w:left="240" w:leftChars="0"/>
        <w:rPr>
          <w:rFonts w:hint="default" w:ascii="宋体" w:hAnsi="宋体" w:eastAsia="宋体"/>
          <w:color w:val="auto"/>
          <w:highlight w:val="none"/>
          <w:lang w:val="en-US" w:eastAsia="zh-CN"/>
        </w:rPr>
      </w:pPr>
      <w:r>
        <w:rPr>
          <w:rFonts w:hint="default" w:ascii="宋体" w:hAnsi="宋体" w:eastAsia="宋体"/>
          <w:color w:val="auto"/>
          <w:highlight w:val="none"/>
          <w:lang w:val="en-US" w:eastAsia="zh-CN"/>
        </w:rPr>
        <w:t>1、好当家集团未来半年到期的质押股份数量为</w:t>
      </w:r>
      <w:r>
        <w:rPr>
          <w:rFonts w:hint="eastAsia" w:ascii="宋体" w:hAnsi="宋体" w:eastAsia="宋体"/>
          <w:color w:val="auto"/>
          <w:highlight w:val="none"/>
          <w:lang w:val="en-US" w:eastAsia="zh-CN"/>
        </w:rPr>
        <w:t>64</w:t>
      </w:r>
      <w:r>
        <w:rPr>
          <w:rFonts w:hint="default" w:ascii="宋体" w:hAnsi="宋体" w:eastAsia="宋体"/>
          <w:color w:val="auto"/>
          <w:highlight w:val="none"/>
          <w:lang w:val="en-US" w:eastAsia="zh-CN"/>
        </w:rPr>
        <w:t>,</w:t>
      </w:r>
      <w:r>
        <w:rPr>
          <w:rFonts w:hint="eastAsia" w:ascii="宋体" w:hAnsi="宋体" w:eastAsia="宋体"/>
          <w:color w:val="auto"/>
          <w:highlight w:val="none"/>
          <w:lang w:val="en-US" w:eastAsia="zh-CN"/>
        </w:rPr>
        <w:t>0</w:t>
      </w:r>
      <w:r>
        <w:rPr>
          <w:rFonts w:hint="default" w:ascii="宋体" w:hAnsi="宋体" w:eastAsia="宋体"/>
          <w:color w:val="auto"/>
          <w:highlight w:val="none"/>
          <w:lang w:val="en-US" w:eastAsia="zh-CN"/>
        </w:rPr>
        <w:t>00,000股，占其所持股份比例</w:t>
      </w:r>
      <w:r>
        <w:rPr>
          <w:rFonts w:hint="eastAsia" w:ascii="宋体" w:hAnsi="宋体" w:eastAsia="宋体"/>
          <w:color w:val="auto"/>
          <w:highlight w:val="none"/>
          <w:lang w:val="en-US" w:eastAsia="zh-CN"/>
        </w:rPr>
        <w:t>11</w:t>
      </w:r>
      <w:r>
        <w:rPr>
          <w:rFonts w:hint="default" w:ascii="宋体" w:hAnsi="宋体" w:eastAsia="宋体"/>
          <w:color w:val="auto"/>
          <w:highlight w:val="none"/>
          <w:lang w:val="en-US" w:eastAsia="zh-CN"/>
        </w:rPr>
        <w:t>.9</w:t>
      </w:r>
      <w:r>
        <w:rPr>
          <w:rFonts w:hint="eastAsia" w:ascii="宋体" w:hAnsi="宋体" w:eastAsia="宋体"/>
          <w:color w:val="auto"/>
          <w:highlight w:val="none"/>
          <w:lang w:val="en-US" w:eastAsia="zh-CN"/>
        </w:rPr>
        <w:t>6</w:t>
      </w:r>
      <w:r>
        <w:rPr>
          <w:rFonts w:hint="default" w:ascii="宋体" w:hAnsi="宋体" w:eastAsia="宋体"/>
          <w:color w:val="auto"/>
          <w:highlight w:val="none"/>
          <w:lang w:val="en-US" w:eastAsia="zh-CN"/>
        </w:rPr>
        <w:t>%，占公司总股本比例</w:t>
      </w:r>
      <w:r>
        <w:rPr>
          <w:rFonts w:hint="eastAsia" w:ascii="宋体" w:hAnsi="宋体" w:eastAsia="宋体"/>
          <w:color w:val="auto"/>
          <w:highlight w:val="none"/>
          <w:lang w:val="en-US" w:eastAsia="zh-CN"/>
        </w:rPr>
        <w:t>4</w:t>
      </w:r>
      <w:r>
        <w:rPr>
          <w:rFonts w:hint="default" w:ascii="宋体" w:hAnsi="宋体" w:eastAsia="宋体"/>
          <w:color w:val="auto"/>
          <w:highlight w:val="none"/>
          <w:lang w:val="en-US" w:eastAsia="zh-CN"/>
        </w:rPr>
        <w:t>.</w:t>
      </w:r>
      <w:r>
        <w:rPr>
          <w:rFonts w:hint="eastAsia" w:ascii="宋体" w:hAnsi="宋体" w:eastAsia="宋体"/>
          <w:color w:val="auto"/>
          <w:highlight w:val="none"/>
          <w:lang w:val="en-US" w:eastAsia="zh-CN"/>
        </w:rPr>
        <w:t>38</w:t>
      </w:r>
      <w:r>
        <w:rPr>
          <w:rFonts w:hint="default" w:ascii="宋体" w:hAnsi="宋体" w:eastAsia="宋体"/>
          <w:color w:val="auto"/>
          <w:highlight w:val="none"/>
          <w:lang w:val="en-US" w:eastAsia="zh-CN"/>
        </w:rPr>
        <w:t>%，对应融资余额为</w:t>
      </w:r>
      <w:r>
        <w:rPr>
          <w:rFonts w:hint="eastAsia" w:ascii="宋体" w:hAnsi="宋体" w:eastAsia="宋体"/>
          <w:color w:val="auto"/>
          <w:highlight w:val="none"/>
          <w:lang w:val="en-US" w:eastAsia="zh-CN"/>
        </w:rPr>
        <w:t>7</w:t>
      </w:r>
      <w:r>
        <w:rPr>
          <w:rFonts w:hint="default" w:ascii="宋体" w:hAnsi="宋体" w:eastAsia="宋体"/>
          <w:color w:val="auto"/>
          <w:highlight w:val="none"/>
          <w:lang w:val="en-US" w:eastAsia="zh-CN"/>
        </w:rPr>
        <w:t>,</w:t>
      </w:r>
      <w:r>
        <w:rPr>
          <w:rFonts w:hint="eastAsia" w:ascii="宋体" w:hAnsi="宋体" w:eastAsia="宋体"/>
          <w:color w:val="auto"/>
          <w:highlight w:val="none"/>
          <w:lang w:val="en-US" w:eastAsia="zh-CN"/>
        </w:rPr>
        <w:t>0</w:t>
      </w:r>
      <w:r>
        <w:rPr>
          <w:rFonts w:hint="default" w:ascii="宋体" w:hAnsi="宋体" w:eastAsia="宋体"/>
          <w:color w:val="auto"/>
          <w:highlight w:val="none"/>
          <w:lang w:val="en-US" w:eastAsia="zh-CN"/>
        </w:rPr>
        <w:t>00万元；未来一年内到期的质押股份数量为</w:t>
      </w:r>
      <w:r>
        <w:rPr>
          <w:rFonts w:hint="eastAsia" w:ascii="宋体" w:hAnsi="宋体" w:eastAsia="宋体"/>
          <w:color w:val="auto"/>
          <w:highlight w:val="none"/>
          <w:lang w:val="en-US" w:eastAsia="zh-CN"/>
        </w:rPr>
        <w:t>15</w:t>
      </w:r>
      <w:r>
        <w:rPr>
          <w:rFonts w:hint="default" w:ascii="宋体" w:hAnsi="宋体" w:eastAsia="宋体"/>
          <w:color w:val="auto"/>
          <w:highlight w:val="none"/>
          <w:lang w:val="en-US" w:eastAsia="zh-CN"/>
        </w:rPr>
        <w:t>7,</w:t>
      </w:r>
      <w:r>
        <w:rPr>
          <w:rFonts w:hint="eastAsia" w:ascii="宋体" w:hAnsi="宋体" w:eastAsia="宋体"/>
          <w:color w:val="auto"/>
          <w:highlight w:val="none"/>
          <w:lang w:val="en-US" w:eastAsia="zh-CN"/>
        </w:rPr>
        <w:t>0</w:t>
      </w:r>
      <w:r>
        <w:rPr>
          <w:rFonts w:hint="default" w:ascii="宋体" w:hAnsi="宋体" w:eastAsia="宋体"/>
          <w:color w:val="auto"/>
          <w:highlight w:val="none"/>
          <w:lang w:val="en-US" w:eastAsia="zh-CN"/>
        </w:rPr>
        <w:t>00,000股，占其所持股份比例</w:t>
      </w:r>
      <w:r>
        <w:rPr>
          <w:rFonts w:hint="eastAsia" w:ascii="宋体" w:hAnsi="宋体" w:eastAsia="宋体"/>
          <w:color w:val="auto"/>
          <w:highlight w:val="none"/>
          <w:lang w:val="en-US" w:eastAsia="zh-CN"/>
        </w:rPr>
        <w:t>29</w:t>
      </w:r>
      <w:r>
        <w:rPr>
          <w:rFonts w:hint="default" w:ascii="宋体" w:hAnsi="宋体" w:eastAsia="宋体"/>
          <w:color w:val="auto"/>
          <w:highlight w:val="none"/>
          <w:lang w:val="en-US" w:eastAsia="zh-CN"/>
        </w:rPr>
        <w:t>.</w:t>
      </w:r>
      <w:r>
        <w:rPr>
          <w:rFonts w:hint="eastAsia" w:ascii="宋体" w:hAnsi="宋体" w:eastAsia="宋体"/>
          <w:color w:val="auto"/>
          <w:highlight w:val="none"/>
          <w:lang w:val="en-US" w:eastAsia="zh-CN"/>
        </w:rPr>
        <w:t>35</w:t>
      </w:r>
      <w:r>
        <w:rPr>
          <w:rFonts w:hint="default" w:ascii="宋体" w:hAnsi="宋体" w:eastAsia="宋体"/>
          <w:color w:val="auto"/>
          <w:highlight w:val="none"/>
          <w:lang w:val="en-US" w:eastAsia="zh-CN"/>
        </w:rPr>
        <w:t>%，占公司总股本比例1</w:t>
      </w:r>
      <w:r>
        <w:rPr>
          <w:rFonts w:hint="eastAsia" w:ascii="宋体" w:hAnsi="宋体" w:eastAsia="宋体"/>
          <w:color w:val="auto"/>
          <w:highlight w:val="none"/>
          <w:lang w:val="en-US" w:eastAsia="zh-CN"/>
        </w:rPr>
        <w:t>0</w:t>
      </w:r>
      <w:r>
        <w:rPr>
          <w:rFonts w:hint="default" w:ascii="宋体" w:hAnsi="宋体" w:eastAsia="宋体"/>
          <w:color w:val="auto"/>
          <w:highlight w:val="none"/>
          <w:lang w:val="en-US" w:eastAsia="zh-CN"/>
        </w:rPr>
        <w:t>.</w:t>
      </w:r>
      <w:r>
        <w:rPr>
          <w:rFonts w:hint="eastAsia" w:ascii="宋体" w:hAnsi="宋体" w:eastAsia="宋体"/>
          <w:color w:val="auto"/>
          <w:highlight w:val="none"/>
          <w:lang w:val="en-US" w:eastAsia="zh-CN"/>
        </w:rPr>
        <w:t>75</w:t>
      </w:r>
      <w:r>
        <w:rPr>
          <w:rFonts w:hint="default" w:ascii="宋体" w:hAnsi="宋体" w:eastAsia="宋体"/>
          <w:color w:val="auto"/>
          <w:highlight w:val="none"/>
          <w:lang w:val="en-US" w:eastAsia="zh-CN"/>
        </w:rPr>
        <w:t>%，对应融资余额为</w:t>
      </w:r>
      <w:r>
        <w:rPr>
          <w:rFonts w:hint="eastAsia" w:ascii="宋体" w:hAnsi="宋体" w:eastAsia="宋体"/>
          <w:color w:val="auto"/>
          <w:highlight w:val="none"/>
          <w:lang w:val="en-US" w:eastAsia="zh-CN"/>
        </w:rPr>
        <w:t>17</w:t>
      </w:r>
      <w:r>
        <w:rPr>
          <w:rFonts w:hint="default" w:ascii="宋体" w:hAnsi="宋体" w:eastAsia="宋体"/>
          <w:color w:val="auto"/>
          <w:highlight w:val="none"/>
          <w:lang w:val="en-US" w:eastAsia="zh-CN"/>
        </w:rPr>
        <w:t>,</w:t>
      </w:r>
      <w:r>
        <w:rPr>
          <w:rFonts w:hint="eastAsia" w:ascii="宋体" w:hAnsi="宋体" w:eastAsia="宋体"/>
          <w:color w:val="auto"/>
          <w:highlight w:val="none"/>
          <w:lang w:val="en-US" w:eastAsia="zh-CN"/>
        </w:rPr>
        <w:t>8</w:t>
      </w:r>
      <w:r>
        <w:rPr>
          <w:rFonts w:hint="default" w:ascii="宋体" w:hAnsi="宋体" w:eastAsia="宋体"/>
          <w:color w:val="auto"/>
          <w:highlight w:val="none"/>
          <w:lang w:val="en-US" w:eastAsia="zh-CN"/>
        </w:rPr>
        <w:t>00万元。</w:t>
      </w:r>
    </w:p>
    <w:p w14:paraId="1FDAEC6D">
      <w:pPr>
        <w:pStyle w:val="4"/>
        <w:widowControl w:val="0"/>
        <w:numPr>
          <w:ilvl w:val="0"/>
          <w:numId w:val="0"/>
        </w:numPr>
        <w:autoSpaceDE w:val="0"/>
        <w:autoSpaceDN w:val="0"/>
        <w:adjustRightInd w:val="0"/>
        <w:spacing w:line="500" w:lineRule="exact"/>
        <w:ind w:left="240" w:leftChars="0"/>
        <w:rPr>
          <w:rFonts w:hint="default" w:ascii="宋体" w:hAnsi="宋体" w:eastAsia="宋体"/>
          <w:color w:val="auto"/>
          <w:highlight w:val="none"/>
          <w:lang w:val="en-US" w:eastAsia="zh-CN"/>
        </w:rPr>
      </w:pPr>
      <w:r>
        <w:rPr>
          <w:rFonts w:hint="default" w:ascii="宋体" w:hAnsi="宋体" w:eastAsia="宋体"/>
          <w:color w:val="auto"/>
          <w:highlight w:val="none"/>
          <w:lang w:val="en-US" w:eastAsia="zh-CN"/>
        </w:rPr>
        <w:t>2、好当家集团资信状况良好，具备资金偿还能力，本次质押风险可控，到期后好当家集团以自有资金偿还，不会导致公司实际控制权发生变更。</w:t>
      </w:r>
    </w:p>
    <w:p w14:paraId="428D321C">
      <w:pPr>
        <w:pStyle w:val="4"/>
        <w:widowControl w:val="0"/>
        <w:numPr>
          <w:ilvl w:val="0"/>
          <w:numId w:val="0"/>
        </w:numPr>
        <w:autoSpaceDE w:val="0"/>
        <w:autoSpaceDN w:val="0"/>
        <w:adjustRightInd w:val="0"/>
        <w:spacing w:line="500" w:lineRule="exact"/>
        <w:ind w:left="240" w:leftChars="0"/>
        <w:rPr>
          <w:rFonts w:hint="default" w:ascii="宋体" w:hAnsi="宋体" w:eastAsia="宋体"/>
          <w:color w:val="auto"/>
          <w:highlight w:val="none"/>
          <w:lang w:val="en-US" w:eastAsia="zh-CN"/>
        </w:rPr>
      </w:pPr>
      <w:r>
        <w:rPr>
          <w:rFonts w:hint="default" w:ascii="宋体" w:hAnsi="宋体" w:eastAsia="宋体"/>
          <w:color w:val="auto"/>
          <w:highlight w:val="none"/>
          <w:lang w:val="en-US" w:eastAsia="zh-CN"/>
        </w:rPr>
        <w:t>3、好当家集团不存在通过非经营性资金占用、违规担保、关联交易等侵害上市公司利益的情况。</w:t>
      </w:r>
    </w:p>
    <w:p w14:paraId="06BAF3CE">
      <w:pPr>
        <w:pStyle w:val="4"/>
        <w:widowControl w:val="0"/>
        <w:numPr>
          <w:ilvl w:val="0"/>
          <w:numId w:val="0"/>
        </w:numPr>
        <w:autoSpaceDE w:val="0"/>
        <w:autoSpaceDN w:val="0"/>
        <w:adjustRightInd w:val="0"/>
        <w:spacing w:line="500" w:lineRule="exact"/>
        <w:ind w:left="240" w:leftChars="0"/>
        <w:rPr>
          <w:rFonts w:hint="default" w:ascii="宋体" w:hAnsi="宋体" w:eastAsia="宋体"/>
          <w:color w:val="auto"/>
          <w:highlight w:val="none"/>
          <w:lang w:val="en-US" w:eastAsia="zh-CN"/>
        </w:rPr>
      </w:pPr>
      <w:r>
        <w:rPr>
          <w:rFonts w:hint="default" w:ascii="宋体" w:hAnsi="宋体" w:eastAsia="宋体"/>
          <w:color w:val="auto"/>
          <w:highlight w:val="none"/>
          <w:lang w:val="en-US" w:eastAsia="zh-CN"/>
        </w:rPr>
        <w:t>4、好当家集团股票质押对上市公司的影响</w:t>
      </w:r>
    </w:p>
    <w:p w14:paraId="377267BB">
      <w:pPr>
        <w:pStyle w:val="4"/>
        <w:widowControl w:val="0"/>
        <w:numPr>
          <w:ilvl w:val="0"/>
          <w:numId w:val="0"/>
        </w:numPr>
        <w:autoSpaceDE w:val="0"/>
        <w:autoSpaceDN w:val="0"/>
        <w:adjustRightInd w:val="0"/>
        <w:spacing w:line="500" w:lineRule="exact"/>
        <w:ind w:left="240" w:leftChars="0"/>
        <w:rPr>
          <w:rFonts w:hint="default" w:ascii="宋体" w:hAnsi="宋体" w:eastAsia="宋体"/>
          <w:color w:val="auto"/>
          <w:highlight w:val="none"/>
          <w:lang w:val="en-US" w:eastAsia="zh-CN"/>
        </w:rPr>
      </w:pPr>
      <w:r>
        <w:rPr>
          <w:rFonts w:hint="default" w:ascii="宋体" w:hAnsi="宋体" w:eastAsia="宋体"/>
          <w:color w:val="auto"/>
          <w:highlight w:val="none"/>
          <w:lang w:val="en-US" w:eastAsia="zh-CN"/>
        </w:rPr>
        <w:t>好当家集团股票质押不会对公司主营业务、融资授信及融资成本、持续经营能力产生重大影响；不会对股东向上市公司委派董事席位、上市公司的独立性产生重大影响，不会对公司控制权稳定、股权结构、日常管理产生重大影响；本次质押股份不会对其履行业绩补偿义务的能力产生重大影响。</w:t>
      </w:r>
    </w:p>
    <w:p w14:paraId="0E12D9D3">
      <w:pPr>
        <w:pStyle w:val="4"/>
        <w:widowControl w:val="0"/>
        <w:numPr>
          <w:ilvl w:val="0"/>
          <w:numId w:val="0"/>
        </w:numPr>
        <w:autoSpaceDE w:val="0"/>
        <w:autoSpaceDN w:val="0"/>
        <w:adjustRightInd w:val="0"/>
        <w:spacing w:line="500" w:lineRule="exact"/>
        <w:ind w:left="240" w:leftChars="0"/>
        <w:rPr>
          <w:rFonts w:hint="default" w:ascii="宋体" w:hAnsi="宋体" w:eastAsia="宋体"/>
          <w:color w:val="auto"/>
          <w:highlight w:val="none"/>
          <w:lang w:val="en-US" w:eastAsia="zh-CN"/>
        </w:rPr>
      </w:pPr>
    </w:p>
    <w:p w14:paraId="6C39B224">
      <w:pPr>
        <w:pStyle w:val="4"/>
        <w:widowControl w:val="0"/>
        <w:numPr>
          <w:ilvl w:val="0"/>
          <w:numId w:val="0"/>
        </w:numPr>
        <w:autoSpaceDE w:val="0"/>
        <w:autoSpaceDN w:val="0"/>
        <w:adjustRightInd w:val="0"/>
        <w:spacing w:line="500" w:lineRule="exact"/>
        <w:ind w:left="240" w:leftChars="0"/>
        <w:rPr>
          <w:rFonts w:hint="default" w:ascii="宋体" w:hAnsi="宋体" w:eastAsia="宋体"/>
          <w:color w:val="auto"/>
          <w:highlight w:val="none"/>
          <w:lang w:val="en-US" w:eastAsia="zh-CN"/>
        </w:rPr>
      </w:pPr>
      <w:r>
        <w:rPr>
          <w:rFonts w:hint="default" w:ascii="宋体" w:hAnsi="宋体" w:eastAsia="宋体"/>
          <w:color w:val="auto"/>
          <w:highlight w:val="none"/>
          <w:lang w:val="en-US" w:eastAsia="zh-CN"/>
        </w:rPr>
        <w:t>特此公告。</w:t>
      </w:r>
    </w:p>
    <w:p w14:paraId="37733163">
      <w:pPr>
        <w:pStyle w:val="4"/>
        <w:widowControl w:val="0"/>
        <w:numPr>
          <w:ilvl w:val="0"/>
          <w:numId w:val="0"/>
        </w:numPr>
        <w:autoSpaceDE w:val="0"/>
        <w:autoSpaceDN w:val="0"/>
        <w:adjustRightInd w:val="0"/>
        <w:spacing w:line="500" w:lineRule="exact"/>
        <w:ind w:left="240" w:leftChars="0"/>
        <w:rPr>
          <w:rFonts w:hint="default" w:ascii="宋体" w:hAnsi="宋体" w:eastAsia="宋体"/>
          <w:color w:val="auto"/>
          <w:highlight w:val="none"/>
          <w:lang w:val="en-US" w:eastAsia="zh-CN"/>
        </w:rPr>
      </w:pPr>
    </w:p>
    <w:p w14:paraId="0AB4F3D5">
      <w:pPr>
        <w:pStyle w:val="4"/>
        <w:widowControl w:val="0"/>
        <w:numPr>
          <w:ilvl w:val="0"/>
          <w:numId w:val="0"/>
        </w:numPr>
        <w:autoSpaceDE w:val="0"/>
        <w:autoSpaceDN w:val="0"/>
        <w:adjustRightInd w:val="0"/>
        <w:spacing w:line="500" w:lineRule="exact"/>
        <w:ind w:left="240" w:leftChars="0"/>
        <w:rPr>
          <w:rFonts w:hint="default" w:ascii="宋体" w:hAnsi="宋体" w:eastAsia="宋体"/>
          <w:color w:val="auto"/>
          <w:highlight w:val="none"/>
          <w:lang w:val="en-US" w:eastAsia="zh-CN"/>
        </w:rPr>
      </w:pPr>
      <w:r>
        <w:rPr>
          <w:rFonts w:hint="default" w:ascii="宋体" w:hAnsi="宋体" w:eastAsia="宋体"/>
          <w:color w:val="auto"/>
          <w:highlight w:val="none"/>
          <w:lang w:val="en-US" w:eastAsia="zh-CN"/>
        </w:rPr>
        <w:t xml:space="preserve">                    </w:t>
      </w:r>
      <w:r>
        <w:rPr>
          <w:rFonts w:hint="eastAsia" w:ascii="宋体" w:hAnsi="宋体" w:eastAsia="宋体"/>
          <w:color w:val="auto"/>
          <w:highlight w:val="none"/>
          <w:lang w:val="en-US" w:eastAsia="zh-CN"/>
        </w:rPr>
        <w:t xml:space="preserve"> </w:t>
      </w:r>
      <w:r>
        <w:rPr>
          <w:rFonts w:hint="default" w:ascii="宋体" w:hAnsi="宋体" w:eastAsia="宋体"/>
          <w:color w:val="auto"/>
          <w:highlight w:val="none"/>
          <w:lang w:val="en-US" w:eastAsia="zh-CN"/>
        </w:rPr>
        <w:t xml:space="preserve">          山东好当家海洋发展股份有限公司</w:t>
      </w:r>
    </w:p>
    <w:p w14:paraId="0748611B">
      <w:pPr>
        <w:pStyle w:val="4"/>
        <w:widowControl w:val="0"/>
        <w:numPr>
          <w:ilvl w:val="0"/>
          <w:numId w:val="0"/>
        </w:numPr>
        <w:autoSpaceDE w:val="0"/>
        <w:autoSpaceDN w:val="0"/>
        <w:adjustRightInd w:val="0"/>
        <w:spacing w:line="500" w:lineRule="exact"/>
        <w:ind w:left="240" w:leftChars="0"/>
        <w:rPr>
          <w:rFonts w:hint="default" w:ascii="宋体" w:hAnsi="宋体" w:eastAsia="宋体"/>
          <w:color w:val="auto"/>
          <w:highlight w:val="none"/>
          <w:lang w:val="en-US" w:eastAsia="zh-CN"/>
        </w:rPr>
      </w:pPr>
      <w:r>
        <w:rPr>
          <w:rFonts w:hint="default" w:ascii="宋体" w:hAnsi="宋体" w:eastAsia="宋体"/>
          <w:color w:val="auto"/>
          <w:highlight w:val="none"/>
          <w:lang w:val="en-US" w:eastAsia="zh-CN"/>
        </w:rPr>
        <w:t xml:space="preserve">       </w:t>
      </w:r>
      <w:r>
        <w:rPr>
          <w:rFonts w:hint="eastAsia" w:ascii="宋体" w:hAnsi="宋体" w:eastAsia="宋体"/>
          <w:color w:val="auto"/>
          <w:highlight w:val="none"/>
          <w:lang w:val="en-US" w:eastAsia="zh-CN"/>
        </w:rPr>
        <w:t xml:space="preserve">                           </w:t>
      </w:r>
      <w:r>
        <w:rPr>
          <w:rFonts w:hint="default" w:ascii="宋体" w:hAnsi="宋体" w:eastAsia="宋体"/>
          <w:color w:val="auto"/>
          <w:highlight w:val="none"/>
          <w:lang w:val="en-US" w:eastAsia="zh-CN"/>
        </w:rPr>
        <w:t xml:space="preserve">      董事会</w:t>
      </w:r>
    </w:p>
    <w:p w14:paraId="72CEF0E9">
      <w:pPr>
        <w:pStyle w:val="4"/>
        <w:widowControl w:val="0"/>
        <w:numPr>
          <w:ilvl w:val="0"/>
          <w:numId w:val="0"/>
        </w:numPr>
        <w:autoSpaceDE w:val="0"/>
        <w:autoSpaceDN w:val="0"/>
        <w:adjustRightInd w:val="0"/>
        <w:spacing w:line="500" w:lineRule="exact"/>
        <w:ind w:left="240" w:leftChars="0"/>
        <w:rPr>
          <w:rFonts w:hint="default" w:ascii="宋体" w:hAnsi="宋体" w:eastAsia="宋体"/>
          <w:color w:val="auto"/>
          <w:highlight w:val="none"/>
          <w:lang w:val="en-US" w:eastAsia="zh-CN"/>
        </w:rPr>
      </w:pPr>
      <w:r>
        <w:rPr>
          <w:rFonts w:hint="default" w:ascii="宋体" w:hAnsi="宋体" w:eastAsia="宋体"/>
          <w:color w:val="auto"/>
          <w:highlight w:val="none"/>
          <w:lang w:val="en-US" w:eastAsia="zh-CN"/>
        </w:rPr>
        <w:t xml:space="preserve">                      </w:t>
      </w:r>
      <w:r>
        <w:rPr>
          <w:rFonts w:hint="eastAsia" w:ascii="宋体" w:hAnsi="宋体" w:eastAsia="宋体"/>
          <w:color w:val="auto"/>
          <w:highlight w:val="none"/>
          <w:lang w:val="en-US" w:eastAsia="zh-CN"/>
        </w:rPr>
        <w:t xml:space="preserve"> </w:t>
      </w:r>
      <w:r>
        <w:rPr>
          <w:rFonts w:hint="default" w:ascii="宋体" w:hAnsi="宋体" w:eastAsia="宋体"/>
          <w:color w:val="auto"/>
          <w:highlight w:val="none"/>
          <w:lang w:val="en-US" w:eastAsia="zh-CN"/>
        </w:rPr>
        <w:t xml:space="preserve">              2026年</w:t>
      </w:r>
      <w:r>
        <w:rPr>
          <w:rFonts w:hint="eastAsia" w:ascii="宋体" w:hAnsi="宋体" w:eastAsia="宋体"/>
          <w:color w:val="auto"/>
          <w:highlight w:val="none"/>
          <w:lang w:val="en-US" w:eastAsia="zh-CN"/>
        </w:rPr>
        <w:t>9</w:t>
      </w:r>
      <w:r>
        <w:rPr>
          <w:rFonts w:hint="default" w:ascii="宋体" w:hAnsi="宋体" w:eastAsia="宋体"/>
          <w:color w:val="auto"/>
          <w:highlight w:val="none"/>
          <w:lang w:val="en-US" w:eastAsia="zh-CN"/>
        </w:rPr>
        <w:t>月</w:t>
      </w:r>
      <w:r>
        <w:rPr>
          <w:rFonts w:hint="eastAsia" w:ascii="宋体" w:hAnsi="宋体" w:eastAsia="宋体"/>
          <w:color w:val="auto"/>
          <w:highlight w:val="none"/>
          <w:lang w:val="en-US" w:eastAsia="zh-CN"/>
        </w:rPr>
        <w:t>29</w:t>
      </w:r>
      <w:r>
        <w:rPr>
          <w:rFonts w:hint="default" w:ascii="宋体" w:hAnsi="宋体" w:eastAsia="宋体"/>
          <w:color w:val="auto"/>
          <w:highlight w:val="none"/>
          <w:lang w:val="en-US" w:eastAsia="zh-CN"/>
        </w:rPr>
        <w:t>日</w:t>
      </w:r>
    </w:p>
    <w:p w14:paraId="1296C690">
      <w:pPr>
        <w:pStyle w:val="4"/>
        <w:widowControl w:val="0"/>
        <w:numPr>
          <w:ilvl w:val="0"/>
          <w:numId w:val="0"/>
        </w:numPr>
        <w:autoSpaceDE w:val="0"/>
        <w:autoSpaceDN w:val="0"/>
        <w:adjustRightInd w:val="0"/>
        <w:spacing w:line="500" w:lineRule="exact"/>
        <w:ind w:left="240" w:leftChars="0"/>
        <w:rPr>
          <w:rFonts w:hint="default" w:ascii="宋体" w:hAnsi="宋体" w:eastAsia="宋体"/>
          <w:color w:val="auto"/>
          <w:highlight w:val="none"/>
          <w:lang w:val="en-US" w:eastAsia="zh-CN"/>
        </w:rPr>
      </w:pPr>
    </w:p>
    <w:p w14:paraId="7A95B251">
      <w:pPr>
        <w:pStyle w:val="4"/>
        <w:widowControl w:val="0"/>
        <w:numPr>
          <w:ilvl w:val="0"/>
          <w:numId w:val="0"/>
        </w:numPr>
        <w:autoSpaceDE w:val="0"/>
        <w:autoSpaceDN w:val="0"/>
        <w:adjustRightInd w:val="0"/>
        <w:spacing w:line="500" w:lineRule="exact"/>
        <w:ind w:firstLine="480" w:firstLineChars="200"/>
        <w:rPr>
          <w:rFonts w:hint="eastAsia" w:ascii="宋体" w:hAnsi="宋体" w:eastAsia="宋体"/>
          <w:color w:val="auto"/>
          <w:highlight w:val="none"/>
        </w:rPr>
      </w:pPr>
    </w:p>
    <w:p w14:paraId="275BE516">
      <w:pPr>
        <w:pStyle w:val="4"/>
        <w:widowControl w:val="0"/>
        <w:numPr>
          <w:ilvl w:val="0"/>
          <w:numId w:val="0"/>
        </w:numPr>
        <w:autoSpaceDE w:val="0"/>
        <w:autoSpaceDN w:val="0"/>
        <w:adjustRightInd w:val="0"/>
        <w:spacing w:line="500" w:lineRule="exact"/>
        <w:ind w:firstLine="480" w:firstLineChars="200"/>
        <w:rPr>
          <w:rFonts w:hint="eastAsia" w:ascii="宋体" w:hAnsi="宋体" w:eastAsia="宋体"/>
          <w:color w:val="auto"/>
          <w:highlight w:val="none"/>
        </w:rPr>
      </w:pPr>
    </w:p>
    <w:p w14:paraId="13223621">
      <w:pPr>
        <w:pStyle w:val="4"/>
        <w:widowControl w:val="0"/>
        <w:numPr>
          <w:ilvl w:val="0"/>
          <w:numId w:val="0"/>
        </w:numPr>
        <w:autoSpaceDE w:val="0"/>
        <w:autoSpaceDN w:val="0"/>
        <w:adjustRightInd w:val="0"/>
        <w:spacing w:line="500" w:lineRule="exact"/>
        <w:ind w:firstLine="480" w:firstLineChars="200"/>
        <w:rPr>
          <w:rFonts w:hint="eastAsia" w:ascii="宋体" w:hAnsi="宋体" w:eastAsia="宋体"/>
          <w:color w:val="auto"/>
          <w:highlight w:val="none"/>
        </w:rPr>
      </w:pPr>
    </w:p>
    <w:p w14:paraId="32042C0F">
      <w:pPr>
        <w:pStyle w:val="4"/>
        <w:widowControl w:val="0"/>
        <w:numPr>
          <w:ilvl w:val="0"/>
          <w:numId w:val="0"/>
        </w:numPr>
        <w:autoSpaceDE w:val="0"/>
        <w:autoSpaceDN w:val="0"/>
        <w:adjustRightInd w:val="0"/>
        <w:spacing w:line="500" w:lineRule="exact"/>
        <w:ind w:firstLine="480" w:firstLineChars="200"/>
        <w:rPr>
          <w:rFonts w:hint="eastAsia" w:ascii="宋体" w:hAnsi="宋体" w:eastAsia="宋体"/>
          <w:color w:val="auto"/>
          <w:highlight w:val="none"/>
        </w:rPr>
      </w:pPr>
    </w:p>
    <w:p w14:paraId="7726513E">
      <w:pPr>
        <w:bidi w:val="0"/>
      </w:pPr>
    </w:p>
    <w:p w14:paraId="79B87A4E">
      <w:pPr>
        <w:bidi w:val="0"/>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新宋体">
    <w:panose1 w:val="02010609030101010101"/>
    <w:charset w:val="86"/>
    <w:family w:val="modern"/>
    <w:pitch w:val="default"/>
    <w:sig w:usb0="00000203" w:usb1="288F0000" w:usb2="0000000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7D1240"/>
    <w:multiLevelType w:val="singleLevel"/>
    <w:tmpl w:val="B67D1240"/>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3E2C54"/>
    <w:rsid w:val="0A341049"/>
    <w:rsid w:val="0B837613"/>
    <w:rsid w:val="1E40590D"/>
    <w:rsid w:val="1F860BC2"/>
    <w:rsid w:val="1FF0619B"/>
    <w:rsid w:val="20397E8F"/>
    <w:rsid w:val="210C7C53"/>
    <w:rsid w:val="234050D6"/>
    <w:rsid w:val="24417C14"/>
    <w:rsid w:val="27903757"/>
    <w:rsid w:val="27EC338E"/>
    <w:rsid w:val="2C6E72B1"/>
    <w:rsid w:val="2CD6278E"/>
    <w:rsid w:val="2E3A47AB"/>
    <w:rsid w:val="30B33C47"/>
    <w:rsid w:val="31402B35"/>
    <w:rsid w:val="33477978"/>
    <w:rsid w:val="39C17404"/>
    <w:rsid w:val="3B420D7B"/>
    <w:rsid w:val="3CB3418F"/>
    <w:rsid w:val="40DB658F"/>
    <w:rsid w:val="4D2B4E39"/>
    <w:rsid w:val="4E3F60E7"/>
    <w:rsid w:val="51B13EE9"/>
    <w:rsid w:val="55056FA6"/>
    <w:rsid w:val="5C0238D8"/>
    <w:rsid w:val="62E95123"/>
    <w:rsid w:val="6A8E65B0"/>
    <w:rsid w:val="6CDC6FED"/>
    <w:rsid w:val="71493C14"/>
    <w:rsid w:val="727160AC"/>
    <w:rsid w:val="7A532CA0"/>
    <w:rsid w:val="7CEF11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14:ligatures w14:val="none"/>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Default"/>
    <w:qFormat/>
    <w:uiPriority w:val="0"/>
    <w:pPr>
      <w:widowControl w:val="0"/>
      <w:autoSpaceDE w:val="0"/>
      <w:autoSpaceDN w:val="0"/>
      <w:adjustRightInd w:val="0"/>
    </w:pPr>
    <w:rPr>
      <w:rFonts w:ascii="新宋体" w:hAnsi="Times New Roman" w:eastAsia="新宋体" w:cs="新宋体"/>
      <w:color w:val="000000"/>
      <w:kern w:val="0"/>
      <w:sz w:val="24"/>
      <w:szCs w:val="24"/>
      <w:lang w:val="en-US" w:eastAsia="zh-CN" w:bidi="ar-SA"/>
      <w14:ligatures w14: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1304</Words>
  <Characters>1575</Characters>
  <Lines>0</Lines>
  <Paragraphs>0</Paragraphs>
  <TotalTime>58</TotalTime>
  <ScaleCrop>false</ScaleCrop>
  <LinksUpToDate>false</LinksUpToDate>
  <CharactersWithSpaces>1700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2025-10-20T00:19:00Z</dcterms:created>
  <dc:creator>m70qd</dc:creator>
  <cp:lastModifiedBy>行者</cp:lastModifiedBy>
  <cp:lastPrinted>2026-01-14T07:32:00Z</cp:lastPrinted>
  <dcterms:modified xsi:type="dcterms:W3CDTF">2026-09-29T02:41:55Z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93840A710C3B485E9ABC1BCBFB7D884C_12</vt:lpwstr>
  </property>
  <property fmtid="{D5CDD505-2E9C-101B-9397-08002B2CF9AE}" pid="4" name="KSOTemplateDocerSaveRecord">
    <vt:lpwstr>eyJoZGlkIjoiNGQ4NDc3Y2I3NjBlYzYyMTdiZTYyZTRlOTI4NjhiZmEiLCJ1c2VySWQiOiIyNjQ5ODE4NDgifQ==</vt:lpwstr>
  </property>
</Properties>
</file>